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6"/>
          <w:szCs w:val="36"/>
          <w:b w:val="1"/>
          <w:bCs w:val="1"/>
          <w:color w:val="auto"/>
        </w:rPr>
        <w:t>UNITED STATES</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2" w:lineRule="exact"/>
        <w:rPr>
          <w:sz w:val="24"/>
          <w:szCs w:val="24"/>
          <w:color w:val="auto"/>
        </w:rPr>
      </w:pPr>
    </w:p>
    <w:p>
      <w:pPr>
        <w:ind w:left="460" w:hanging="221"/>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w:t>
      </w:r>
    </w:p>
    <w:p>
      <w:pPr>
        <w:spacing w:after="0" w:line="40" w:lineRule="exact"/>
        <w:rPr>
          <w:rFonts w:ascii="MS PGothic" w:cs="MS PGothic" w:eastAsia="MS PGothic" w:hAnsi="MS PGothic"/>
          <w:sz w:val="17"/>
          <w:szCs w:val="17"/>
          <w:color w:val="auto"/>
        </w:rPr>
      </w:pPr>
    </w:p>
    <w:p>
      <w:pPr>
        <w:ind w:left="448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period ended March 31, 2022.</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48" w:lineRule="exact"/>
        <w:rPr>
          <w:sz w:val="24"/>
          <w:szCs w:val="24"/>
          <w:color w:val="auto"/>
        </w:rPr>
      </w:pPr>
    </w:p>
    <w:p>
      <w:pPr>
        <w:ind w:left="1540" w:hanging="222"/>
        <w:spacing w:after="0"/>
        <w:tabs>
          <w:tab w:leader="none" w:pos="1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17145</wp:posOffset>
            </wp:positionV>
            <wp:extent cx="1971675"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167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SUN COMMUNITIES,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356" w:right="339" w:bottom="1440" w:gutter="0" w:footer="0" w:header="0"/>
        </w:sectPr>
      </w:pPr>
    </w:p>
    <w:p>
      <w:pPr>
        <w:spacing w:after="0" w:line="273" w:lineRule="exact"/>
        <w:rPr>
          <w:sz w:val="24"/>
          <w:szCs w:val="24"/>
          <w:color w:val="auto"/>
        </w:rPr>
      </w:pPr>
    </w:p>
    <w:p>
      <w:pPr>
        <w:ind w:left="168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1-12616</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38-2730780</w:t>
      </w:r>
    </w:p>
    <w:p>
      <w:pPr>
        <w:spacing w:after="0" w:line="50" w:lineRule="exact"/>
        <w:rPr>
          <w:sz w:val="24"/>
          <w:szCs w:val="24"/>
          <w:color w:val="auto"/>
        </w:rPr>
      </w:pPr>
    </w:p>
    <w:p>
      <w:pPr>
        <w:sectPr>
          <w:pgSz w:w="11900" w:h="16838" w:orient="portrait"/>
          <w:cols w:equalWidth="0" w:num="3">
            <w:col w:w="4600" w:space="720"/>
            <w:col w:w="2700" w:space="720"/>
            <w:col w:w="2500"/>
          </w:cols>
          <w:pgMar w:left="320" w:top="1356" w:right="339" w:bottom="1440" w:gutter="0" w:footer="0" w:header="0"/>
          <w:type w:val="continuous"/>
        </w:sectPr>
      </w:pPr>
    </w:p>
    <w:p>
      <w:pPr>
        <w:ind w:left="122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137" w:lineRule="exact"/>
        <w:rPr>
          <w:sz w:val="24"/>
          <w:szCs w:val="24"/>
          <w:color w:val="auto"/>
        </w:rPr>
      </w:pPr>
    </w:p>
    <w:p>
      <w:pPr>
        <w:sectPr>
          <w:pgSz w:w="11900" w:h="16838" w:orient="portrait"/>
          <w:cols w:equalWidth="0" w:num="3">
            <w:col w:w="4000" w:space="720"/>
            <w:col w:w="2420" w:space="720"/>
            <w:col w:w="3380"/>
          </w:cols>
          <w:pgMar w:left="320" w:top="1356" w:right="339" w:bottom="1440" w:gutter="0" w:footer="0" w:header="0"/>
          <w:type w:val="continuous"/>
        </w:sectPr>
      </w:pPr>
    </w:p>
    <w:p>
      <w:pPr>
        <w:ind w:left="660"/>
        <w:spacing w:after="0"/>
        <w:tabs>
          <w:tab w:leader="none" w:pos="3180" w:val="left"/>
          <w:tab w:leader="none" w:pos="4280" w:val="left"/>
        </w:tabs>
        <w:rPr>
          <w:sz w:val="20"/>
          <w:szCs w:val="20"/>
          <w:color w:val="auto"/>
        </w:rPr>
      </w:pPr>
      <w:r>
        <w:rPr>
          <w:rFonts w:ascii="Arial" w:cs="Arial" w:eastAsia="Arial" w:hAnsi="Arial"/>
          <w:sz w:val="18"/>
          <w:szCs w:val="18"/>
          <w:b w:val="1"/>
          <w:bCs w:val="1"/>
          <w:color w:val="auto"/>
        </w:rPr>
        <w:t>27777 Franklin Rd, Suite 200,</w:t>
        <w:tab/>
        <w:t>Southfield,</w:t>
      </w:r>
      <w:r>
        <w:rPr>
          <w:sz w:val="20"/>
          <w:szCs w:val="20"/>
          <w:color w:val="auto"/>
        </w:rPr>
        <w:tab/>
      </w:r>
      <w:r>
        <w:rPr>
          <w:rFonts w:ascii="Arial" w:cs="Arial" w:eastAsia="Arial" w:hAnsi="Arial"/>
          <w:sz w:val="16"/>
          <w:szCs w:val="16"/>
          <w:b w:val="1"/>
          <w:bCs w:val="1"/>
          <w:color w:val="auto"/>
        </w:rPr>
        <w:t>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48034</w:t>
      </w:r>
    </w:p>
    <w:p>
      <w:pPr>
        <w:spacing w:after="0" w:line="49" w:lineRule="exact"/>
        <w:rPr>
          <w:sz w:val="24"/>
          <w:szCs w:val="24"/>
          <w:color w:val="auto"/>
        </w:rPr>
      </w:pPr>
    </w:p>
    <w:p>
      <w:pPr>
        <w:sectPr>
          <w:pgSz w:w="11900" w:h="16838" w:orient="portrait"/>
          <w:cols w:equalWidth="0" w:num="2">
            <w:col w:w="8220" w:space="720"/>
            <w:col w:w="2300"/>
          </w:cols>
          <w:pgMar w:left="320" w:top="1356" w:right="33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35" w:lineRule="exact"/>
        <w:rPr>
          <w:sz w:val="24"/>
          <w:szCs w:val="24"/>
          <w:color w:val="auto"/>
        </w:rPr>
      </w:pPr>
    </w:p>
    <w:p>
      <w:pPr>
        <w:sectPr>
          <w:pgSz w:w="11900" w:h="16838" w:orient="portrait"/>
          <w:cols w:equalWidth="0" w:num="2">
            <w:col w:w="8060" w:space="720"/>
            <w:col w:w="2460"/>
          </w:cols>
          <w:pgMar w:left="320" w:top="1356"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(248) 208-2500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1356" w:right="339" w:bottom="1440" w:gutter="0" w:footer="0" w:header="0"/>
          <w:type w:val="continuous"/>
        </w:sect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300" w:type="dxa"/>
        <w:tblCellMar>
          <w:top w:w="0" w:type="dxa"/>
          <w:left w:w="0" w:type="dxa"/>
          <w:bottom w:w="0" w:type="dxa"/>
          <w:right w:w="0" w:type="dxa"/>
        </w:tblCellMar>
      </w:tblPr>
      <w:tr>
        <w:trPr>
          <w:trHeight w:val="230"/>
        </w:trPr>
        <w:tc>
          <w:tcPr>
            <w:tcW w:w="42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Title of each class</w:t>
            </w:r>
          </w:p>
        </w:tc>
        <w:tc>
          <w:tcPr>
            <w:tcW w:w="23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Trading Symbol(s)</w:t>
            </w:r>
          </w:p>
        </w:tc>
        <w:tc>
          <w:tcPr>
            <w:tcW w:w="40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SUI</w:t>
            </w:r>
          </w:p>
        </w:tc>
        <w:tc>
          <w:tcPr>
            <w:tcW w:w="140" w:type="dxa"/>
            <w:vAlign w:val="bottom"/>
          </w:tcPr>
          <w:p>
            <w:pPr>
              <w:spacing w:after="0"/>
              <w:rPr>
                <w:sz w:val="19"/>
                <w:szCs w:val="19"/>
                <w:color w:val="auto"/>
              </w:rPr>
            </w:pPr>
          </w:p>
        </w:tc>
        <w:tc>
          <w:tcPr>
            <w:tcW w:w="4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3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56" w:right="339" w:bottom="1440" w:gutter="0" w:footer="0" w:header="0"/>
          <w:type w:val="continuous"/>
        </w:sectPr>
      </w:pPr>
    </w:p>
    <w:p>
      <w:pPr>
        <w:spacing w:after="0" w:line="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w:t>
      </w:r>
    </w:p>
    <w:p>
      <w:pPr>
        <w:spacing w:after="0" w:line="46" w:lineRule="exact"/>
        <w:rPr>
          <w:sz w:val="24"/>
          <w:szCs w:val="24"/>
          <w:color w:val="auto"/>
        </w:rPr>
      </w:pPr>
    </w:p>
    <w:p>
      <w:pPr>
        <w:sectPr>
          <w:pgSz w:w="11900" w:h="16838" w:orient="portrait"/>
          <w:cols w:equalWidth="0" w:num="5">
            <w:col w:w="1960" w:space="500"/>
            <w:col w:w="1200" w:space="620"/>
            <w:col w:w="1520" w:space="600"/>
            <w:col w:w="1960" w:space="540"/>
            <w:col w:w="2340"/>
          </w:cols>
          <w:pgMar w:left="320" w:top="1356" w:right="339" w:bottom="1440" w:gutter="0" w:footer="0" w:header="0"/>
          <w:type w:val="continuous"/>
        </w:sectPr>
      </w:pPr>
    </w:p>
    <w:p>
      <w:pPr>
        <w:ind w:left="10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10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62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2260" w:space="720"/>
            <w:col w:w="1260" w:space="720"/>
            <w:col w:w="1620" w:space="720"/>
            <w:col w:w="1780" w:space="720"/>
            <w:col w:w="1440"/>
          </w:cols>
          <w:pgMar w:left="320" w:top="1356" w:right="33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per share, outstanding as of April 19, 2022: 121,612,597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6"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0320" w:type="dxa"/>
            <w:vAlign w:val="bottom"/>
          </w:tcPr>
          <w:p>
            <w:pPr>
              <w:ind w:left="4620"/>
              <w:spacing w:after="0"/>
              <w:rPr>
                <w:sz w:val="20"/>
                <w:szCs w:val="20"/>
                <w:color w:val="auto"/>
              </w:rPr>
            </w:pPr>
            <w:r>
              <w:rPr>
                <w:rFonts w:ascii="Arial" w:cs="Arial" w:eastAsia="Arial" w:hAnsi="Arial"/>
                <w:sz w:val="18"/>
                <w:szCs w:val="18"/>
                <w:b w:val="1"/>
                <w:bCs w:val="1"/>
                <w:color w:val="auto"/>
              </w:rPr>
              <w:t>INDEX</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700" w:type="dxa"/>
            <w:vAlign w:val="bottom"/>
          </w:tcPr>
          <w:p>
            <w:pPr>
              <w:spacing w:after="0"/>
              <w:rPr>
                <w:sz w:val="24"/>
                <w:szCs w:val="24"/>
                <w:color w:val="auto"/>
              </w:rPr>
            </w:pPr>
          </w:p>
        </w:tc>
        <w:tc>
          <w:tcPr>
            <w:tcW w:w="10320" w:type="dxa"/>
            <w:vAlign w:val="bottom"/>
          </w:tcPr>
          <w:p>
            <w:pPr>
              <w:ind w:left="332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4"/>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Financial Statements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0"/>
        </w:trPr>
        <w:tc>
          <w:tcPr>
            <w:tcW w:w="700" w:type="dxa"/>
            <w:vAlign w:val="bottom"/>
          </w:tcPr>
          <w:p>
            <w:pPr>
              <w:spacing w:after="0"/>
              <w:rPr>
                <w:sz w:val="16"/>
                <w:szCs w:val="16"/>
                <w:color w:val="auto"/>
              </w:rPr>
            </w:pPr>
          </w:p>
        </w:tc>
        <w:tc>
          <w:tcPr>
            <w:tcW w:w="10320" w:type="dxa"/>
            <w:vAlign w:val="bottom"/>
          </w:tcPr>
          <w:p>
            <w:pPr>
              <w:ind w:left="180"/>
              <w:spacing w:after="0" w:line="190" w:lineRule="exact"/>
              <w:rPr>
                <w:sz w:val="20"/>
                <w:szCs w:val="20"/>
                <w:color w:val="auto"/>
              </w:rPr>
            </w:pPr>
            <w:r>
              <w:rPr>
                <w:rFonts w:ascii="Arial" w:cs="Arial" w:eastAsia="Arial" w:hAnsi="Arial"/>
                <w:sz w:val="18"/>
                <w:szCs w:val="18"/>
                <w:color w:val="auto"/>
              </w:rPr>
              <w:t>Consolidated Balance Sheets as of March 31, 2022 (Unaudited) and December 31, 2021</w:t>
            </w:r>
          </w:p>
        </w:tc>
        <w:tc>
          <w:tcPr>
            <w:tcW w:w="180" w:type="dxa"/>
            <w:vAlign w:val="bottom"/>
            <w:gridSpan w:val="2"/>
          </w:tcPr>
          <w:p>
            <w:pPr>
              <w:jc w:val="right"/>
              <w:spacing w:after="0" w:line="190"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Statements of Operations for the Three Months Ended March 31, 2022 and 2021 (Unaudited)</w:t>
            </w:r>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Statements of Comprehensive Income for the Three Months Ended March 31, 2022 and 2021 (Unaudited)</w:t>
            </w:r>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Statements of Equity for the Three Months Ended March 31, 2022 and 2021 (Unaudited)</w:t>
            </w:r>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Consolidated Statements of Cash Flows for the Three Months Ended March 31, 2022 and 2021 (Unaudited)</w:t>
            </w:r>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0320" w:type="dxa"/>
            <w:vAlign w:val="bottom"/>
          </w:tcPr>
          <w:p>
            <w:pPr>
              <w:ind w:left="180"/>
              <w:spacing w:after="0"/>
              <w:rPr>
                <w:sz w:val="20"/>
                <w:szCs w:val="20"/>
                <w:color w:val="auto"/>
              </w:rPr>
            </w:pPr>
            <w:r>
              <w:rPr>
                <w:rFonts w:ascii="Arial" w:cs="Arial" w:eastAsia="Arial" w:hAnsi="Arial"/>
                <w:sz w:val="18"/>
                <w:szCs w:val="18"/>
                <w:color w:val="auto"/>
              </w:rPr>
              <w:t>Notes to Consolidated Financial Statements (Unaudited)</w:t>
            </w:r>
          </w:p>
        </w:tc>
        <w:tc>
          <w:tcPr>
            <w:tcW w:w="180" w:type="dxa"/>
            <w:vAlign w:val="bottom"/>
            <w:gridSpan w:val="2"/>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0"/>
        </w:trPr>
        <w:tc>
          <w:tcPr>
            <w:tcW w:w="7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Item 2.</w:t>
            </w:r>
          </w:p>
        </w:tc>
        <w:tc>
          <w:tcPr>
            <w:tcW w:w="10320" w:type="dxa"/>
            <w:vAlign w:val="bottom"/>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6">
              <w:r>
                <w:rPr>
                  <w:rFonts w:ascii="Arial" w:cs="Arial" w:eastAsia="Arial" w:hAnsi="Arial"/>
                  <w:sz w:val="18"/>
                  <w:szCs w:val="18"/>
                  <w:color w:val="0000FF"/>
                  <w:w w:val="79"/>
                </w:rPr>
                <w:t>35</w:t>
              </w:r>
            </w:hyperlink>
          </w:p>
        </w:tc>
      </w:tr>
      <w:tr>
        <w:trPr>
          <w:trHeight w:val="209"/>
        </w:trPr>
        <w:tc>
          <w:tcPr>
            <w:tcW w:w="700" w:type="dxa"/>
            <w:vAlign w:val="bottom"/>
          </w:tcPr>
          <w:p>
            <w:pPr>
              <w:spacing w:after="0"/>
              <w:rPr>
                <w:sz w:val="20"/>
                <w:szCs w:val="20"/>
                <w:color w:val="auto"/>
              </w:rPr>
            </w:pPr>
            <w:r>
              <w:rPr>
                <w:rFonts w:ascii="Arial" w:cs="Arial" w:eastAsia="Arial" w:hAnsi="Arial"/>
                <w:sz w:val="18"/>
                <w:szCs w:val="18"/>
                <w:color w:val="auto"/>
              </w:rPr>
              <w:t>Item 3.</w:t>
            </w:r>
          </w:p>
        </w:tc>
        <w:tc>
          <w:tcPr>
            <w:tcW w:w="1032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56</w:t>
              </w:r>
            </w:hyperlink>
          </w:p>
        </w:tc>
      </w:tr>
      <w:tr>
        <w:trPr>
          <w:trHeight w:val="210"/>
        </w:trPr>
        <w:tc>
          <w:tcPr>
            <w:tcW w:w="700" w:type="dxa"/>
            <w:vAlign w:val="bottom"/>
          </w:tcPr>
          <w:p>
            <w:pPr>
              <w:spacing w:after="0"/>
              <w:rPr>
                <w:sz w:val="20"/>
                <w:szCs w:val="20"/>
                <w:color w:val="auto"/>
              </w:rPr>
            </w:pPr>
            <w:r>
              <w:rPr>
                <w:rFonts w:ascii="Arial" w:cs="Arial" w:eastAsia="Arial" w:hAnsi="Arial"/>
                <w:sz w:val="18"/>
                <w:szCs w:val="18"/>
                <w:color w:val="auto"/>
              </w:rPr>
              <w:t>Item 4.</w:t>
            </w:r>
          </w:p>
        </w:tc>
        <w:tc>
          <w:tcPr>
            <w:tcW w:w="10320" w:type="dxa"/>
            <w:vAlign w:val="bottom"/>
          </w:tcPr>
          <w:p>
            <w:pPr>
              <w:ind w:left="18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57</w:t>
              </w:r>
            </w:hyperlink>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0260" w:type="dxa"/>
            <w:vAlign w:val="bottom"/>
          </w:tcPr>
          <w:p>
            <w:pPr>
              <w:ind w:left="3420"/>
              <w:spacing w:after="0"/>
              <w:rPr>
                <w:sz w:val="20"/>
                <w:szCs w:val="20"/>
                <w:color w:val="auto"/>
              </w:rPr>
            </w:pPr>
            <w:r>
              <w:rPr>
                <w:rFonts w:ascii="Arial" w:cs="Arial" w:eastAsia="Arial" w:hAnsi="Arial"/>
                <w:sz w:val="18"/>
                <w:szCs w:val="18"/>
                <w:b w:val="1"/>
                <w:bCs w:val="1"/>
                <w:color w:val="auto"/>
              </w:rPr>
              <w:t>PART II – OTHER INFORMATION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4"/>
        </w:trPr>
        <w:tc>
          <w:tcPr>
            <w:tcW w:w="780" w:type="dxa"/>
            <w:vAlign w:val="bottom"/>
          </w:tcPr>
          <w:p>
            <w:pPr>
              <w:ind w:left="20"/>
              <w:spacing w:after="0"/>
              <w:rPr>
                <w:sz w:val="20"/>
                <w:szCs w:val="20"/>
                <w:color w:val="auto"/>
              </w:rPr>
            </w:pPr>
            <w:r>
              <w:rPr>
                <w:rFonts w:ascii="Arial" w:cs="Arial" w:eastAsia="Arial" w:hAnsi="Arial"/>
                <w:sz w:val="18"/>
                <w:szCs w:val="18"/>
                <w:color w:val="auto"/>
              </w:rPr>
              <w:t>Item 1.</w:t>
            </w:r>
          </w:p>
        </w:tc>
        <w:tc>
          <w:tcPr>
            <w:tcW w:w="10260" w:type="dxa"/>
            <w:vAlign w:val="bottom"/>
          </w:tcPr>
          <w:p>
            <w:pPr>
              <w:ind w:left="12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58</w:t>
              </w:r>
            </w:hyperlink>
          </w:p>
        </w:tc>
        <w:tc>
          <w:tcPr>
            <w:tcW w:w="20" w:type="dxa"/>
            <w:vAlign w:val="bottom"/>
          </w:tcPr>
          <w:p>
            <w:pPr>
              <w:spacing w:after="0"/>
              <w:rPr>
                <w:sz w:val="24"/>
                <w:szCs w:val="24"/>
                <w:color w:val="auto"/>
              </w:rPr>
            </w:pPr>
          </w:p>
        </w:tc>
      </w:tr>
      <w:tr>
        <w:trPr>
          <w:trHeight w:val="209"/>
        </w:trPr>
        <w:tc>
          <w:tcPr>
            <w:tcW w:w="780" w:type="dxa"/>
            <w:vAlign w:val="bottom"/>
          </w:tcPr>
          <w:p>
            <w:pPr>
              <w:ind w:left="20"/>
              <w:spacing w:after="0"/>
              <w:rPr>
                <w:sz w:val="20"/>
                <w:szCs w:val="20"/>
                <w:color w:val="auto"/>
              </w:rPr>
            </w:pPr>
            <w:r>
              <w:rPr>
                <w:rFonts w:ascii="Arial" w:cs="Arial" w:eastAsia="Arial" w:hAnsi="Arial"/>
                <w:sz w:val="18"/>
                <w:szCs w:val="18"/>
                <w:color w:val="auto"/>
              </w:rPr>
              <w:t>Item 1A.</w:t>
            </w:r>
          </w:p>
        </w:tc>
        <w:tc>
          <w:tcPr>
            <w:tcW w:w="10260" w:type="dxa"/>
            <w:vAlign w:val="bottom"/>
          </w:tcPr>
          <w:p>
            <w:pPr>
              <w:ind w:left="12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58</w:t>
              </w:r>
            </w:hyperlink>
          </w:p>
        </w:tc>
        <w:tc>
          <w:tcPr>
            <w:tcW w:w="20" w:type="dxa"/>
            <w:vAlign w:val="bottom"/>
          </w:tcPr>
          <w:p>
            <w:pPr>
              <w:spacing w:after="0"/>
              <w:rPr>
                <w:sz w:val="18"/>
                <w:szCs w:val="18"/>
                <w:color w:val="auto"/>
              </w:rPr>
            </w:pPr>
          </w:p>
        </w:tc>
      </w:tr>
      <w:tr>
        <w:trPr>
          <w:trHeight w:val="210"/>
        </w:trPr>
        <w:tc>
          <w:tcPr>
            <w:tcW w:w="780" w:type="dxa"/>
            <w:vAlign w:val="bottom"/>
          </w:tcPr>
          <w:p>
            <w:pPr>
              <w:ind w:left="20"/>
              <w:spacing w:after="0"/>
              <w:rPr>
                <w:sz w:val="20"/>
                <w:szCs w:val="20"/>
                <w:color w:val="auto"/>
              </w:rPr>
            </w:pPr>
            <w:r>
              <w:rPr>
                <w:rFonts w:ascii="Arial" w:cs="Arial" w:eastAsia="Arial" w:hAnsi="Arial"/>
                <w:sz w:val="18"/>
                <w:szCs w:val="18"/>
                <w:color w:val="auto"/>
              </w:rPr>
              <w:t>Item 2.</w:t>
            </w:r>
          </w:p>
        </w:tc>
        <w:tc>
          <w:tcPr>
            <w:tcW w:w="10260" w:type="dxa"/>
            <w:vAlign w:val="bottom"/>
          </w:tcPr>
          <w:p>
            <w:pPr>
              <w:ind w:left="12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59</w:t>
              </w:r>
            </w:hyperlink>
          </w:p>
        </w:tc>
        <w:tc>
          <w:tcPr>
            <w:tcW w:w="20" w:type="dxa"/>
            <w:vAlign w:val="bottom"/>
          </w:tcPr>
          <w:p>
            <w:pPr>
              <w:spacing w:after="0"/>
              <w:rPr>
                <w:sz w:val="18"/>
                <w:szCs w:val="18"/>
                <w:color w:val="auto"/>
              </w:rPr>
            </w:pPr>
          </w:p>
        </w:tc>
      </w:tr>
      <w:tr>
        <w:trPr>
          <w:trHeight w:val="209"/>
        </w:trPr>
        <w:tc>
          <w:tcPr>
            <w:tcW w:w="780" w:type="dxa"/>
            <w:vAlign w:val="bottom"/>
          </w:tcPr>
          <w:p>
            <w:pPr>
              <w:ind w:left="20"/>
              <w:spacing w:after="0"/>
              <w:rPr>
                <w:sz w:val="20"/>
                <w:szCs w:val="20"/>
                <w:color w:val="auto"/>
              </w:rPr>
            </w:pPr>
            <w:r>
              <w:rPr>
                <w:rFonts w:ascii="Arial" w:cs="Arial" w:eastAsia="Arial" w:hAnsi="Arial"/>
                <w:sz w:val="18"/>
                <w:szCs w:val="18"/>
                <w:color w:val="auto"/>
              </w:rPr>
              <w:t>Item 6.</w:t>
            </w:r>
          </w:p>
        </w:tc>
        <w:tc>
          <w:tcPr>
            <w:tcW w:w="10260" w:type="dxa"/>
            <w:vAlign w:val="bottom"/>
          </w:tcPr>
          <w:p>
            <w:pPr>
              <w:ind w:left="12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1">
              <w:r>
                <w:rPr>
                  <w:rFonts w:ascii="Arial" w:cs="Arial" w:eastAsia="Arial" w:hAnsi="Arial"/>
                  <w:sz w:val="18"/>
                  <w:szCs w:val="18"/>
                  <w:color w:val="0000FF"/>
                  <w:w w:val="79"/>
                </w:rPr>
                <w:t>60</w:t>
              </w:r>
            </w:hyperlink>
          </w:p>
        </w:tc>
        <w:tc>
          <w:tcPr>
            <w:tcW w:w="20" w:type="dxa"/>
            <w:vAlign w:val="bottom"/>
          </w:tcPr>
          <w:p>
            <w:pPr>
              <w:spacing w:after="0"/>
              <w:rPr>
                <w:sz w:val="18"/>
                <w:szCs w:val="18"/>
                <w:color w:val="auto"/>
              </w:rPr>
            </w:pPr>
          </w:p>
        </w:tc>
      </w:tr>
      <w:tr>
        <w:trPr>
          <w:trHeight w:val="209"/>
        </w:trPr>
        <w:tc>
          <w:tcPr>
            <w:tcW w:w="780" w:type="dxa"/>
            <w:vAlign w:val="bottom"/>
          </w:tcPr>
          <w:p>
            <w:pPr>
              <w:spacing w:after="0"/>
              <w:rPr>
                <w:sz w:val="18"/>
                <w:szCs w:val="18"/>
                <w:color w:val="auto"/>
              </w:rPr>
            </w:pPr>
          </w:p>
        </w:tc>
        <w:tc>
          <w:tcPr>
            <w:tcW w:w="10260" w:type="dxa"/>
            <w:vAlign w:val="bottom"/>
          </w:tcPr>
          <w:p>
            <w:pPr>
              <w:ind w:left="120"/>
              <w:spacing w:after="0"/>
              <w:rPr>
                <w:sz w:val="20"/>
                <w:szCs w:val="20"/>
                <w:color w:val="auto"/>
              </w:rPr>
            </w:pPr>
            <w:r>
              <w:rPr>
                <w:rFonts w:ascii="Arial" w:cs="Arial" w:eastAsia="Arial" w:hAnsi="Arial"/>
                <w:sz w:val="18"/>
                <w:szCs w:val="18"/>
                <w:color w:val="auto"/>
              </w:rPr>
              <w:t>Signatures</w:t>
            </w: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61</w:t>
              </w:r>
            </w:hyperlink>
          </w:p>
        </w:tc>
        <w:tc>
          <w:tcPr>
            <w:tcW w:w="20" w:type="dxa"/>
            <w:vAlign w:val="bottom"/>
          </w:tcPr>
          <w:p>
            <w:pPr>
              <w:spacing w:after="0"/>
              <w:rPr>
                <w:sz w:val="18"/>
                <w:szCs w:val="18"/>
                <w:color w:val="auto"/>
              </w:rPr>
            </w:pPr>
          </w:p>
        </w:tc>
      </w:tr>
      <w:tr>
        <w:trPr>
          <w:trHeight w:val="1283"/>
        </w:trPr>
        <w:tc>
          <w:tcPr>
            <w:tcW w:w="78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322"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for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95"/>
              </w:rPr>
              <w:t>(Unaudited)</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93"/>
              </w:rPr>
              <w:t>March 31, 2022</w:t>
            </w:r>
          </w:p>
        </w:tc>
        <w:tc>
          <w:tcPr>
            <w:tcW w:w="140" w:type="dxa"/>
            <w:vAlign w:val="bottom"/>
          </w:tcPr>
          <w:p>
            <w:pPr>
              <w:spacing w:after="0"/>
              <w:rPr>
                <w:sz w:val="17"/>
                <w:szCs w:val="17"/>
                <w:color w:val="auto"/>
              </w:rPr>
            </w:pPr>
          </w:p>
        </w:tc>
        <w:tc>
          <w:tcPr>
            <w:tcW w:w="1460" w:type="dxa"/>
            <w:vAlign w:val="bottom"/>
          </w:tcPr>
          <w:p>
            <w:pPr>
              <w:jc w:val="right"/>
              <w:ind w:right="104"/>
              <w:spacing w:after="0"/>
              <w:rPr>
                <w:sz w:val="20"/>
                <w:szCs w:val="20"/>
                <w:color w:val="auto"/>
              </w:rPr>
            </w:pPr>
            <w:r>
              <w:rPr>
                <w:rFonts w:ascii="Arial" w:cs="Arial" w:eastAsia="Arial" w:hAnsi="Arial"/>
                <w:sz w:val="15"/>
                <w:szCs w:val="15"/>
                <w:b w:val="1"/>
                <w:bCs w:val="1"/>
                <w:color w:val="auto"/>
                <w:w w:val="93"/>
              </w:rPr>
              <w:t>December 31, 2021</w:t>
            </w:r>
          </w:p>
        </w:tc>
        <w:tc>
          <w:tcPr>
            <w:tcW w:w="0" w:type="dxa"/>
            <w:vAlign w:val="bottom"/>
          </w:tcPr>
          <w:p>
            <w:pPr>
              <w:spacing w:after="0"/>
              <w:rPr>
                <w:sz w:val="1"/>
                <w:szCs w:val="1"/>
                <w:color w:val="auto"/>
              </w:rPr>
            </w:pPr>
          </w:p>
        </w:tc>
      </w:tr>
      <w:tr>
        <w:trPr>
          <w:trHeight w:val="198"/>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Land</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2,708.0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2,556.3</w:t>
            </w:r>
          </w:p>
        </w:tc>
        <w:tc>
          <w:tcPr>
            <w:tcW w:w="0" w:type="dxa"/>
            <w:vAlign w:val="bottom"/>
          </w:tcPr>
          <w:p>
            <w:pPr>
              <w:spacing w:after="0"/>
              <w:rPr>
                <w:sz w:val="1"/>
                <w:szCs w:val="1"/>
                <w:color w:val="auto"/>
              </w:rPr>
            </w:pP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Land improvements and buildings</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10,169.4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9,958.3</w:t>
            </w:r>
          </w:p>
        </w:tc>
        <w:tc>
          <w:tcPr>
            <w:tcW w:w="0" w:type="dxa"/>
            <w:vAlign w:val="bottom"/>
          </w:tcPr>
          <w:p>
            <w:pPr>
              <w:spacing w:after="0"/>
              <w:rPr>
                <w:sz w:val="1"/>
                <w:szCs w:val="1"/>
                <w:color w:val="auto"/>
              </w:rPr>
            </w:pP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Rental homes and improvements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583.1</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591.7</w:t>
            </w:r>
          </w:p>
        </w:tc>
        <w:tc>
          <w:tcPr>
            <w:tcW w:w="0" w:type="dxa"/>
            <w:vAlign w:val="bottom"/>
          </w:tcPr>
          <w:p>
            <w:pPr>
              <w:spacing w:after="0"/>
              <w:rPr>
                <w:sz w:val="1"/>
                <w:szCs w:val="1"/>
                <w:color w:val="auto"/>
              </w:rPr>
            </w:pPr>
          </w:p>
        </w:tc>
      </w:tr>
      <w:tr>
        <w:trPr>
          <w:trHeight w:val="198"/>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Furniture, fixtures and equipment</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684.8</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656.4</w:t>
            </w:r>
          </w:p>
        </w:tc>
        <w:tc>
          <w:tcPr>
            <w:tcW w:w="0" w:type="dxa"/>
            <w:vAlign w:val="bottom"/>
          </w:tcPr>
          <w:p>
            <w:pPr>
              <w:spacing w:after="0"/>
              <w:rPr>
                <w:sz w:val="1"/>
                <w:szCs w:val="1"/>
                <w:color w:val="auto"/>
              </w:rPr>
            </w:pPr>
          </w:p>
        </w:tc>
      </w:tr>
      <w:tr>
        <w:trPr>
          <w:trHeight w:val="200"/>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Investment property</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14,145.3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13,762.7</w:t>
            </w:r>
          </w:p>
        </w:tc>
        <w:tc>
          <w:tcPr>
            <w:tcW w:w="0" w:type="dxa"/>
            <w:vAlign w:val="bottom"/>
          </w:tcPr>
          <w:p>
            <w:pPr>
              <w:spacing w:after="0"/>
              <w:rPr>
                <w:sz w:val="1"/>
                <w:szCs w:val="1"/>
                <w:color w:val="auto"/>
              </w:rPr>
            </w:pPr>
          </w:p>
        </w:tc>
      </w:tr>
      <w:tr>
        <w:trPr>
          <w:trHeight w:val="198"/>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Accumulated depreciation</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(2,441.5)</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(2,337.2)</w:t>
            </w:r>
          </w:p>
        </w:tc>
        <w:tc>
          <w:tcPr>
            <w:tcW w:w="0" w:type="dxa"/>
            <w:vAlign w:val="bottom"/>
          </w:tcPr>
          <w:p>
            <w:pPr>
              <w:spacing w:after="0"/>
              <w:rPr>
                <w:sz w:val="1"/>
                <w:szCs w:val="1"/>
                <w:color w:val="auto"/>
              </w:rPr>
            </w:pPr>
          </w:p>
        </w:tc>
      </w:tr>
      <w:tr>
        <w:trPr>
          <w:trHeight w:val="133"/>
        </w:trPr>
        <w:tc>
          <w:tcPr>
            <w:tcW w:w="7800" w:type="dxa"/>
            <w:vAlign w:val="bottom"/>
            <w:shd w:val="clear" w:color="auto" w:fill="CCEEFF"/>
          </w:tcPr>
          <w:p>
            <w:pPr>
              <w:ind w:left="220"/>
              <w:spacing w:after="0" w:line="133" w:lineRule="exact"/>
              <w:rPr>
                <w:sz w:val="20"/>
                <w:szCs w:val="20"/>
                <w:color w:val="auto"/>
              </w:rPr>
            </w:pPr>
            <w:r>
              <w:rPr>
                <w:rFonts w:ascii="Arial" w:cs="Arial" w:eastAsia="Arial" w:hAnsi="Arial"/>
                <w:sz w:val="15"/>
                <w:szCs w:val="15"/>
                <w:color w:val="auto"/>
                <w:w w:val="94"/>
              </w:rPr>
              <w:t>Investment property, net (including $699.4 and $623.5 for consolidated VIEs at March 31, 2022 and December 31, 2021;</w:t>
            </w:r>
          </w:p>
        </w:tc>
        <w:tc>
          <w:tcPr>
            <w:tcW w:w="200" w:type="dxa"/>
            <w:vAlign w:val="bottom"/>
            <w:shd w:val="clear" w:color="auto" w:fill="CCEEFF"/>
          </w:tcPr>
          <w:p>
            <w:pPr>
              <w:spacing w:after="0"/>
              <w:rPr>
                <w:sz w:val="11"/>
                <w:szCs w:val="11"/>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11,703.8</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11,425.5</w:t>
            </w:r>
          </w:p>
        </w:tc>
        <w:tc>
          <w:tcPr>
            <w:tcW w:w="0" w:type="dxa"/>
            <w:vAlign w:val="bottom"/>
          </w:tcPr>
          <w:p>
            <w:pPr>
              <w:spacing w:after="0"/>
              <w:rPr>
                <w:sz w:val="1"/>
                <w:szCs w:val="1"/>
                <w:color w:val="auto"/>
              </w:rPr>
            </w:pPr>
          </w:p>
        </w:tc>
      </w:tr>
      <w:tr>
        <w:trPr>
          <w:trHeight w:val="202"/>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see Note 7)</w:t>
            </w:r>
          </w:p>
        </w:tc>
        <w:tc>
          <w:tcPr>
            <w:tcW w:w="20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7800" w:type="dxa"/>
            <w:vAlign w:val="bottom"/>
          </w:tcPr>
          <w:p>
            <w:pPr>
              <w:ind w:left="220"/>
              <w:spacing w:after="0" w:line="149" w:lineRule="exact"/>
              <w:rPr>
                <w:sz w:val="20"/>
                <w:szCs w:val="20"/>
                <w:color w:val="auto"/>
              </w:rPr>
            </w:pPr>
            <w:r>
              <w:rPr>
                <w:rFonts w:ascii="Arial" w:cs="Arial" w:eastAsia="Arial" w:hAnsi="Arial"/>
                <w:sz w:val="15"/>
                <w:szCs w:val="15"/>
                <w:color w:val="auto"/>
                <w:w w:val="98"/>
              </w:rPr>
              <w:t>Cash, cash equivalents and restricted cash (including $15.5 and $13.6 for consolidated VIEs at March 31, 2022 and</w:t>
            </w:r>
          </w:p>
        </w:tc>
        <w:tc>
          <w:tcPr>
            <w:tcW w:w="20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5"/>
                <w:szCs w:val="15"/>
                <w:color w:val="auto"/>
              </w:rPr>
              <w:t>102.6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5"/>
                <w:szCs w:val="15"/>
                <w:color w:val="auto"/>
              </w:rPr>
              <w:t>78.2</w:t>
            </w:r>
          </w:p>
        </w:tc>
        <w:tc>
          <w:tcPr>
            <w:tcW w:w="0" w:type="dxa"/>
            <w:vAlign w:val="bottom"/>
          </w:tcPr>
          <w:p>
            <w:pPr>
              <w:spacing w:after="0"/>
              <w:rPr>
                <w:sz w:val="1"/>
                <w:szCs w:val="1"/>
                <w:color w:val="auto"/>
              </w:rPr>
            </w:pP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December 31, 2021; see Note 7)</w:t>
            </w:r>
          </w:p>
        </w:tc>
        <w:tc>
          <w:tcPr>
            <w:tcW w:w="20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Marketable securities (see Note 15)</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186.9</w:t>
            </w:r>
          </w:p>
        </w:tc>
        <w:tc>
          <w:tcPr>
            <w:tcW w:w="0" w:type="dxa"/>
            <w:vAlign w:val="bottom"/>
          </w:tcPr>
          <w:p>
            <w:pPr>
              <w:spacing w:after="0"/>
              <w:rPr>
                <w:sz w:val="1"/>
                <w:szCs w:val="1"/>
                <w:color w:val="auto"/>
              </w:rPr>
            </w:pP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Inventory of manufactured homes</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63.3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51.1</w:t>
            </w:r>
          </w:p>
        </w:tc>
        <w:tc>
          <w:tcPr>
            <w:tcW w:w="0" w:type="dxa"/>
            <w:vAlign w:val="bottom"/>
          </w:tcPr>
          <w:p>
            <w:pPr>
              <w:spacing w:after="0"/>
              <w:rPr>
                <w:sz w:val="1"/>
                <w:szCs w:val="1"/>
                <w:color w:val="auto"/>
              </w:rPr>
            </w:pP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Notes and other receivables, net</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513.6</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469.6</w:t>
            </w:r>
          </w:p>
        </w:tc>
        <w:tc>
          <w:tcPr>
            <w:tcW w:w="0" w:type="dxa"/>
            <w:vAlign w:val="bottom"/>
          </w:tcPr>
          <w:p>
            <w:pPr>
              <w:spacing w:after="0"/>
              <w:rPr>
                <w:sz w:val="1"/>
                <w:szCs w:val="1"/>
                <w:color w:val="auto"/>
              </w:rPr>
            </w:pP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Goodwill</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512.7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495.4</w:t>
            </w:r>
          </w:p>
        </w:tc>
        <w:tc>
          <w:tcPr>
            <w:tcW w:w="0" w:type="dxa"/>
            <w:vAlign w:val="bottom"/>
          </w:tcPr>
          <w:p>
            <w:pPr>
              <w:spacing w:after="0"/>
              <w:rPr>
                <w:sz w:val="1"/>
                <w:szCs w:val="1"/>
                <w:color w:val="auto"/>
              </w:rPr>
            </w:pPr>
          </w:p>
        </w:tc>
      </w:tr>
      <w:tr>
        <w:trPr>
          <w:trHeight w:val="153"/>
        </w:trPr>
        <w:tc>
          <w:tcPr>
            <w:tcW w:w="7800" w:type="dxa"/>
            <w:vAlign w:val="bottom"/>
            <w:shd w:val="clear" w:color="auto" w:fill="CCEEFF"/>
          </w:tcPr>
          <w:p>
            <w:pPr>
              <w:ind w:left="220"/>
              <w:spacing w:after="0" w:line="153" w:lineRule="exact"/>
              <w:rPr>
                <w:sz w:val="20"/>
                <w:szCs w:val="20"/>
                <w:color w:val="auto"/>
              </w:rPr>
            </w:pPr>
            <w:r>
              <w:rPr>
                <w:rFonts w:ascii="Arial" w:cs="Arial" w:eastAsia="Arial" w:hAnsi="Arial"/>
                <w:sz w:val="15"/>
                <w:szCs w:val="15"/>
                <w:color w:val="auto"/>
                <w:w w:val="94"/>
              </w:rPr>
              <w:t>Other intangible assets, net (including $13.8 and $13.4 for consolidated VIEs at March 31, 2022 and December 31, 2021;</w:t>
            </w:r>
          </w:p>
        </w:tc>
        <w:tc>
          <w:tcPr>
            <w:tcW w:w="20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334.2</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306.8</w:t>
            </w:r>
          </w:p>
        </w:tc>
        <w:tc>
          <w:tcPr>
            <w:tcW w:w="0" w:type="dxa"/>
            <w:vAlign w:val="bottom"/>
          </w:tcPr>
          <w:p>
            <w:pPr>
              <w:spacing w:after="0"/>
              <w:rPr>
                <w:sz w:val="1"/>
                <w:szCs w:val="1"/>
                <w:color w:val="auto"/>
              </w:rPr>
            </w:pPr>
          </w:p>
        </w:tc>
      </w:tr>
      <w:tr>
        <w:trPr>
          <w:trHeight w:val="202"/>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see Note 7)</w:t>
            </w:r>
          </w:p>
        </w:tc>
        <w:tc>
          <w:tcPr>
            <w:tcW w:w="20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w w:val="94"/>
              </w:rPr>
              <w:t>Other assets, net (including $6.7 and $5.3 for consolidated VIEs at March 31, 2022 and December 31, 2021; see Note 7</w:t>
            </w:r>
            <w:r>
              <w:rPr>
                <w:rFonts w:ascii="Arial" w:cs="Arial" w:eastAsia="Arial" w:hAnsi="Arial"/>
                <w:sz w:val="15"/>
                <w:szCs w:val="15"/>
                <w:b w:val="1"/>
                <w:bCs w:val="1"/>
                <w:color w:val="auto"/>
                <w:w w:val="94"/>
              </w:rPr>
              <w:t>)</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525.7</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480.6</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5"/>
                <w:szCs w:val="15"/>
                <w:b w:val="1"/>
                <w:bCs w:val="1"/>
                <w:color w:val="auto"/>
              </w:rPr>
              <w:t>Total Assets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13,914.2</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13,494.1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8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7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800" w:type="dxa"/>
            <w:vAlign w:val="bottom"/>
            <w:shd w:val="clear" w:color="auto" w:fill="CCEEFF"/>
          </w:tcPr>
          <w:p>
            <w:pPr>
              <w:ind w:left="220"/>
              <w:spacing w:after="0" w:line="149" w:lineRule="exact"/>
              <w:rPr>
                <w:sz w:val="20"/>
                <w:szCs w:val="20"/>
                <w:color w:val="auto"/>
              </w:rPr>
            </w:pPr>
            <w:r>
              <w:rPr>
                <w:rFonts w:ascii="Arial" w:cs="Arial" w:eastAsia="Arial" w:hAnsi="Arial"/>
                <w:sz w:val="15"/>
                <w:szCs w:val="15"/>
                <w:color w:val="auto"/>
                <w:w w:val="94"/>
              </w:rPr>
              <w:t>Secured debt (see Note 8) (including $53.1 and $52.6 for consolidated VIEs at March 31, 2022 and December 31, 2021;</w:t>
            </w:r>
          </w:p>
        </w:tc>
        <w:tc>
          <w:tcPr>
            <w:tcW w:w="20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3,366.6</w:t>
            </w:r>
          </w:p>
        </w:tc>
        <w:tc>
          <w:tcPr>
            <w:tcW w:w="24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3,380.7</w:t>
            </w:r>
          </w:p>
        </w:tc>
        <w:tc>
          <w:tcPr>
            <w:tcW w:w="0" w:type="dxa"/>
            <w:vAlign w:val="bottom"/>
          </w:tcPr>
          <w:p>
            <w:pPr>
              <w:spacing w:after="0"/>
              <w:rPr>
                <w:sz w:val="1"/>
                <w:szCs w:val="1"/>
                <w:color w:val="auto"/>
              </w:rPr>
            </w:pPr>
          </w:p>
        </w:tc>
      </w:tr>
      <w:tr>
        <w:trPr>
          <w:trHeight w:val="202"/>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see Note 7)</w:t>
            </w:r>
          </w:p>
        </w:tc>
        <w:tc>
          <w:tcPr>
            <w:tcW w:w="200" w:type="dxa"/>
            <w:vAlign w:val="bottom"/>
            <w:vMerge w:val="continue"/>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7800" w:type="dxa"/>
            <w:vAlign w:val="bottom"/>
          </w:tcPr>
          <w:p>
            <w:pPr>
              <w:ind w:left="220"/>
              <w:spacing w:after="0" w:line="149" w:lineRule="exact"/>
              <w:rPr>
                <w:sz w:val="20"/>
                <w:szCs w:val="20"/>
                <w:color w:val="auto"/>
              </w:rPr>
            </w:pPr>
            <w:r>
              <w:rPr>
                <w:rFonts w:ascii="Arial" w:cs="Arial" w:eastAsia="Arial" w:hAnsi="Arial"/>
                <w:sz w:val="15"/>
                <w:szCs w:val="15"/>
                <w:color w:val="auto"/>
              </w:rPr>
              <w:t>Unsecured debt (see Note 8) (including $35.2 for consolidated VIEs at March 31, 2022 and December 31, 2021,</w:t>
            </w:r>
          </w:p>
        </w:tc>
        <w:tc>
          <w:tcPr>
            <w:tcW w:w="20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5"/>
                <w:szCs w:val="15"/>
                <w:color w:val="auto"/>
              </w:rPr>
              <w:t>2,709.9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5"/>
                <w:szCs w:val="15"/>
                <w:color w:val="auto"/>
              </w:rPr>
              <w:t>2,291.1</w:t>
            </w:r>
          </w:p>
        </w:tc>
        <w:tc>
          <w:tcPr>
            <w:tcW w:w="0" w:type="dxa"/>
            <w:vAlign w:val="bottom"/>
          </w:tcPr>
          <w:p>
            <w:pPr>
              <w:spacing w:after="0"/>
              <w:rPr>
                <w:sz w:val="1"/>
                <w:szCs w:val="1"/>
                <w:color w:val="auto"/>
              </w:rPr>
            </w:pP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respectively; see Note 7)</w:t>
            </w:r>
          </w:p>
        </w:tc>
        <w:tc>
          <w:tcPr>
            <w:tcW w:w="20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Distributions payable</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104.5</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w:t>
            </w:r>
          </w:p>
        </w:tc>
        <w:tc>
          <w:tcPr>
            <w:tcW w:w="0" w:type="dxa"/>
            <w:vAlign w:val="bottom"/>
          </w:tcPr>
          <w:p>
            <w:pPr>
              <w:spacing w:after="0"/>
              <w:rPr>
                <w:sz w:val="1"/>
                <w:szCs w:val="1"/>
                <w:color w:val="auto"/>
              </w:rPr>
            </w:pP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Advanced reservation deposits and rent</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335.1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242.8</w:t>
            </w:r>
          </w:p>
        </w:tc>
        <w:tc>
          <w:tcPr>
            <w:tcW w:w="0" w:type="dxa"/>
            <w:vAlign w:val="bottom"/>
          </w:tcPr>
          <w:p>
            <w:pPr>
              <w:spacing w:after="0"/>
              <w:rPr>
                <w:sz w:val="1"/>
                <w:szCs w:val="1"/>
                <w:color w:val="auto"/>
              </w:rPr>
            </w:pP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Accrued expenses and accounts payable</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237.5</w:t>
            </w:r>
          </w:p>
        </w:tc>
        <w:tc>
          <w:tcPr>
            <w:tcW w:w="0" w:type="dxa"/>
            <w:vAlign w:val="bottom"/>
          </w:tcPr>
          <w:p>
            <w:pPr>
              <w:spacing w:after="0"/>
              <w:rPr>
                <w:sz w:val="1"/>
                <w:szCs w:val="1"/>
                <w:color w:val="auto"/>
              </w:rPr>
            </w:pPr>
          </w:p>
        </w:tc>
      </w:tr>
      <w:tr>
        <w:trPr>
          <w:trHeight w:val="198"/>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w w:val="93"/>
              </w:rPr>
              <w:t>Other liabilities (including $123.2 and $94.0 for consolidated VIEs at March 31, 2022 and December 31, 2021; see Note 7)</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236.6</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224.1</w:t>
            </w:r>
          </w:p>
        </w:tc>
        <w:tc>
          <w:tcPr>
            <w:tcW w:w="0" w:type="dxa"/>
            <w:vAlign w:val="bottom"/>
          </w:tcPr>
          <w:p>
            <w:pPr>
              <w:spacing w:after="0"/>
              <w:rPr>
                <w:sz w:val="1"/>
                <w:szCs w:val="1"/>
                <w:color w:val="auto"/>
              </w:rPr>
            </w:pPr>
          </w:p>
        </w:tc>
      </w:tr>
      <w:tr>
        <w:trPr>
          <w:trHeight w:val="200"/>
        </w:trPr>
        <w:tc>
          <w:tcPr>
            <w:tcW w:w="7800" w:type="dxa"/>
            <w:vAlign w:val="bottom"/>
            <w:shd w:val="clear" w:color="auto" w:fill="CCEEFF"/>
          </w:tcPr>
          <w:p>
            <w:pPr>
              <w:ind w:left="480"/>
              <w:spacing w:after="0"/>
              <w:rPr>
                <w:sz w:val="20"/>
                <w:szCs w:val="20"/>
                <w:color w:val="auto"/>
              </w:rPr>
            </w:pPr>
            <w:r>
              <w:rPr>
                <w:rFonts w:ascii="Arial" w:cs="Arial" w:eastAsia="Arial" w:hAnsi="Arial"/>
                <w:sz w:val="15"/>
                <w:szCs w:val="15"/>
                <w:b w:val="1"/>
                <w:bCs w:val="1"/>
                <w:color w:val="auto"/>
              </w:rPr>
              <w:t>Total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6,980.7</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6,474.6</w:t>
            </w:r>
          </w:p>
        </w:tc>
        <w:tc>
          <w:tcPr>
            <w:tcW w:w="0" w:type="dxa"/>
            <w:vAlign w:val="bottom"/>
          </w:tcPr>
          <w:p>
            <w:pPr>
              <w:spacing w:after="0"/>
              <w:rPr>
                <w:sz w:val="1"/>
                <w:szCs w:val="1"/>
                <w:color w:val="auto"/>
              </w:rPr>
            </w:pPr>
          </w:p>
        </w:tc>
      </w:tr>
      <w:tr>
        <w:trPr>
          <w:trHeight w:val="179"/>
        </w:trPr>
        <w:tc>
          <w:tcPr>
            <w:tcW w:w="7800" w:type="dxa"/>
            <w:vAlign w:val="bottom"/>
          </w:tcPr>
          <w:p>
            <w:pPr>
              <w:ind w:left="220"/>
              <w:spacing w:after="0"/>
              <w:rPr>
                <w:sz w:val="20"/>
                <w:szCs w:val="20"/>
                <w:color w:val="auto"/>
              </w:rPr>
            </w:pPr>
            <w:r>
              <w:rPr>
                <w:rFonts w:ascii="Arial" w:cs="Arial" w:eastAsia="Arial" w:hAnsi="Arial"/>
                <w:sz w:val="15"/>
                <w:szCs w:val="15"/>
                <w:color w:val="auto"/>
              </w:rPr>
              <w:t>Commitments and contingencies (see Note 16)</w:t>
            </w: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800" w:type="dxa"/>
            <w:vAlign w:val="bottom"/>
            <w:shd w:val="clear" w:color="auto" w:fill="CCEEFF"/>
          </w:tcPr>
          <w:p>
            <w:pPr>
              <w:ind w:left="220"/>
              <w:spacing w:after="0" w:line="153" w:lineRule="exact"/>
              <w:rPr>
                <w:sz w:val="20"/>
                <w:szCs w:val="20"/>
                <w:color w:val="auto"/>
              </w:rPr>
            </w:pPr>
            <w:r>
              <w:rPr>
                <w:rFonts w:ascii="Arial" w:cs="Arial" w:eastAsia="Arial" w:hAnsi="Arial"/>
                <w:sz w:val="15"/>
                <w:szCs w:val="15"/>
                <w:color w:val="auto"/>
                <w:w w:val="96"/>
              </w:rPr>
              <w:t>Temporary equity (see Note 9) (including $32.3 and $35.4 for consolidated VIEs at March 31, 2022 and December 31,</w:t>
            </w:r>
          </w:p>
        </w:tc>
        <w:tc>
          <w:tcPr>
            <w:tcW w:w="20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283.9</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288.9</w:t>
            </w:r>
          </w:p>
        </w:tc>
        <w:tc>
          <w:tcPr>
            <w:tcW w:w="0" w:type="dxa"/>
            <w:vAlign w:val="bottom"/>
          </w:tcPr>
          <w:p>
            <w:pPr>
              <w:spacing w:after="0"/>
              <w:rPr>
                <w:sz w:val="1"/>
                <w:szCs w:val="1"/>
                <w:color w:val="auto"/>
              </w:rPr>
            </w:pPr>
          </w:p>
        </w:tc>
      </w:tr>
      <w:tr>
        <w:trPr>
          <w:trHeight w:val="202"/>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2021; see Note 7)</w:t>
            </w:r>
          </w:p>
        </w:tc>
        <w:tc>
          <w:tcPr>
            <w:tcW w:w="20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Shareholders' Equity</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7800" w:type="dxa"/>
            <w:vAlign w:val="bottom"/>
            <w:shd w:val="clear" w:color="auto" w:fill="CCEEFF"/>
          </w:tcPr>
          <w:p>
            <w:pPr>
              <w:ind w:left="220"/>
              <w:spacing w:after="0" w:line="151" w:lineRule="exact"/>
              <w:rPr>
                <w:sz w:val="20"/>
                <w:szCs w:val="20"/>
                <w:color w:val="auto"/>
              </w:rPr>
            </w:pPr>
            <w:r>
              <w:rPr>
                <w:rFonts w:ascii="Arial" w:cs="Arial" w:eastAsia="Arial" w:hAnsi="Arial"/>
                <w:sz w:val="15"/>
                <w:szCs w:val="15"/>
                <w:color w:val="auto"/>
                <w:w w:val="93"/>
              </w:rPr>
              <w:t>Common stock, $0.01 par value. Authorized: 180.0 shares; Issued and outstanding: 116.2 at March 31, 2022 and 116.0 at</w:t>
            </w:r>
          </w:p>
        </w:tc>
        <w:tc>
          <w:tcPr>
            <w:tcW w:w="20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2"/>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December 31, 2021</w:t>
            </w:r>
          </w:p>
        </w:tc>
        <w:tc>
          <w:tcPr>
            <w:tcW w:w="20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Additional paid-in capital</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8,169.4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8,175.6</w:t>
            </w:r>
          </w:p>
        </w:tc>
        <w:tc>
          <w:tcPr>
            <w:tcW w:w="0" w:type="dxa"/>
            <w:vAlign w:val="bottom"/>
          </w:tcPr>
          <w:p>
            <w:pPr>
              <w:spacing w:after="0"/>
              <w:rPr>
                <w:sz w:val="1"/>
                <w:szCs w:val="1"/>
                <w:color w:val="auto"/>
              </w:rPr>
            </w:pP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Accumulated other comprehensive income</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98"/>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Distributions in excess of accumulated earnings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(1,654.6)</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(1,556.0)</w:t>
            </w:r>
          </w:p>
        </w:tc>
        <w:tc>
          <w:tcPr>
            <w:tcW w:w="0" w:type="dxa"/>
            <w:vAlign w:val="bottom"/>
          </w:tcPr>
          <w:p>
            <w:pPr>
              <w:spacing w:after="0"/>
              <w:rPr>
                <w:sz w:val="1"/>
                <w:szCs w:val="1"/>
                <w:color w:val="auto"/>
              </w:rPr>
            </w:pPr>
          </w:p>
        </w:tc>
      </w:tr>
      <w:tr>
        <w:trPr>
          <w:trHeight w:val="200"/>
        </w:trPr>
        <w:tc>
          <w:tcPr>
            <w:tcW w:w="78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 Sun Communities, Inc. shareholders' equity</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6,541.9</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6,623.9</w:t>
            </w:r>
          </w:p>
        </w:tc>
        <w:tc>
          <w:tcPr>
            <w:tcW w:w="0" w:type="dxa"/>
            <w:vAlign w:val="bottom"/>
          </w:tcPr>
          <w:p>
            <w:pPr>
              <w:spacing w:after="0"/>
              <w:rPr>
                <w:sz w:val="1"/>
                <w:szCs w:val="1"/>
                <w:color w:val="auto"/>
              </w:rPr>
            </w:pP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Noncontrolling interests</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8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Common and preferred OP units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86.8</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86.8</w:t>
            </w:r>
          </w:p>
        </w:tc>
        <w:tc>
          <w:tcPr>
            <w:tcW w:w="0" w:type="dxa"/>
            <w:vAlign w:val="bottom"/>
          </w:tcPr>
          <w:p>
            <w:pPr>
              <w:spacing w:after="0"/>
              <w:rPr>
                <w:sz w:val="1"/>
                <w:szCs w:val="1"/>
                <w:color w:val="auto"/>
              </w:rPr>
            </w:pPr>
          </w:p>
        </w:tc>
      </w:tr>
      <w:tr>
        <w:trPr>
          <w:trHeight w:val="149"/>
        </w:trPr>
        <w:tc>
          <w:tcPr>
            <w:tcW w:w="7800" w:type="dxa"/>
            <w:vAlign w:val="bottom"/>
          </w:tcPr>
          <w:p>
            <w:pPr>
              <w:ind w:left="360"/>
              <w:spacing w:after="0" w:line="149" w:lineRule="exact"/>
              <w:rPr>
                <w:sz w:val="20"/>
                <w:szCs w:val="20"/>
                <w:color w:val="auto"/>
              </w:rPr>
            </w:pPr>
            <w:r>
              <w:rPr>
                <w:rFonts w:ascii="Arial" w:cs="Arial" w:eastAsia="Arial" w:hAnsi="Arial"/>
                <w:sz w:val="15"/>
                <w:szCs w:val="15"/>
                <w:color w:val="auto"/>
                <w:w w:val="94"/>
              </w:rPr>
              <w:t>Consolidated entities (including $20.3 and $19.4 for consolidated VIEs at March 31, 2022 and December 31, 2021; see</w:t>
            </w:r>
          </w:p>
        </w:tc>
        <w:tc>
          <w:tcPr>
            <w:tcW w:w="20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Arial" w:cs="Arial" w:eastAsia="Arial" w:hAnsi="Arial"/>
                <w:sz w:val="15"/>
                <w:szCs w:val="15"/>
                <w:color w:val="auto"/>
              </w:rPr>
              <w:t>20.9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5"/>
                <w:szCs w:val="15"/>
                <w:color w:val="auto"/>
              </w:rPr>
              <w:t>19.9</w:t>
            </w:r>
          </w:p>
        </w:tc>
        <w:tc>
          <w:tcPr>
            <w:tcW w:w="0" w:type="dxa"/>
            <w:vAlign w:val="bottom"/>
          </w:tcPr>
          <w:p>
            <w:pPr>
              <w:spacing w:after="0"/>
              <w:rPr>
                <w:sz w:val="1"/>
                <w:szCs w:val="1"/>
                <w:color w:val="auto"/>
              </w:rPr>
            </w:pPr>
          </w:p>
        </w:tc>
      </w:tr>
      <w:tr>
        <w:trPr>
          <w:trHeight w:val="198"/>
        </w:trPr>
        <w:tc>
          <w:tcPr>
            <w:tcW w:w="780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Note 7)</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 noncontrolling interests</w:t>
            </w: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107.7</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106.7</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ind w:left="480"/>
              <w:spacing w:after="0"/>
              <w:rPr>
                <w:sz w:val="20"/>
                <w:szCs w:val="20"/>
                <w:color w:val="auto"/>
              </w:rPr>
            </w:pPr>
            <w:r>
              <w:rPr>
                <w:rFonts w:ascii="Arial" w:cs="Arial" w:eastAsia="Arial" w:hAnsi="Arial"/>
                <w:sz w:val="15"/>
                <w:szCs w:val="15"/>
                <w:b w:val="1"/>
                <w:bCs w:val="1"/>
                <w:color w:val="auto"/>
              </w:rPr>
              <w:t>Total Shareholders' Equity</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6,649.6</w:t>
            </w: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6,730.6</w:t>
            </w:r>
          </w:p>
        </w:tc>
        <w:tc>
          <w:tcPr>
            <w:tcW w:w="0" w:type="dxa"/>
            <w:vAlign w:val="bottom"/>
          </w:tcPr>
          <w:p>
            <w:pPr>
              <w:spacing w:after="0"/>
              <w:rPr>
                <w:sz w:val="1"/>
                <w:szCs w:val="1"/>
                <w:color w:val="auto"/>
              </w:rPr>
            </w:pPr>
          </w:p>
        </w:tc>
      </w:tr>
      <w:tr>
        <w:trPr>
          <w:trHeight w:val="225"/>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b w:val="1"/>
                <w:bCs w:val="1"/>
                <w:color w:val="auto"/>
              </w:rPr>
              <w:t>Total Liabilities, Temporary Equity and Shareholders' Equity</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13,914.2</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13,494.1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for per share amounts)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664"/>
              <w:spacing w:after="0"/>
              <w:rPr>
                <w:sz w:val="20"/>
                <w:szCs w:val="20"/>
                <w:color w:val="auto"/>
              </w:rPr>
            </w:pPr>
            <w:r>
              <w:rPr>
                <w:rFonts w:ascii="Arial" w:cs="Arial" w:eastAsia="Arial" w:hAnsi="Arial"/>
                <w:sz w:val="15"/>
                <w:szCs w:val="15"/>
                <w:b w:val="1"/>
                <w:bCs w:val="1"/>
                <w:color w:val="auto"/>
              </w:rPr>
              <w:t>Three Months Ended</w:t>
            </w:r>
          </w:p>
        </w:tc>
      </w:tr>
      <w:tr>
        <w:trPr>
          <w:trHeight w:val="196"/>
        </w:trPr>
        <w:tc>
          <w:tcPr>
            <w:tcW w:w="8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5"/>
                <w:szCs w:val="15"/>
                <w:b w:val="1"/>
                <w:bCs w:val="1"/>
                <w:color w:val="auto"/>
              </w:rPr>
              <w:t>March 31, 2022</w:t>
            </w:r>
          </w:p>
        </w:tc>
        <w:tc>
          <w:tcPr>
            <w:tcW w:w="160" w:type="dxa"/>
            <w:vAlign w:val="bottom"/>
          </w:tcPr>
          <w:p>
            <w:pPr>
              <w:spacing w:after="0"/>
              <w:rPr>
                <w:sz w:val="17"/>
                <w:szCs w:val="17"/>
                <w:color w:val="auto"/>
              </w:rPr>
            </w:pPr>
          </w:p>
        </w:tc>
        <w:tc>
          <w:tcPr>
            <w:tcW w:w="1240" w:type="dxa"/>
            <w:vAlign w:val="bottom"/>
          </w:tcPr>
          <w:p>
            <w:pPr>
              <w:jc w:val="right"/>
              <w:ind w:right="104"/>
              <w:spacing w:after="0"/>
              <w:rPr>
                <w:sz w:val="20"/>
                <w:szCs w:val="20"/>
                <w:color w:val="auto"/>
              </w:rPr>
            </w:pPr>
            <w:r>
              <w:rPr>
                <w:rFonts w:ascii="Arial" w:cs="Arial" w:eastAsia="Arial" w:hAnsi="Arial"/>
                <w:sz w:val="15"/>
                <w:szCs w:val="15"/>
                <w:b w:val="1"/>
                <w:bCs w:val="1"/>
                <w:color w:val="auto"/>
                <w:w w:val="97"/>
              </w:rPr>
              <w:t>March 31, 2021</w:t>
            </w:r>
          </w:p>
        </w:tc>
      </w:tr>
      <w:tr>
        <w:trPr>
          <w:trHeight w:val="183"/>
        </w:trPr>
        <w:tc>
          <w:tcPr>
            <w:tcW w:w="8380" w:type="dxa"/>
            <w:vAlign w:val="bottom"/>
          </w:tcPr>
          <w:p>
            <w:pPr>
              <w:ind w:left="20"/>
              <w:spacing w:after="0"/>
              <w:rPr>
                <w:sz w:val="20"/>
                <w:szCs w:val="20"/>
                <w:color w:val="auto"/>
              </w:rPr>
            </w:pPr>
            <w:r>
              <w:rPr>
                <w:rFonts w:ascii="Arial" w:cs="Arial" w:eastAsia="Arial" w:hAnsi="Arial"/>
                <w:sz w:val="15"/>
                <w:szCs w:val="15"/>
                <w:b w:val="1"/>
                <w:bCs w:val="1"/>
                <w:color w:val="auto"/>
              </w:rPr>
              <w:t>Revenues</w:t>
            </w: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Real property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388.2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330.6</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Home sales</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64.7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52.2</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Service, retail, dining and entertainment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50.6</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Interest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Brokerage commissions and other, net</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w:t>
            </w:r>
          </w:p>
        </w:tc>
      </w:tr>
      <w:tr>
        <w:trPr>
          <w:trHeight w:val="192"/>
        </w:trPr>
        <w:tc>
          <w:tcPr>
            <w:tcW w:w="8380" w:type="dxa"/>
            <w:vAlign w:val="bottom"/>
            <w:tcBorders>
              <w:bottom w:val="single" w:sz="8" w:color="CCEEFF"/>
            </w:tcBorders>
          </w:tcPr>
          <w:p>
            <w:pPr>
              <w:ind w:left="360"/>
              <w:spacing w:after="0"/>
              <w:rPr>
                <w:sz w:val="20"/>
                <w:szCs w:val="20"/>
                <w:color w:val="auto"/>
              </w:rPr>
            </w:pPr>
            <w:r>
              <w:rPr>
                <w:rFonts w:ascii="Arial" w:cs="Arial" w:eastAsia="Arial" w:hAnsi="Arial"/>
                <w:sz w:val="15"/>
                <w:szCs w:val="15"/>
                <w:b w:val="1"/>
                <w:bCs w:val="1"/>
                <w:color w:val="auto"/>
              </w:rPr>
              <w:t>Total Revenues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548.5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442.0</w:t>
            </w:r>
          </w:p>
        </w:tc>
      </w:tr>
      <w:tr>
        <w:trPr>
          <w:trHeight w:val="187"/>
        </w:trPr>
        <w:tc>
          <w:tcPr>
            <w:tcW w:w="83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Expenses</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Property operating and maintenance</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129.3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103.6</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Real estate tax</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22.4</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Home costs and selling</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45.9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41.6</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Service, retail, dining and entertainment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General and administrative</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55.7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38.2</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Catastrophic event-related charges, net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Business combinations</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123.9</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Loss on extinguishment of debt (see Note 8)</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Interest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w:t>
            </w:r>
          </w:p>
        </w:tc>
      </w:tr>
      <w:tr>
        <w:trPr>
          <w:trHeight w:val="198"/>
        </w:trPr>
        <w:tc>
          <w:tcPr>
            <w:tcW w:w="83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Interest on mandatorily redeemable preferred OP units / equity</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r>
      <w:tr>
        <w:trPr>
          <w:trHeight w:val="200"/>
        </w:trPr>
        <w:tc>
          <w:tcPr>
            <w:tcW w:w="8380" w:type="dxa"/>
            <w:vAlign w:val="bottom"/>
            <w:shd w:val="clear" w:color="auto" w:fill="CCEEFF"/>
          </w:tcPr>
          <w:p>
            <w:pPr>
              <w:ind w:left="360"/>
              <w:spacing w:after="0"/>
              <w:rPr>
                <w:sz w:val="20"/>
                <w:szCs w:val="20"/>
                <w:color w:val="auto"/>
              </w:rPr>
            </w:pPr>
            <w:r>
              <w:rPr>
                <w:rFonts w:ascii="Arial" w:cs="Arial" w:eastAsia="Arial" w:hAnsi="Arial"/>
                <w:sz w:val="15"/>
                <w:szCs w:val="15"/>
                <w:b w:val="1"/>
                <w:bCs w:val="1"/>
                <w:color w:val="auto"/>
              </w:rPr>
              <w:t>Total Expenses</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523.0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419.2</w:t>
            </w:r>
          </w:p>
        </w:tc>
      </w:tr>
      <w:tr>
        <w:trPr>
          <w:trHeight w:val="192"/>
        </w:trPr>
        <w:tc>
          <w:tcPr>
            <w:tcW w:w="8380" w:type="dxa"/>
            <w:vAlign w:val="bottom"/>
          </w:tcPr>
          <w:p>
            <w:pPr>
              <w:ind w:left="20"/>
              <w:spacing w:after="0"/>
              <w:rPr>
                <w:sz w:val="20"/>
                <w:szCs w:val="20"/>
                <w:color w:val="auto"/>
              </w:rPr>
            </w:pPr>
            <w:r>
              <w:rPr>
                <w:rFonts w:ascii="Arial" w:cs="Arial" w:eastAsia="Arial" w:hAnsi="Arial"/>
                <w:sz w:val="15"/>
                <w:szCs w:val="15"/>
                <w:b w:val="1"/>
                <w:bCs w:val="1"/>
                <w:color w:val="auto"/>
              </w:rPr>
              <w:t>Income Before Other Items</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25.5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22.8</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 (loss) on remeasurement of marketable securities (see Note 15)</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Loss on foreign currency translation</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on dispositions of properties</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Other expense, net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(0.6)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(0.5)</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on remeasurement of notes receivable (see Note 4)</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r>
      <w:tr>
        <w:trPr>
          <w:trHeight w:val="225"/>
        </w:trPr>
        <w:tc>
          <w:tcPr>
            <w:tcW w:w="8380" w:type="dxa"/>
            <w:vAlign w:val="bottom"/>
          </w:tcPr>
          <w:p>
            <w:pPr>
              <w:ind w:left="220"/>
              <w:spacing w:after="0"/>
              <w:rPr>
                <w:sz w:val="20"/>
                <w:szCs w:val="20"/>
                <w:color w:val="auto"/>
              </w:rPr>
            </w:pPr>
            <w:r>
              <w:rPr>
                <w:rFonts w:ascii="Arial" w:cs="Arial" w:eastAsia="Arial" w:hAnsi="Arial"/>
                <w:sz w:val="15"/>
                <w:szCs w:val="15"/>
                <w:color w:val="auto"/>
              </w:rPr>
              <w:t>Income from nonconsolidated affiliates (see Note 6)</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233"/>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on remeasurement of investment in nonconsolidated affiliates (see Note 6)</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225"/>
        </w:trPr>
        <w:tc>
          <w:tcPr>
            <w:tcW w:w="8380" w:type="dxa"/>
            <w:vAlign w:val="bottom"/>
          </w:tcPr>
          <w:p>
            <w:pPr>
              <w:ind w:left="220"/>
              <w:spacing w:after="0"/>
              <w:rPr>
                <w:sz w:val="20"/>
                <w:szCs w:val="20"/>
                <w:color w:val="auto"/>
              </w:rPr>
            </w:pPr>
            <w:r>
              <w:rPr>
                <w:rFonts w:ascii="Arial" w:cs="Arial" w:eastAsia="Arial" w:hAnsi="Arial"/>
                <w:sz w:val="15"/>
                <w:szCs w:val="15"/>
                <w:color w:val="auto"/>
              </w:rPr>
              <w:t>Current tax benefit / (expense) (see Note 12)</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0.2</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Deferred tax benefit (see Note 12)</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192"/>
        </w:trPr>
        <w:tc>
          <w:tcPr>
            <w:tcW w:w="8380" w:type="dxa"/>
            <w:vAlign w:val="bottom"/>
          </w:tcPr>
          <w:p>
            <w:pPr>
              <w:ind w:left="20"/>
              <w:spacing w:after="0"/>
              <w:rPr>
                <w:sz w:val="20"/>
                <w:szCs w:val="20"/>
                <w:color w:val="auto"/>
              </w:rPr>
            </w:pPr>
            <w:r>
              <w:rPr>
                <w:rFonts w:ascii="Arial" w:cs="Arial" w:eastAsia="Arial" w:hAnsi="Arial"/>
                <w:sz w:val="15"/>
                <w:szCs w:val="15"/>
                <w:b w:val="1"/>
                <w:bCs w:val="1"/>
                <w:color w:val="auto"/>
              </w:rPr>
              <w:t>Net Income</w:t>
            </w: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28.0</w:t>
            </w:r>
          </w:p>
        </w:tc>
      </w:tr>
      <w:tr>
        <w:trPr>
          <w:trHeight w:val="206"/>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Less: Preferred return to preferred OP units / equity interests</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r>
      <w:tr>
        <w:trPr>
          <w:trHeight w:val="199"/>
        </w:trPr>
        <w:tc>
          <w:tcPr>
            <w:tcW w:w="83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Less: Income / (loss) attributable to noncontrolling interests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0.3</w:t>
            </w:r>
          </w:p>
        </w:tc>
      </w:tr>
      <w:tr>
        <w:trPr>
          <w:trHeight w:val="225"/>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Attributable to Sun Communities, Inc. Common Shareholders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24.8</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03"/>
        </w:trPr>
        <w:tc>
          <w:tcPr>
            <w:tcW w:w="8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common shares outstanding - basic</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107.9</w:t>
            </w:r>
          </w:p>
        </w:tc>
      </w:tr>
      <w:tr>
        <w:trPr>
          <w:trHeight w:val="198"/>
        </w:trPr>
        <w:tc>
          <w:tcPr>
            <w:tcW w:w="8380" w:type="dxa"/>
            <w:vAlign w:val="bottom"/>
          </w:tcPr>
          <w:p>
            <w:pPr>
              <w:ind w:left="20"/>
              <w:spacing w:after="0"/>
              <w:rPr>
                <w:sz w:val="20"/>
                <w:szCs w:val="20"/>
                <w:color w:val="auto"/>
              </w:rPr>
            </w:pPr>
            <w:r>
              <w:rPr>
                <w:rFonts w:ascii="Arial" w:cs="Arial" w:eastAsia="Arial" w:hAnsi="Arial"/>
                <w:sz w:val="15"/>
                <w:szCs w:val="15"/>
                <w:color w:val="auto"/>
              </w:rPr>
              <w:t>Weighted average common shares outstanding - diluted</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115.9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108.2</w:t>
            </w:r>
          </w:p>
        </w:tc>
      </w:tr>
      <w:tr>
        <w:trPr>
          <w:trHeight w:val="207"/>
        </w:trPr>
        <w:tc>
          <w:tcPr>
            <w:tcW w:w="8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98"/>
        </w:trPr>
        <w:tc>
          <w:tcPr>
            <w:tcW w:w="8380" w:type="dxa"/>
            <w:vAlign w:val="bottom"/>
          </w:tcPr>
          <w:p>
            <w:pPr>
              <w:ind w:left="20"/>
              <w:spacing w:after="0"/>
              <w:rPr>
                <w:sz w:val="20"/>
                <w:szCs w:val="20"/>
                <w:color w:val="auto"/>
              </w:rPr>
            </w:pPr>
            <w:r>
              <w:rPr>
                <w:rFonts w:ascii="Arial" w:cs="Arial" w:eastAsia="Arial" w:hAnsi="Arial"/>
                <w:sz w:val="15"/>
                <w:szCs w:val="15"/>
                <w:color w:val="auto"/>
              </w:rPr>
              <w:t>Basic earnings per share (see Note 13)</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0.01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0.23</w:t>
            </w:r>
          </w:p>
        </w:tc>
      </w:tr>
      <w:tr>
        <w:trPr>
          <w:trHeight w:val="207"/>
        </w:trPr>
        <w:tc>
          <w:tcPr>
            <w:tcW w:w="8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Diluted earnings per share (see Note 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0.23</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millions)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5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564"/>
              <w:spacing w:after="0"/>
              <w:rPr>
                <w:sz w:val="20"/>
                <w:szCs w:val="20"/>
                <w:color w:val="auto"/>
              </w:rPr>
            </w:pPr>
            <w:r>
              <w:rPr>
                <w:rFonts w:ascii="Arial" w:cs="Arial" w:eastAsia="Arial" w:hAnsi="Arial"/>
                <w:sz w:val="15"/>
                <w:szCs w:val="15"/>
                <w:b w:val="1"/>
                <w:bCs w:val="1"/>
                <w:color w:val="auto"/>
              </w:rPr>
              <w:t>Three Months Ended</w:t>
            </w:r>
          </w:p>
        </w:tc>
      </w:tr>
      <w:tr>
        <w:trPr>
          <w:trHeight w:val="198"/>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5"/>
                <w:szCs w:val="15"/>
                <w:b w:val="1"/>
                <w:bCs w:val="1"/>
                <w:color w:val="auto"/>
              </w:rPr>
              <w:t>March 31, 2022</w:t>
            </w:r>
          </w:p>
        </w:tc>
        <w:tc>
          <w:tcPr>
            <w:tcW w:w="120" w:type="dxa"/>
            <w:vAlign w:val="bottom"/>
          </w:tcPr>
          <w:p>
            <w:pPr>
              <w:spacing w:after="0"/>
              <w:rPr>
                <w:sz w:val="17"/>
                <w:szCs w:val="17"/>
                <w:color w:val="auto"/>
              </w:rPr>
            </w:pPr>
          </w:p>
        </w:tc>
        <w:tc>
          <w:tcPr>
            <w:tcW w:w="1180" w:type="dxa"/>
            <w:vAlign w:val="bottom"/>
          </w:tcPr>
          <w:p>
            <w:pPr>
              <w:jc w:val="right"/>
              <w:ind w:right="64"/>
              <w:spacing w:after="0"/>
              <w:rPr>
                <w:sz w:val="20"/>
                <w:szCs w:val="20"/>
                <w:color w:val="auto"/>
              </w:rPr>
            </w:pPr>
            <w:r>
              <w:rPr>
                <w:rFonts w:ascii="Arial" w:cs="Arial" w:eastAsia="Arial" w:hAnsi="Arial"/>
                <w:sz w:val="15"/>
                <w:szCs w:val="15"/>
                <w:b w:val="1"/>
                <w:bCs w:val="1"/>
                <w:color w:val="auto"/>
                <w:w w:val="95"/>
              </w:rPr>
              <w:t>March 31, 2021</w:t>
            </w:r>
          </w:p>
        </w:tc>
      </w:tr>
      <w:tr>
        <w:trPr>
          <w:trHeight w:val="198"/>
        </w:trPr>
        <w:tc>
          <w:tcPr>
            <w:tcW w:w="8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28.0</w:t>
            </w:r>
          </w:p>
        </w:tc>
      </w:tr>
      <w:tr>
        <w:trPr>
          <w:trHeight w:val="198"/>
        </w:trPr>
        <w:tc>
          <w:tcPr>
            <w:tcW w:w="8560" w:type="dxa"/>
            <w:vAlign w:val="bottom"/>
          </w:tcPr>
          <w:p>
            <w:pPr>
              <w:ind w:left="220"/>
              <w:spacing w:after="0"/>
              <w:rPr>
                <w:sz w:val="20"/>
                <w:szCs w:val="20"/>
                <w:color w:val="auto"/>
              </w:rPr>
            </w:pPr>
            <w:r>
              <w:rPr>
                <w:rFonts w:ascii="Arial" w:cs="Arial" w:eastAsia="Arial" w:hAnsi="Arial"/>
                <w:sz w:val="15"/>
                <w:szCs w:val="15"/>
                <w:color w:val="auto"/>
              </w:rPr>
              <w:t>Foreign currency translation gain / (loss) adjustment</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0.8</w:t>
            </w:r>
          </w:p>
        </w:tc>
      </w:tr>
      <w:tr>
        <w:trPr>
          <w:trHeight w:val="207"/>
        </w:trPr>
        <w:tc>
          <w:tcPr>
            <w:tcW w:w="85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Cash flow hedge - Unrealized gain on interest rate swaps</w:t>
            </w: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8560" w:type="dxa"/>
            <w:vAlign w:val="bottom"/>
          </w:tcPr>
          <w:p>
            <w:pPr>
              <w:ind w:left="20"/>
              <w:spacing w:after="0"/>
              <w:rPr>
                <w:sz w:val="20"/>
                <w:szCs w:val="20"/>
                <w:color w:val="auto"/>
              </w:rPr>
            </w:pPr>
            <w:r>
              <w:rPr>
                <w:rFonts w:ascii="Arial" w:cs="Arial" w:eastAsia="Arial" w:hAnsi="Arial"/>
                <w:sz w:val="15"/>
                <w:szCs w:val="15"/>
                <w:b w:val="1"/>
                <w:bCs w:val="1"/>
                <w:color w:val="auto"/>
              </w:rPr>
              <w:t>Total Comprehensive Income</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28.8</w:t>
            </w:r>
          </w:p>
        </w:tc>
      </w:tr>
      <w:tr>
        <w:trPr>
          <w:trHeight w:val="203"/>
        </w:trPr>
        <w:tc>
          <w:tcPr>
            <w:tcW w:w="85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Less: Comprehensive (income) / loss attributable to noncontrolling interests</w:t>
            </w: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w:t>
            </w:r>
          </w:p>
        </w:tc>
      </w:tr>
      <w:tr>
        <w:trPr>
          <w:trHeight w:val="200"/>
        </w:trPr>
        <w:tc>
          <w:tcPr>
            <w:tcW w:w="8560" w:type="dxa"/>
            <w:vAlign w:val="bottom"/>
          </w:tcPr>
          <w:p>
            <w:pPr>
              <w:ind w:left="20"/>
              <w:spacing w:after="0"/>
              <w:rPr>
                <w:sz w:val="20"/>
                <w:szCs w:val="20"/>
                <w:color w:val="auto"/>
              </w:rPr>
            </w:pPr>
            <w:r>
              <w:rPr>
                <w:rFonts w:ascii="Arial" w:cs="Arial" w:eastAsia="Arial" w:hAnsi="Arial"/>
                <w:sz w:val="15"/>
                <w:szCs w:val="15"/>
                <w:b w:val="1"/>
                <w:bCs w:val="1"/>
                <w:color w:val="auto"/>
              </w:rPr>
              <w:t>Comprehensive Income attributable to Sun Communities, Inc.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26.5</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28.5</w:t>
            </w:r>
          </w:p>
        </w:tc>
      </w:tr>
      <w:tr>
        <w:trPr>
          <w:trHeight w:val="20"/>
        </w:trPr>
        <w:tc>
          <w:tcPr>
            <w:tcW w:w="8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304"/>
              <w:spacing w:after="0"/>
              <w:rPr>
                <w:sz w:val="20"/>
                <w:szCs w:val="20"/>
                <w:color w:val="auto"/>
              </w:rPr>
            </w:pPr>
            <w:r>
              <w:rPr>
                <w:rFonts w:ascii="Arial" w:cs="Arial" w:eastAsia="Arial" w:hAnsi="Arial"/>
                <w:sz w:val="14"/>
                <w:szCs w:val="14"/>
                <w:b w:val="1"/>
                <w:bCs w:val="1"/>
                <w:color w:val="auto"/>
              </w:rPr>
              <w:t>Shareholders' Equity</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ind w:right="64"/>
              <w:spacing w:after="0"/>
              <w:rPr>
                <w:sz w:val="20"/>
                <w:szCs w:val="20"/>
                <w:color w:val="auto"/>
              </w:rPr>
            </w:pPr>
            <w:r>
              <w:rPr>
                <w:rFonts w:ascii="Arial" w:cs="Arial" w:eastAsia="Arial" w:hAnsi="Arial"/>
                <w:sz w:val="14"/>
                <w:szCs w:val="14"/>
                <w:b w:val="1"/>
                <w:bCs w:val="1"/>
                <w:color w:val="auto"/>
                <w:w w:val="93"/>
              </w:rPr>
              <w:t>Additional</w:t>
            </w:r>
          </w:p>
        </w:tc>
        <w:tc>
          <w:tcPr>
            <w:tcW w:w="10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Distributions in</w:t>
            </w: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Accumulated Other</w:t>
            </w:r>
          </w:p>
        </w:tc>
        <w:tc>
          <w:tcPr>
            <w:tcW w:w="100" w:type="dxa"/>
            <w:vAlign w:val="bottom"/>
          </w:tcPr>
          <w:p>
            <w:pPr>
              <w:spacing w:after="0"/>
              <w:rPr>
                <w:sz w:val="11"/>
                <w:szCs w:val="11"/>
                <w:color w:val="auto"/>
              </w:rPr>
            </w:pPr>
          </w:p>
        </w:tc>
        <w:tc>
          <w:tcPr>
            <w:tcW w:w="82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1"/>
                <w:szCs w:val="11"/>
                <w:color w:val="auto"/>
              </w:rPr>
            </w:pPr>
          </w:p>
        </w:tc>
        <w:tc>
          <w:tcPr>
            <w:tcW w:w="11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3"/>
              </w:rPr>
              <w:t>Temporary</w:t>
            </w:r>
          </w:p>
        </w:tc>
        <w:tc>
          <w:tcPr>
            <w:tcW w:w="40" w:type="dxa"/>
            <w:vAlign w:val="bottom"/>
          </w:tcPr>
          <w:p>
            <w:pPr>
              <w:spacing w:after="0"/>
              <w:rPr>
                <w:sz w:val="11"/>
                <w:szCs w:val="11"/>
                <w:color w:val="auto"/>
              </w:rPr>
            </w:pPr>
          </w:p>
        </w:tc>
        <w:tc>
          <w:tcPr>
            <w:tcW w:w="760" w:type="dxa"/>
            <w:vAlign w:val="bottom"/>
            <w:gridSpan w:val="2"/>
            <w:vMerge w:val="restart"/>
          </w:tcPr>
          <w:p>
            <w:pPr>
              <w:jc w:val="right"/>
              <w:ind w:right="44"/>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45"/>
              <w:spacing w:after="0" w:line="135" w:lineRule="exact"/>
              <w:rPr>
                <w:sz w:val="20"/>
                <w:szCs w:val="20"/>
                <w:color w:val="auto"/>
              </w:rPr>
            </w:pPr>
            <w:r>
              <w:rPr>
                <w:rFonts w:ascii="Arial" w:cs="Arial" w:eastAsia="Arial" w:hAnsi="Arial"/>
                <w:sz w:val="14"/>
                <w:szCs w:val="14"/>
                <w:b w:val="1"/>
                <w:bCs w:val="1"/>
                <w:color w:val="auto"/>
                <w:w w:val="85"/>
              </w:rPr>
              <w:t>Excess of</w:t>
            </w:r>
          </w:p>
        </w:tc>
        <w:tc>
          <w:tcPr>
            <w:tcW w:w="12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164"/>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960" w:type="dxa"/>
            <w:vAlign w:val="bottom"/>
          </w:tcPr>
          <w:p>
            <w:pPr>
              <w:jc w:val="center"/>
              <w:ind w:right="65"/>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1140" w:type="dxa"/>
            <w:vAlign w:val="bottom"/>
          </w:tcPr>
          <w:p>
            <w:pPr>
              <w:jc w:val="right"/>
              <w:ind w:right="104"/>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1"/>
                <w:szCs w:val="11"/>
                <w:color w:val="auto"/>
              </w:rPr>
            </w:pPr>
          </w:p>
        </w:tc>
        <w:tc>
          <w:tcPr>
            <w:tcW w:w="82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1"/>
                <w:szCs w:val="11"/>
                <w:color w:val="auto"/>
              </w:rPr>
            </w:pPr>
          </w:p>
        </w:tc>
        <w:tc>
          <w:tcPr>
            <w:tcW w:w="112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Shareholders'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44"/>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800" w:type="dxa"/>
            <w:vAlign w:val="bottom"/>
          </w:tcPr>
          <w:p>
            <w:pPr>
              <w:jc w:val="right"/>
              <w:ind w:right="164"/>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960" w:type="dxa"/>
            <w:vAlign w:val="bottom"/>
          </w:tcPr>
          <w:p>
            <w:pPr>
              <w:jc w:val="center"/>
              <w:ind w:right="45"/>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1140" w:type="dxa"/>
            <w:vAlign w:val="bottom"/>
          </w:tcPr>
          <w:p>
            <w:pPr>
              <w:jc w:val="right"/>
              <w:ind w:right="344"/>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6"/>
                <w:szCs w:val="16"/>
                <w:color w:val="auto"/>
              </w:rPr>
            </w:pPr>
          </w:p>
        </w:tc>
        <w:tc>
          <w:tcPr>
            <w:tcW w:w="820" w:type="dxa"/>
            <w:vAlign w:val="bottom"/>
          </w:tcPr>
          <w:p>
            <w:pPr>
              <w:jc w:val="center"/>
              <w:ind w:right="44"/>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6"/>
                <w:szCs w:val="16"/>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center"/>
              <w:ind w:right="12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7"/>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2021</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288.9</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8,175.6</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(1,556.0)</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106.7</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6,730.6</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7,019.5</w:t>
            </w:r>
          </w:p>
        </w:tc>
        <w:tc>
          <w:tcPr>
            <w:tcW w:w="0" w:type="dxa"/>
            <w:vAlign w:val="bottom"/>
          </w:tcPr>
          <w:p>
            <w:pPr>
              <w:spacing w:after="0"/>
              <w:rPr>
                <w:sz w:val="1"/>
                <w:szCs w:val="1"/>
                <w:color w:val="auto"/>
              </w:rPr>
            </w:pPr>
          </w:p>
        </w:tc>
      </w:tr>
      <w:tr>
        <w:trPr>
          <w:trHeight w:val="149"/>
        </w:trPr>
        <w:tc>
          <w:tcPr>
            <w:tcW w:w="2960" w:type="dxa"/>
            <w:vAlign w:val="bottom"/>
          </w:tcPr>
          <w:p>
            <w:pPr>
              <w:ind w:left="20"/>
              <w:spacing w:after="0" w:line="149" w:lineRule="exact"/>
              <w:rPr>
                <w:sz w:val="20"/>
                <w:szCs w:val="20"/>
                <w:color w:val="auto"/>
              </w:rPr>
            </w:pPr>
            <w:r>
              <w:rPr>
                <w:rFonts w:ascii="Arial" w:cs="Arial" w:eastAsia="Arial" w:hAnsi="Arial"/>
                <w:sz w:val="15"/>
                <w:szCs w:val="15"/>
                <w:color w:val="auto"/>
                <w:w w:val="99"/>
              </w:rPr>
              <w:t>Issuance of common stock and common OP</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restart"/>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(0.2)</w:t>
            </w:r>
          </w:p>
        </w:tc>
        <w:tc>
          <w:tcPr>
            <w:tcW w:w="120" w:type="dxa"/>
            <w:vAlign w:val="bottom"/>
          </w:tcPr>
          <w:p>
            <w:pPr>
              <w:spacing w:after="0"/>
              <w:rPr>
                <w:sz w:val="12"/>
                <w:szCs w:val="12"/>
                <w:color w:val="auto"/>
              </w:rPr>
            </w:pPr>
          </w:p>
        </w:tc>
        <w:tc>
          <w:tcPr>
            <w:tcW w:w="96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140" w:type="dxa"/>
            <w:vAlign w:val="bottom"/>
            <w:vMerge w:val="restart"/>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820" w:type="dxa"/>
            <w:vAlign w:val="bottom"/>
            <w:vMerge w:val="restart"/>
          </w:tcPr>
          <w:p>
            <w:pPr>
              <w:jc w:val="right"/>
              <w:ind w:right="4"/>
              <w:spacing w:after="0"/>
              <w:rPr>
                <w:sz w:val="20"/>
                <w:szCs w:val="20"/>
                <w:color w:val="auto"/>
              </w:rPr>
            </w:pPr>
            <w:r>
              <w:rPr>
                <w:rFonts w:ascii="Arial" w:cs="Arial" w:eastAsia="Arial" w:hAnsi="Arial"/>
                <w:sz w:val="15"/>
                <w:szCs w:val="15"/>
                <w:color w:val="auto"/>
              </w:rPr>
              <w:t>2.8</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2.6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98"/>
        </w:trPr>
        <w:tc>
          <w:tcPr>
            <w:tcW w:w="2960" w:type="dxa"/>
            <w:vAlign w:val="bottom"/>
          </w:tcPr>
          <w:p>
            <w:pPr>
              <w:ind w:left="20"/>
              <w:spacing w:after="0"/>
              <w:rPr>
                <w:sz w:val="20"/>
                <w:szCs w:val="20"/>
                <w:color w:val="auto"/>
              </w:rPr>
            </w:pPr>
            <w:r>
              <w:rPr>
                <w:rFonts w:ascii="Arial" w:cs="Arial" w:eastAsia="Arial" w:hAnsi="Arial"/>
                <w:sz w:val="15"/>
                <w:szCs w:val="15"/>
                <w:color w:val="auto"/>
              </w:rPr>
              <w:t>units, net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96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7"/>
              </w:rPr>
              <w:t>Common stock withheld to satisfy income tax</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w w:val="93"/>
              </w:rPr>
              <w:t>obligations related to vesting of restricted stock</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(16.4)</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(16.4)</w:t>
            </w: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awards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60" w:type="dxa"/>
            <w:vAlign w:val="bottom"/>
          </w:tcPr>
          <w:p>
            <w:pPr>
              <w:ind w:left="20"/>
              <w:spacing w:after="0"/>
              <w:rPr>
                <w:sz w:val="20"/>
                <w:szCs w:val="20"/>
                <w:color w:val="auto"/>
              </w:rPr>
            </w:pPr>
            <w:r>
              <w:rPr>
                <w:rFonts w:ascii="Arial" w:cs="Arial" w:eastAsia="Arial" w:hAnsi="Arial"/>
                <w:sz w:val="15"/>
                <w:szCs w:val="15"/>
                <w:color w:val="auto"/>
              </w:rPr>
              <w:t>Conversion of OP units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0.7</w:t>
            </w:r>
          </w:p>
        </w:tc>
        <w:tc>
          <w:tcPr>
            <w:tcW w:w="120" w:type="dxa"/>
            <w:vAlign w:val="bottom"/>
          </w:tcPr>
          <w:p>
            <w:pPr>
              <w:spacing w:after="0"/>
              <w:rPr>
                <w:sz w:val="17"/>
                <w:szCs w:val="17"/>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(0.7)</w:t>
            </w:r>
          </w:p>
        </w:tc>
        <w:tc>
          <w:tcPr>
            <w:tcW w:w="120" w:type="dxa"/>
            <w:vAlign w:val="bottom"/>
          </w:tcPr>
          <w:p>
            <w:pPr>
              <w:spacing w:after="0"/>
              <w:rPr>
                <w:sz w:val="17"/>
                <w:szCs w:val="17"/>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296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4"/>
              </w:rPr>
              <w:t>Share-based compensation - amortization and</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9.7</w:t>
            </w: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0.1</w:t>
            </w: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forfeitures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60" w:type="dxa"/>
            <w:vAlign w:val="bottom"/>
          </w:tcPr>
          <w:p>
            <w:pPr>
              <w:ind w:left="20"/>
              <w:spacing w:after="0"/>
              <w:rPr>
                <w:sz w:val="20"/>
                <w:szCs w:val="20"/>
                <w:color w:val="auto"/>
              </w:rPr>
            </w:pPr>
            <w:r>
              <w:rPr>
                <w:rFonts w:ascii="Arial" w:cs="Arial" w:eastAsia="Arial" w:hAnsi="Arial"/>
                <w:sz w:val="15"/>
                <w:szCs w:val="15"/>
                <w:color w:val="auto"/>
              </w:rPr>
              <w:t>Other comprehensive income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22.8</w:t>
            </w:r>
          </w:p>
        </w:tc>
        <w:tc>
          <w:tcPr>
            <w:tcW w:w="10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23.9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23.9</w:t>
            </w:r>
          </w:p>
        </w:tc>
        <w:tc>
          <w:tcPr>
            <w:tcW w:w="0" w:type="dxa"/>
            <w:vAlign w:val="bottom"/>
          </w:tcPr>
          <w:p>
            <w:pPr>
              <w:spacing w:after="0"/>
              <w:rPr>
                <w:sz w:val="1"/>
                <w:szCs w:val="1"/>
                <w:color w:val="auto"/>
              </w:rPr>
            </w:pPr>
          </w:p>
        </w:tc>
      </w:tr>
      <w:tr>
        <w:trPr>
          <w:trHeight w:val="207"/>
        </w:trPr>
        <w:tc>
          <w:tcPr>
            <w:tcW w:w="2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 (loss)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3.7</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0.9</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98"/>
        </w:trPr>
        <w:tc>
          <w:tcPr>
            <w:tcW w:w="2960" w:type="dxa"/>
            <w:vAlign w:val="bottom"/>
          </w:tcPr>
          <w:p>
            <w:pPr>
              <w:ind w:left="20"/>
              <w:spacing w:after="0"/>
              <w:rPr>
                <w:sz w:val="20"/>
                <w:szCs w:val="20"/>
                <w:color w:val="auto"/>
              </w:rPr>
            </w:pPr>
            <w:r>
              <w:rPr>
                <w:rFonts w:ascii="Arial" w:cs="Arial" w:eastAsia="Arial" w:hAnsi="Arial"/>
                <w:sz w:val="15"/>
                <w:szCs w:val="15"/>
                <w:color w:val="auto"/>
              </w:rPr>
              <w:t>Distributions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(102.3)</w:t>
            </w:r>
          </w:p>
        </w:tc>
        <w:tc>
          <w:tcPr>
            <w:tcW w:w="1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(105.4)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(107.5)</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0"/>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Balance at March 31, 2022</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283.9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8,169.4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(1,654.6)</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25.9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107.7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6,649.6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6,933.5</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2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4"/>
                <w:szCs w:val="14"/>
                <w:b w:val="1"/>
                <w:bCs w:val="1"/>
                <w:color w:val="auto"/>
              </w:rPr>
              <w:t>Shareholders' Equity</w:t>
            </w: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Distributions in</w:t>
            </w:r>
          </w:p>
        </w:tc>
        <w:tc>
          <w:tcPr>
            <w:tcW w:w="12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00" w:type="dxa"/>
            <w:vAlign w:val="bottom"/>
          </w:tcPr>
          <w:p>
            <w:pPr>
              <w:spacing w:after="0"/>
              <w:rPr>
                <w:sz w:val="11"/>
                <w:szCs w:val="11"/>
                <w:color w:val="auto"/>
              </w:rPr>
            </w:pPr>
          </w:p>
        </w:tc>
        <w:tc>
          <w:tcPr>
            <w:tcW w:w="820" w:type="dxa"/>
            <w:vAlign w:val="bottom"/>
            <w:vMerge w:val="restart"/>
          </w:tcPr>
          <w:p>
            <w:pPr>
              <w:jc w:val="center"/>
              <w:ind w:right="4"/>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1"/>
                <w:szCs w:val="11"/>
                <w:color w:val="auto"/>
              </w:rPr>
            </w:pPr>
          </w:p>
        </w:tc>
        <w:tc>
          <w:tcPr>
            <w:tcW w:w="11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Temporary</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ind w:right="4"/>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5"/>
              <w:spacing w:after="0" w:line="135" w:lineRule="exact"/>
              <w:rPr>
                <w:sz w:val="20"/>
                <w:szCs w:val="20"/>
                <w:color w:val="auto"/>
              </w:rPr>
            </w:pPr>
            <w:r>
              <w:rPr>
                <w:rFonts w:ascii="Arial" w:cs="Arial" w:eastAsia="Arial" w:hAnsi="Arial"/>
                <w:sz w:val="14"/>
                <w:szCs w:val="14"/>
                <w:b w:val="1"/>
                <w:bCs w:val="1"/>
                <w:color w:val="auto"/>
                <w:w w:val="85"/>
              </w:rPr>
              <w:t>Excess of</w:t>
            </w:r>
          </w:p>
        </w:tc>
        <w:tc>
          <w:tcPr>
            <w:tcW w:w="12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144"/>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960" w:type="dxa"/>
            <w:vAlign w:val="bottom"/>
          </w:tcPr>
          <w:p>
            <w:pPr>
              <w:jc w:val="center"/>
              <w:ind w:right="5"/>
              <w:spacing w:after="0" w:line="135"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1"/>
                <w:szCs w:val="11"/>
                <w:color w:val="auto"/>
              </w:rPr>
            </w:pPr>
          </w:p>
        </w:tc>
        <w:tc>
          <w:tcPr>
            <w:tcW w:w="114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1"/>
                <w:szCs w:val="11"/>
                <w:color w:val="auto"/>
              </w:rPr>
            </w:pPr>
          </w:p>
        </w:tc>
        <w:tc>
          <w:tcPr>
            <w:tcW w:w="820" w:type="dxa"/>
            <w:vAlign w:val="bottom"/>
          </w:tcPr>
          <w:p>
            <w:pPr>
              <w:jc w:val="center"/>
              <w:ind w:right="4"/>
              <w:spacing w:after="0" w:line="135"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1"/>
                <w:szCs w:val="11"/>
                <w:color w:val="auto"/>
              </w:rPr>
            </w:pPr>
          </w:p>
        </w:tc>
        <w:tc>
          <w:tcPr>
            <w:tcW w:w="112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Shareholders'</w:t>
            </w:r>
          </w:p>
        </w:tc>
        <w:tc>
          <w:tcPr>
            <w:tcW w:w="20" w:type="dxa"/>
            <w:vAlign w:val="bottom"/>
          </w:tcPr>
          <w:p>
            <w:pPr>
              <w:spacing w:after="0"/>
              <w:rPr>
                <w:sz w:val="11"/>
                <w:szCs w:val="11"/>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88"/>
        </w:trPr>
        <w:tc>
          <w:tcPr>
            <w:tcW w:w="29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Stock</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9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7,087.6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(1,566.6)</w:t>
            </w:r>
          </w:p>
        </w:tc>
        <w:tc>
          <w:tcPr>
            <w:tcW w:w="140" w:type="dxa"/>
            <w:vAlign w:val="bottom"/>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5,627.3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5,891.7</w:t>
            </w:r>
          </w:p>
        </w:tc>
        <w:tc>
          <w:tcPr>
            <w:tcW w:w="0" w:type="dxa"/>
            <w:vAlign w:val="bottom"/>
          </w:tcPr>
          <w:p>
            <w:pPr>
              <w:spacing w:after="0"/>
              <w:rPr>
                <w:sz w:val="1"/>
                <w:szCs w:val="1"/>
                <w:color w:val="auto"/>
              </w:rPr>
            </w:pPr>
          </w:p>
        </w:tc>
      </w:tr>
      <w:tr>
        <w:trPr>
          <w:trHeight w:val="149"/>
        </w:trPr>
        <w:tc>
          <w:tcPr>
            <w:tcW w:w="2960" w:type="dxa"/>
            <w:vAlign w:val="bottom"/>
          </w:tcPr>
          <w:p>
            <w:pPr>
              <w:ind w:left="20"/>
              <w:spacing w:after="0" w:line="149" w:lineRule="exact"/>
              <w:rPr>
                <w:sz w:val="20"/>
                <w:szCs w:val="20"/>
                <w:color w:val="auto"/>
              </w:rPr>
            </w:pPr>
            <w:r>
              <w:rPr>
                <w:rFonts w:ascii="Arial" w:cs="Arial" w:eastAsia="Arial" w:hAnsi="Arial"/>
                <w:sz w:val="15"/>
                <w:szCs w:val="15"/>
                <w:color w:val="auto"/>
                <w:w w:val="99"/>
              </w:rPr>
              <w:t>Issuance of common stock and common OP</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537.1</w:t>
            </w:r>
          </w:p>
        </w:tc>
        <w:tc>
          <w:tcPr>
            <w:tcW w:w="1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537.1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537.1</w:t>
            </w:r>
          </w:p>
        </w:tc>
        <w:tc>
          <w:tcPr>
            <w:tcW w:w="0" w:type="dxa"/>
            <w:vAlign w:val="bottom"/>
          </w:tcPr>
          <w:p>
            <w:pPr>
              <w:spacing w:after="0"/>
              <w:rPr>
                <w:sz w:val="1"/>
                <w:szCs w:val="1"/>
                <w:color w:val="auto"/>
              </w:rPr>
            </w:pPr>
          </w:p>
        </w:tc>
      </w:tr>
      <w:tr>
        <w:trPr>
          <w:trHeight w:val="198"/>
        </w:trPr>
        <w:tc>
          <w:tcPr>
            <w:tcW w:w="2960" w:type="dxa"/>
            <w:vAlign w:val="bottom"/>
          </w:tcPr>
          <w:p>
            <w:pPr>
              <w:ind w:left="20"/>
              <w:spacing w:after="0"/>
              <w:rPr>
                <w:sz w:val="20"/>
                <w:szCs w:val="20"/>
                <w:color w:val="auto"/>
              </w:rPr>
            </w:pPr>
            <w:r>
              <w:rPr>
                <w:rFonts w:ascii="Arial" w:cs="Arial" w:eastAsia="Arial" w:hAnsi="Arial"/>
                <w:sz w:val="15"/>
                <w:szCs w:val="15"/>
                <w:color w:val="auto"/>
              </w:rPr>
              <w:t>units, net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96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7"/>
              </w:rPr>
              <w:t>Common stock withheld to satisfy income tax</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w w:val="93"/>
              </w:rPr>
              <w:t>obligations related to vesting of restricted stock</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1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awards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60" w:type="dxa"/>
            <w:vAlign w:val="bottom"/>
          </w:tcPr>
          <w:p>
            <w:pPr>
              <w:ind w:left="20"/>
              <w:spacing w:after="0"/>
              <w:rPr>
                <w:sz w:val="20"/>
                <w:szCs w:val="20"/>
                <w:color w:val="auto"/>
              </w:rPr>
            </w:pPr>
            <w:r>
              <w:rPr>
                <w:rFonts w:ascii="Arial" w:cs="Arial" w:eastAsia="Arial" w:hAnsi="Arial"/>
                <w:sz w:val="15"/>
                <w:szCs w:val="15"/>
                <w:color w:val="auto"/>
              </w:rPr>
              <w:t>Conversion of OP units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17"/>
                <w:szCs w:val="17"/>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Equity interest in consolidated entities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98"/>
        </w:trPr>
        <w:tc>
          <w:tcPr>
            <w:tcW w:w="2960" w:type="dxa"/>
            <w:vAlign w:val="bottom"/>
          </w:tcPr>
          <w:p>
            <w:pPr>
              <w:ind w:left="20"/>
              <w:spacing w:after="0"/>
              <w:rPr>
                <w:sz w:val="20"/>
                <w:szCs w:val="20"/>
                <w:color w:val="auto"/>
              </w:rPr>
            </w:pPr>
            <w:r>
              <w:rPr>
                <w:rFonts w:ascii="Arial" w:cs="Arial" w:eastAsia="Arial" w:hAnsi="Arial"/>
                <w:sz w:val="15"/>
                <w:szCs w:val="15"/>
                <w:color w:val="auto"/>
              </w:rPr>
              <w:t>Other redeemable non-controlling interests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(0.1)</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296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4"/>
              </w:rPr>
              <w:t>Share-based compensation - amortization and</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forfeitures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60" w:type="dxa"/>
            <w:vAlign w:val="bottom"/>
          </w:tcPr>
          <w:p>
            <w:pPr>
              <w:ind w:left="20"/>
              <w:spacing w:after="0"/>
              <w:rPr>
                <w:sz w:val="20"/>
                <w:szCs w:val="20"/>
                <w:color w:val="auto"/>
              </w:rPr>
            </w:pPr>
            <w:r>
              <w:rPr>
                <w:rFonts w:ascii="Arial" w:cs="Arial" w:eastAsia="Arial" w:hAnsi="Arial"/>
                <w:sz w:val="15"/>
                <w:szCs w:val="15"/>
                <w:color w:val="auto"/>
              </w:rPr>
              <w:t>Other comprehensive income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0.8</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0.8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206"/>
        </w:trPr>
        <w:tc>
          <w:tcPr>
            <w:tcW w:w="2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 (loss)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w:t>
            </w:r>
          </w:p>
        </w:tc>
        <w:tc>
          <w:tcPr>
            <w:tcW w:w="0" w:type="dxa"/>
            <w:vAlign w:val="bottom"/>
          </w:tcPr>
          <w:p>
            <w:pPr>
              <w:spacing w:after="0"/>
              <w:rPr>
                <w:sz w:val="1"/>
                <w:szCs w:val="1"/>
                <w:color w:val="auto"/>
              </w:rPr>
            </w:pPr>
          </w:p>
        </w:tc>
      </w:tr>
      <w:tr>
        <w:trPr>
          <w:trHeight w:val="198"/>
        </w:trPr>
        <w:tc>
          <w:tcPr>
            <w:tcW w:w="2960" w:type="dxa"/>
            <w:vAlign w:val="bottom"/>
          </w:tcPr>
          <w:p>
            <w:pPr>
              <w:ind w:left="20"/>
              <w:spacing w:after="0"/>
              <w:rPr>
                <w:sz w:val="20"/>
                <w:szCs w:val="20"/>
                <w:color w:val="auto"/>
              </w:rPr>
            </w:pPr>
            <w:r>
              <w:rPr>
                <w:rFonts w:ascii="Arial" w:cs="Arial" w:eastAsia="Arial" w:hAnsi="Arial"/>
                <w:sz w:val="15"/>
                <w:szCs w:val="15"/>
                <w:color w:val="auto"/>
              </w:rPr>
              <w:t>Distributions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(92.8)</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(3.2)</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(96.0)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(97.8)</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200"/>
        </w:trPr>
        <w:tc>
          <w:tcPr>
            <w:tcW w:w="2960" w:type="dxa"/>
            <w:vAlign w:val="bottom"/>
          </w:tcPr>
          <w:p>
            <w:pPr>
              <w:ind w:left="20"/>
              <w:spacing w:after="0"/>
              <w:rPr>
                <w:sz w:val="20"/>
                <w:szCs w:val="20"/>
                <w:color w:val="auto"/>
              </w:rPr>
            </w:pPr>
            <w:r>
              <w:rPr>
                <w:rFonts w:ascii="Arial" w:cs="Arial" w:eastAsia="Arial" w:hAnsi="Arial"/>
                <w:sz w:val="15"/>
                <w:szCs w:val="15"/>
                <w:b w:val="1"/>
                <w:bCs w:val="1"/>
                <w:color w:val="auto"/>
              </w:rPr>
              <w:t>Balance at March 31, 2021</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261.1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1.1</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7,618.1</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(1,631.0)</w:t>
            </w: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4.0</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99.4</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6,091.6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8"/>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6,352.7</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944"/>
              <w:spacing w:after="0"/>
              <w:rPr>
                <w:sz w:val="20"/>
                <w:szCs w:val="20"/>
                <w:color w:val="auto"/>
              </w:rPr>
            </w:pPr>
            <w:r>
              <w:rPr>
                <w:rFonts w:ascii="Arial" w:cs="Arial" w:eastAsia="Arial" w:hAnsi="Arial"/>
                <w:sz w:val="15"/>
                <w:szCs w:val="15"/>
                <w:b w:val="1"/>
                <w:bCs w:val="1"/>
                <w:color w:val="auto"/>
              </w:rPr>
              <w:t>Three Months Ended</w:t>
            </w:r>
          </w:p>
        </w:tc>
      </w:tr>
      <w:tr>
        <w:trPr>
          <w:trHeight w:val="196"/>
        </w:trPr>
        <w:tc>
          <w:tcPr>
            <w:tcW w:w="7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2022</w:t>
            </w:r>
          </w:p>
        </w:tc>
        <w:tc>
          <w:tcPr>
            <w:tcW w:w="180" w:type="dxa"/>
            <w:vAlign w:val="bottom"/>
          </w:tcPr>
          <w:p>
            <w:pPr>
              <w:spacing w:after="0"/>
              <w:rPr>
                <w:sz w:val="17"/>
                <w:szCs w:val="17"/>
                <w:color w:val="auto"/>
              </w:rPr>
            </w:pPr>
          </w:p>
        </w:tc>
        <w:tc>
          <w:tcPr>
            <w:tcW w:w="1420" w:type="dxa"/>
            <w:vAlign w:val="bottom"/>
          </w:tcPr>
          <w:p>
            <w:pPr>
              <w:jc w:val="right"/>
              <w:ind w:right="224"/>
              <w:spacing w:after="0"/>
              <w:rPr>
                <w:sz w:val="20"/>
                <w:szCs w:val="20"/>
                <w:color w:val="auto"/>
              </w:rPr>
            </w:pPr>
            <w:r>
              <w:rPr>
                <w:rFonts w:ascii="Arial" w:cs="Arial" w:eastAsia="Arial" w:hAnsi="Arial"/>
                <w:sz w:val="15"/>
                <w:szCs w:val="15"/>
                <w:b w:val="1"/>
                <w:bCs w:val="1"/>
                <w:color w:val="auto"/>
              </w:rPr>
              <w:t>March 31, 2021</w:t>
            </w:r>
          </w:p>
        </w:tc>
      </w:tr>
      <w:tr>
        <w:trPr>
          <w:trHeight w:val="196"/>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b w:val="1"/>
                <w:bCs w:val="1"/>
                <w:color w:val="auto"/>
              </w:rPr>
              <w:t>Net Cash Provided By Operating Activities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225.7</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220.5</w:t>
            </w:r>
          </w:p>
        </w:tc>
      </w:tr>
      <w:tr>
        <w:trPr>
          <w:trHeight w:val="192"/>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Investment in properties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(152.0)</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Acquisitions of properties, net of cash acquired</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(299.0)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(141.7)</w:t>
            </w: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disposition of assets and depreciated homes, net</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Proceeds related to disposition of properties</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0.1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Issuance of notes and other receivables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Repayments of notes and other receivables</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206"/>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Investments in nonconsolidated affiliates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w:t>
            </w:r>
          </w:p>
        </w:tc>
      </w:tr>
      <w:tr>
        <w:trPr>
          <w:trHeight w:val="199"/>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Distributions of capital from nonconsolidated affiliates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r>
      <w:tr>
        <w:trPr>
          <w:trHeight w:val="200"/>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b w:val="1"/>
                <w:bCs w:val="1"/>
                <w:color w:val="auto"/>
              </w:rPr>
              <w:t>Net Cash Used For Investing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(484.2)</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(285.9)</w:t>
            </w:r>
          </w:p>
        </w:tc>
      </w:tr>
      <w:tr>
        <w:trPr>
          <w:trHeight w:val="192"/>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Issuance and costs of common stock, OP units and preferred OP units, net</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537.1</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Common stock withheld to satisfy income tax obligations related to vesting of restricted stock awards</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(16.4)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(14.8)</w:t>
            </w: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Borrowings on lines of credit</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474.7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442.3</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Payments on lines of credit</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(58.2)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(766.3)</w:t>
            </w: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issuance of other debt</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Payments on other debt</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(15.4)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(14.8)</w:t>
            </w:r>
          </w:p>
        </w:tc>
      </w:tr>
      <w:tr>
        <w:trPr>
          <w:trHeight w:val="207"/>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Fees paid in connection with extinguishment of debt</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Distributions</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(101.4)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(89.8)</w:t>
            </w:r>
          </w:p>
        </w:tc>
      </w:tr>
      <w:tr>
        <w:trPr>
          <w:trHeight w:val="206"/>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Payments for deferred financing costs</w:t>
            </w:r>
          </w:p>
        </w:tc>
        <w:tc>
          <w:tcPr>
            <w:tcW w:w="2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w:t>
            </w:r>
          </w:p>
        </w:tc>
      </w:tr>
      <w:tr>
        <w:trPr>
          <w:trHeight w:val="192"/>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5"/>
                <w:szCs w:val="15"/>
                <w:b w:val="1"/>
                <w:bCs w:val="1"/>
                <w:color w:val="auto"/>
              </w:rPr>
              <w:t>Net Cash Provided By Financing Activities</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282.9</w:t>
            </w:r>
          </w:p>
        </w:tc>
        <w:tc>
          <w:tcPr>
            <w:tcW w:w="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93.0</w:t>
            </w:r>
          </w:p>
        </w:tc>
      </w:tr>
      <w:tr>
        <w:trPr>
          <w:trHeight w:val="200"/>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change in cash, cash equivalents and restricted cash</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27.6</w:t>
            </w:r>
          </w:p>
        </w:tc>
      </w:tr>
      <w:tr>
        <w:trPr>
          <w:trHeight w:val="198"/>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cash equivalents and restricted cash, beginning of period</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78.2</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92.6</w:t>
            </w:r>
          </w:p>
        </w:tc>
      </w:tr>
      <w:tr>
        <w:trPr>
          <w:trHeight w:val="225"/>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Cash, Cash Equivalents and Restricted Cash, End of Period</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102.6</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944"/>
              <w:spacing w:after="0"/>
              <w:rPr>
                <w:sz w:val="20"/>
                <w:szCs w:val="20"/>
                <w:color w:val="auto"/>
              </w:rPr>
            </w:pPr>
            <w:r>
              <w:rPr>
                <w:rFonts w:ascii="Arial" w:cs="Arial" w:eastAsia="Arial" w:hAnsi="Arial"/>
                <w:sz w:val="15"/>
                <w:szCs w:val="15"/>
                <w:b w:val="1"/>
                <w:bCs w:val="1"/>
                <w:color w:val="auto"/>
              </w:rPr>
              <w:t>Three Months Ended</w:t>
            </w:r>
          </w:p>
        </w:tc>
      </w:tr>
      <w:tr>
        <w:trPr>
          <w:trHeight w:val="196"/>
        </w:trPr>
        <w:tc>
          <w:tcPr>
            <w:tcW w:w="7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2022</w:t>
            </w:r>
          </w:p>
        </w:tc>
        <w:tc>
          <w:tcPr>
            <w:tcW w:w="180" w:type="dxa"/>
            <w:vAlign w:val="bottom"/>
          </w:tcPr>
          <w:p>
            <w:pPr>
              <w:spacing w:after="0"/>
              <w:rPr>
                <w:sz w:val="17"/>
                <w:szCs w:val="17"/>
                <w:color w:val="auto"/>
              </w:rPr>
            </w:pPr>
          </w:p>
        </w:tc>
        <w:tc>
          <w:tcPr>
            <w:tcW w:w="1420" w:type="dxa"/>
            <w:vAlign w:val="bottom"/>
          </w:tcPr>
          <w:p>
            <w:pPr>
              <w:jc w:val="right"/>
              <w:ind w:right="224"/>
              <w:spacing w:after="0"/>
              <w:rPr>
                <w:sz w:val="20"/>
                <w:szCs w:val="20"/>
                <w:color w:val="auto"/>
              </w:rPr>
            </w:pPr>
            <w:r>
              <w:rPr>
                <w:rFonts w:ascii="Arial" w:cs="Arial" w:eastAsia="Arial" w:hAnsi="Arial"/>
                <w:sz w:val="15"/>
                <w:szCs w:val="15"/>
                <w:b w:val="1"/>
                <w:bCs w:val="1"/>
                <w:color w:val="auto"/>
              </w:rPr>
              <w:t>March 31, 2021</w:t>
            </w:r>
          </w:p>
        </w:tc>
      </w:tr>
      <w:tr>
        <w:trPr>
          <w:trHeight w:val="196"/>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Supplemental Information</w:t>
            </w: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paid for interest (net of capitalized interest of $1.0 and $1.2, respectively)</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w:t>
            </w:r>
          </w:p>
        </w:tc>
      </w:tr>
      <w:tr>
        <w:trPr>
          <w:trHeight w:val="199"/>
        </w:trPr>
        <w:tc>
          <w:tcPr>
            <w:tcW w:w="7800" w:type="dxa"/>
            <w:vAlign w:val="bottom"/>
          </w:tcPr>
          <w:p>
            <w:pPr>
              <w:ind w:left="20"/>
              <w:spacing w:after="0"/>
              <w:rPr>
                <w:sz w:val="20"/>
                <w:szCs w:val="20"/>
                <w:color w:val="auto"/>
              </w:rPr>
            </w:pPr>
            <w:r>
              <w:rPr>
                <w:rFonts w:ascii="Arial" w:cs="Arial" w:eastAsia="Arial" w:hAnsi="Arial"/>
                <w:sz w:val="15"/>
                <w:szCs w:val="15"/>
                <w:color w:val="auto"/>
              </w:rPr>
              <w:t>Cash paid for interest on mandatorily redeemable debt</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1.0</w:t>
            </w:r>
          </w:p>
        </w:tc>
        <w:tc>
          <w:tcPr>
            <w:tcW w:w="24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06"/>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(refunds) / paid for income taxes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r>
      <w:tr>
        <w:trPr>
          <w:trHeight w:val="200"/>
        </w:trPr>
        <w:tc>
          <w:tcPr>
            <w:tcW w:w="7800" w:type="dxa"/>
            <w:vAlign w:val="bottom"/>
          </w:tcPr>
          <w:p>
            <w:pPr>
              <w:ind w:left="20"/>
              <w:spacing w:after="0"/>
              <w:rPr>
                <w:sz w:val="20"/>
                <w:szCs w:val="20"/>
                <w:color w:val="auto"/>
              </w:rPr>
            </w:pPr>
            <w:r>
              <w:rPr>
                <w:rFonts w:ascii="Arial" w:cs="Arial" w:eastAsia="Arial" w:hAnsi="Arial"/>
                <w:sz w:val="15"/>
                <w:szCs w:val="15"/>
                <w:b w:val="1"/>
                <w:bCs w:val="1"/>
                <w:color w:val="auto"/>
              </w:rPr>
              <w:t>Noncash investing and financing activities</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5"/>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Change in distributions declared and outstanding</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r>
      <w:tr>
        <w:trPr>
          <w:trHeight w:val="199"/>
        </w:trPr>
        <w:tc>
          <w:tcPr>
            <w:tcW w:w="7800" w:type="dxa"/>
            <w:vAlign w:val="bottom"/>
          </w:tcPr>
          <w:p>
            <w:pPr>
              <w:ind w:left="220"/>
              <w:spacing w:after="0"/>
              <w:rPr>
                <w:sz w:val="20"/>
                <w:szCs w:val="20"/>
                <w:color w:val="auto"/>
              </w:rPr>
            </w:pPr>
            <w:r>
              <w:rPr>
                <w:rFonts w:ascii="Arial" w:cs="Arial" w:eastAsia="Arial" w:hAnsi="Arial"/>
                <w:sz w:val="15"/>
                <w:szCs w:val="15"/>
                <w:color w:val="auto"/>
              </w:rPr>
              <w:t>Conversion of common and preferred OP units</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0.7</w:t>
            </w:r>
          </w:p>
        </w:tc>
        <w:tc>
          <w:tcPr>
            <w:tcW w:w="24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206"/>
        </w:trPr>
        <w:tc>
          <w:tcPr>
            <w:tcW w:w="7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related to disposition of properties through 1031 exchange</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800" w:type="dxa"/>
            <w:vAlign w:val="bottom"/>
          </w:tcPr>
          <w:p>
            <w:pPr>
              <w:ind w:left="220"/>
              <w:spacing w:after="0"/>
              <w:rPr>
                <w:sz w:val="20"/>
                <w:szCs w:val="20"/>
                <w:color w:val="auto"/>
              </w:rPr>
            </w:pPr>
            <w:r>
              <w:rPr>
                <w:rFonts w:ascii="Arial" w:cs="Arial" w:eastAsia="Arial" w:hAnsi="Arial"/>
                <w:sz w:val="15"/>
                <w:szCs w:val="15"/>
                <w:color w:val="auto"/>
              </w:rPr>
              <w:t>Contingent consideration liability related to prior acquisitions</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207"/>
        </w:trPr>
        <w:tc>
          <w:tcPr>
            <w:tcW w:w="78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Noncash investing and financing activities at the date of acquisition</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194"/>
        </w:trPr>
        <w:tc>
          <w:tcPr>
            <w:tcW w:w="7800" w:type="dxa"/>
            <w:vAlign w:val="bottom"/>
          </w:tcPr>
          <w:p>
            <w:pPr>
              <w:ind w:left="220"/>
              <w:spacing w:after="0"/>
              <w:rPr>
                <w:sz w:val="20"/>
                <w:szCs w:val="20"/>
                <w:color w:val="auto"/>
              </w:rPr>
            </w:pPr>
            <w:r>
              <w:rPr>
                <w:rFonts w:ascii="Arial" w:cs="Arial" w:eastAsia="Arial" w:hAnsi="Arial"/>
                <w:sz w:val="15"/>
                <w:szCs w:val="15"/>
                <w:color w:val="auto"/>
              </w:rPr>
              <w:t>Acquisitions - Common stock and OP units issued</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2.8</w:t>
            </w:r>
          </w:p>
        </w:tc>
        <w:tc>
          <w:tcPr>
            <w:tcW w:w="24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ind w:left="420" w:hanging="412"/>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Sun Communities, Inc., a Maryland corporation, and all wholly-owned or majority-owned and controlled subsidiaries, including Sun Communities Operating Limited Partnership (the "Operating Partnership"), Sun Home Services, Inc. ("SHS") and Safe Harbor Marinas, LLC ("Safe Harbor") are referred to herein as the "Company," "us," "we," and "our."</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follow accounting standards set by the Financial Accounting Standards Board ("FASB"). FASB establishes accounting principles generally accepted in the United States of America ("GAAP"), which we follow to ensure that we consistently report our financial condition, results of operations and cash flows. References to GAAP issued by the FASB in these footnotes are to the FASB Accounting Standards Codification ("ASC"). These unaudited Consolidated Financial Statements have been prepared pursuant to the rules and regulations of the Securities and Exchange Commission ("SEC") for interim financial information and in accordance with GAAP. We present interim disclosures and certain information and footnote disclosures as required by SEC rules and regulations. Accordingly, the unaudited Consolidated Financial Statements do not include all of the information and footnotes required by GAAP for complete financial statements. The accompanying unaudited Consolidated Financial Statements reflect, in the opinion of management, all adjustments, including adjustments of a normal and recurring nature, necessary for a fair presentation of the interim financial statements. All intercompany transactions have been eliminated in consolidation.</w:t>
      </w:r>
    </w:p>
    <w:p>
      <w:pPr>
        <w:spacing w:after="0" w:line="20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results of operations for interim periods are not necessarily indicative of results that may be expected for any other interim period or for the full year. These unaudited Consolidated Financial Statements should be read in conjunction with the Consolidated Financial Statements and notes thereto included in our Annual Report on Form 10-K for the year ended December 31, 2021 as filed with the SEC on February 22, 2022 (our "2021 Annual Report"). These statements have been prepared on a basis that is substantially consistent with the accounting principles applied in our 2021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three reportable segments are: (i) Manufactured home ("MH") communities, (ii) Recreational vehicle ("RV") resorts and (iii) Marina.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our revenue by major source (in millions):</w:t>
      </w:r>
    </w:p>
    <w:p>
      <w:pPr>
        <w:spacing w:after="0" w:line="290" w:lineRule="exact"/>
        <w:rPr>
          <w:sz w:val="20"/>
          <w:szCs w:val="20"/>
          <w:color w:val="auto"/>
        </w:rPr>
      </w:pPr>
    </w:p>
    <w:p>
      <w:pPr>
        <w:ind w:left="5840"/>
        <w:spacing w:after="0"/>
        <w:rPr>
          <w:sz w:val="20"/>
          <w:szCs w:val="20"/>
          <w:color w:val="auto"/>
        </w:rPr>
      </w:pPr>
      <w:r>
        <w:rPr>
          <w:rFonts w:ascii="Arial" w:cs="Arial" w:eastAsia="Arial" w:hAnsi="Arial"/>
          <w:sz w:val="15"/>
          <w:szCs w:val="15"/>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040" w:type="dxa"/>
            <w:vAlign w:val="bottom"/>
            <w:tcBorders>
              <w:top w:val="single" w:sz="8" w:color="auto"/>
              <w:bottom w:val="single" w:sz="8" w:color="auto"/>
            </w:tcBorders>
            <w:gridSpan w:val="5"/>
          </w:tcPr>
          <w:p>
            <w:pPr>
              <w:ind w:left="380"/>
              <w:spacing w:after="0"/>
              <w:rPr>
                <w:sz w:val="20"/>
                <w:szCs w:val="20"/>
                <w:color w:val="auto"/>
              </w:rPr>
            </w:pPr>
            <w:r>
              <w:rPr>
                <w:rFonts w:ascii="Arial" w:cs="Arial" w:eastAsia="Arial" w:hAnsi="Arial"/>
                <w:sz w:val="15"/>
                <w:szCs w:val="15"/>
                <w:b w:val="1"/>
                <w:bCs w:val="1"/>
                <w:color w:val="auto"/>
              </w:rPr>
              <w:t>March 31, 2022</w:t>
            </w: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2080" w:type="dxa"/>
            <w:vAlign w:val="bottom"/>
            <w:tcBorders>
              <w:top w:val="single" w:sz="8" w:color="auto"/>
              <w:bottom w:val="single" w:sz="8" w:color="auto"/>
            </w:tcBorders>
            <w:gridSpan w:val="5"/>
          </w:tcPr>
          <w:p>
            <w:pPr>
              <w:ind w:left="400"/>
              <w:spacing w:after="0"/>
              <w:rPr>
                <w:sz w:val="20"/>
                <w:szCs w:val="20"/>
                <w:color w:val="auto"/>
              </w:rPr>
            </w:pPr>
            <w:r>
              <w:rPr>
                <w:rFonts w:ascii="Arial" w:cs="Arial" w:eastAsia="Arial" w:hAnsi="Arial"/>
                <w:sz w:val="15"/>
                <w:szCs w:val="15"/>
                <w:b w:val="1"/>
                <w:bCs w:val="1"/>
                <w:color w:val="auto"/>
              </w:rPr>
              <w:t>March 31, 2021</w:t>
            </w: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ind w:left="140"/>
              <w:spacing w:after="0"/>
              <w:rPr>
                <w:sz w:val="20"/>
                <w:szCs w:val="20"/>
                <w:color w:val="auto"/>
              </w:rPr>
            </w:pPr>
            <w:r>
              <w:rPr>
                <w:rFonts w:ascii="Arial" w:cs="Arial" w:eastAsia="Arial" w:hAnsi="Arial"/>
                <w:sz w:val="15"/>
                <w:szCs w:val="15"/>
                <w:b w:val="1"/>
                <w:bCs w:val="1"/>
                <w:color w:val="auto"/>
              </w:rPr>
              <w:t>MH</w:t>
            </w:r>
          </w:p>
        </w:tc>
        <w:tc>
          <w:tcPr>
            <w:tcW w:w="26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Arial" w:cs="Arial" w:eastAsia="Arial" w:hAnsi="Arial"/>
                <w:sz w:val="15"/>
                <w:szCs w:val="15"/>
                <w:b w:val="1"/>
                <w:bCs w:val="1"/>
                <w:color w:val="auto"/>
              </w:rPr>
              <w:t>RV</w:t>
            </w:r>
          </w:p>
        </w:tc>
        <w:tc>
          <w:tcPr>
            <w:tcW w:w="20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5"/>
                <w:szCs w:val="15"/>
                <w:b w:val="1"/>
                <w:bCs w:val="1"/>
                <w:color w:val="auto"/>
              </w:rPr>
              <w:t>Marina</w:t>
            </w:r>
          </w:p>
        </w:tc>
        <w:tc>
          <w:tcPr>
            <w:tcW w:w="120" w:type="dxa"/>
            <w:vAlign w:val="bottom"/>
          </w:tcPr>
          <w:p>
            <w:pPr>
              <w:spacing w:after="0"/>
              <w:rPr>
                <w:sz w:val="16"/>
                <w:szCs w:val="16"/>
                <w:color w:val="auto"/>
              </w:rPr>
            </w:pPr>
          </w:p>
        </w:tc>
        <w:tc>
          <w:tcPr>
            <w:tcW w:w="1000" w:type="dxa"/>
            <w:vAlign w:val="bottom"/>
          </w:tcPr>
          <w:p>
            <w:pPr>
              <w:jc w:val="right"/>
              <w:ind w:right="44"/>
              <w:spacing w:after="0"/>
              <w:rPr>
                <w:sz w:val="20"/>
                <w:szCs w:val="20"/>
                <w:color w:val="auto"/>
              </w:rPr>
            </w:pPr>
            <w:r>
              <w:rPr>
                <w:rFonts w:ascii="Arial" w:cs="Arial" w:eastAsia="Arial" w:hAnsi="Arial"/>
                <w:sz w:val="15"/>
                <w:szCs w:val="15"/>
                <w:b w:val="1"/>
                <w:bCs w:val="1"/>
                <w:color w:val="auto"/>
                <w:w w:val="90"/>
              </w:rPr>
              <w:t>Consolidated</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Arial" w:cs="Arial" w:eastAsia="Arial" w:hAnsi="Arial"/>
                <w:sz w:val="15"/>
                <w:szCs w:val="15"/>
                <w:b w:val="1"/>
                <w:bCs w:val="1"/>
                <w:color w:val="auto"/>
              </w:rPr>
              <w:t>MH</w:t>
            </w:r>
          </w:p>
        </w:tc>
        <w:tc>
          <w:tcPr>
            <w:tcW w:w="24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5"/>
                <w:szCs w:val="15"/>
                <w:b w:val="1"/>
                <w:bCs w:val="1"/>
                <w:color w:val="auto"/>
              </w:rPr>
              <w:t>RV</w:t>
            </w:r>
          </w:p>
        </w:tc>
        <w:tc>
          <w:tcPr>
            <w:tcW w:w="18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Marina</w:t>
            </w:r>
          </w:p>
        </w:tc>
        <w:tc>
          <w:tcPr>
            <w:tcW w:w="120" w:type="dxa"/>
            <w:vAlign w:val="bottom"/>
          </w:tcPr>
          <w:p>
            <w:pPr>
              <w:spacing w:after="0"/>
              <w:rPr>
                <w:sz w:val="16"/>
                <w:szCs w:val="16"/>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183"/>
        </w:trPr>
        <w:tc>
          <w:tcPr>
            <w:tcW w:w="1840" w:type="dxa"/>
            <w:vAlign w:val="bottom"/>
          </w:tcPr>
          <w:p>
            <w:pPr>
              <w:ind w:left="20"/>
              <w:spacing w:after="0"/>
              <w:rPr>
                <w:sz w:val="20"/>
                <w:szCs w:val="20"/>
                <w:color w:val="auto"/>
              </w:rPr>
            </w:pPr>
            <w:r>
              <w:rPr>
                <w:rFonts w:ascii="Arial" w:cs="Arial" w:eastAsia="Arial" w:hAnsi="Arial"/>
                <w:sz w:val="15"/>
                <w:szCs w:val="15"/>
                <w:b w:val="1"/>
                <w:bCs w:val="1"/>
                <w:color w:val="auto"/>
              </w:rPr>
              <w:t>Revenues</w:t>
            </w: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Real property</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388.2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330.6</w:t>
            </w:r>
          </w:p>
        </w:tc>
        <w:tc>
          <w:tcPr>
            <w:tcW w:w="0" w:type="dxa"/>
            <w:vAlign w:val="bottom"/>
          </w:tcPr>
          <w:p>
            <w:pPr>
              <w:spacing w:after="0"/>
              <w:rPr>
                <w:sz w:val="1"/>
                <w:szCs w:val="1"/>
                <w:color w:val="auto"/>
              </w:rPr>
            </w:pPr>
          </w:p>
        </w:tc>
      </w:tr>
      <w:tr>
        <w:trPr>
          <w:trHeight w:val="199"/>
        </w:trPr>
        <w:tc>
          <w:tcPr>
            <w:tcW w:w="1840" w:type="dxa"/>
            <w:vAlign w:val="bottom"/>
          </w:tcPr>
          <w:p>
            <w:pPr>
              <w:ind w:left="220"/>
              <w:spacing w:after="0"/>
              <w:rPr>
                <w:sz w:val="20"/>
                <w:szCs w:val="20"/>
                <w:color w:val="auto"/>
              </w:rPr>
            </w:pPr>
            <w:r>
              <w:rPr>
                <w:rFonts w:ascii="Arial" w:cs="Arial" w:eastAsia="Arial" w:hAnsi="Arial"/>
                <w:sz w:val="15"/>
                <w:szCs w:val="15"/>
                <w:color w:val="auto"/>
              </w:rPr>
              <w:t>Home sales</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58.0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64.7</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45.3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52.2</w:t>
            </w:r>
          </w:p>
        </w:tc>
        <w:tc>
          <w:tcPr>
            <w:tcW w:w="0" w:type="dxa"/>
            <w:vAlign w:val="bottom"/>
          </w:tcPr>
          <w:p>
            <w:pPr>
              <w:spacing w:after="0"/>
              <w:rPr>
                <w:sz w:val="1"/>
                <w:szCs w:val="1"/>
                <w:color w:val="auto"/>
              </w:rPr>
            </w:pPr>
          </w:p>
        </w:tc>
      </w:tr>
      <w:tr>
        <w:trPr>
          <w:trHeight w:val="153"/>
        </w:trPr>
        <w:tc>
          <w:tcPr>
            <w:tcW w:w="1840" w:type="dxa"/>
            <w:vAlign w:val="bottom"/>
            <w:shd w:val="clear" w:color="auto" w:fill="CCEEFF"/>
          </w:tcPr>
          <w:p>
            <w:pPr>
              <w:ind w:left="220"/>
              <w:spacing w:after="0" w:line="153" w:lineRule="exact"/>
              <w:rPr>
                <w:sz w:val="20"/>
                <w:szCs w:val="20"/>
                <w:color w:val="auto"/>
              </w:rPr>
            </w:pPr>
            <w:r>
              <w:rPr>
                <w:rFonts w:ascii="Arial" w:cs="Arial" w:eastAsia="Arial" w:hAnsi="Arial"/>
                <w:sz w:val="15"/>
                <w:szCs w:val="15"/>
                <w:color w:val="auto"/>
                <w:w w:val="94"/>
              </w:rPr>
              <w:t>Service, retail, dining and</w:t>
            </w: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71.2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80.8</w:t>
            </w: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44.4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50.6</w:t>
            </w: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entertainment</w:t>
            </w:r>
          </w:p>
        </w:tc>
        <w:tc>
          <w:tcPr>
            <w:tcW w:w="2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40" w:type="dxa"/>
            <w:vAlign w:val="bottom"/>
          </w:tcPr>
          <w:p>
            <w:pPr>
              <w:ind w:left="220"/>
              <w:spacing w:after="0"/>
              <w:rPr>
                <w:sz w:val="20"/>
                <w:szCs w:val="20"/>
                <w:color w:val="auto"/>
              </w:rPr>
            </w:pPr>
            <w:r>
              <w:rPr>
                <w:rFonts w:ascii="Arial" w:cs="Arial" w:eastAsia="Arial" w:hAnsi="Arial"/>
                <w:sz w:val="15"/>
                <w:szCs w:val="15"/>
                <w:color w:val="auto"/>
              </w:rPr>
              <w:t>Interest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53"/>
        </w:trPr>
        <w:tc>
          <w:tcPr>
            <w:tcW w:w="1840" w:type="dxa"/>
            <w:vAlign w:val="bottom"/>
            <w:shd w:val="clear" w:color="auto" w:fill="CCEEFF"/>
          </w:tcPr>
          <w:p>
            <w:pPr>
              <w:ind w:left="220"/>
              <w:spacing w:after="0" w:line="153" w:lineRule="exact"/>
              <w:rPr>
                <w:sz w:val="20"/>
                <w:szCs w:val="20"/>
                <w:color w:val="auto"/>
              </w:rPr>
            </w:pPr>
            <w:r>
              <w:rPr>
                <w:rFonts w:ascii="Arial" w:cs="Arial" w:eastAsia="Arial" w:hAnsi="Arial"/>
                <w:sz w:val="15"/>
                <w:szCs w:val="15"/>
                <w:color w:val="auto"/>
                <w:w w:val="99"/>
              </w:rPr>
              <w:t>Brokerage commissions</w:t>
            </w: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98"/>
        </w:trPr>
        <w:tc>
          <w:tcPr>
            <w:tcW w:w="1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and other, net</w:t>
            </w: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840" w:type="dxa"/>
            <w:vAlign w:val="bottom"/>
          </w:tcPr>
          <w:p>
            <w:pPr>
              <w:ind w:left="400"/>
              <w:spacing w:after="0"/>
              <w:rPr>
                <w:sz w:val="20"/>
                <w:szCs w:val="20"/>
                <w:color w:val="auto"/>
              </w:rPr>
            </w:pPr>
            <w:r>
              <w:rPr>
                <w:rFonts w:ascii="Arial" w:cs="Arial" w:eastAsia="Arial" w:hAnsi="Arial"/>
                <w:sz w:val="15"/>
                <w:szCs w:val="15"/>
                <w:b w:val="1"/>
                <w:bCs w:val="1"/>
                <w:color w:val="auto"/>
              </w:rPr>
              <w:t>Total Revenues</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279.5</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548.5</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250.1</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442.0</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revenue consists of real property revenue at our MH, RV and Marina properties, revenue from Home sales, Service, retail, dining and entertainment revenue, Interest income, and Brokerage commissions and other revenue.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our revenue is derived from site and home leases, and wet slip and dry storage space leases that are accounted for pursuant to ASC 842, "</w:t>
      </w:r>
      <w:r>
        <w:rPr>
          <w:rFonts w:ascii="Arial" w:cs="Arial" w:eastAsia="Arial" w:hAnsi="Arial"/>
          <w:sz w:val="18"/>
          <w:szCs w:val="18"/>
          <w:i w:val="1"/>
          <w:iCs w:val="1"/>
          <w:color w:val="auto"/>
        </w:rPr>
        <w:t>Leases</w:t>
      </w:r>
      <w:r>
        <w:rPr>
          <w:rFonts w:ascii="Arial" w:cs="Arial" w:eastAsia="Arial" w:hAnsi="Arial"/>
          <w:sz w:val="18"/>
          <w:szCs w:val="18"/>
          <w:color w:val="auto"/>
        </w:rPr>
        <w:t>." We account for all revenue from contracts with customers following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except for those that are within the scope of other topics in the FASB ASC. For additional information, refer to Note 1, "Significant Accounting Policies," in our 2021 Annual Report.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7"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Acquisitions and Dispositions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Acquisitions and Dispositions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2022, we acquired the following MH communities and marinas: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80" w:type="dxa"/>
            <w:vAlign w:val="bottom"/>
            <w:vMerge w:val="restart"/>
          </w:tcPr>
          <w:p>
            <w:pPr>
              <w:ind w:left="680"/>
              <w:spacing w:after="0"/>
              <w:rPr>
                <w:sz w:val="20"/>
                <w:szCs w:val="20"/>
                <w:color w:val="auto"/>
              </w:rPr>
            </w:pPr>
            <w:r>
              <w:rPr>
                <w:rFonts w:ascii="Arial" w:cs="Arial" w:eastAsia="Arial" w:hAnsi="Arial"/>
                <w:sz w:val="15"/>
                <w:szCs w:val="15"/>
                <w:b w:val="1"/>
                <w:bCs w:val="1"/>
                <w:color w:val="auto"/>
              </w:rPr>
              <w:t>Community Name</w:t>
            </w:r>
          </w:p>
        </w:tc>
        <w:tc>
          <w:tcPr>
            <w:tcW w:w="2300" w:type="dxa"/>
            <w:vAlign w:val="bottom"/>
            <w:vMerge w:val="restart"/>
          </w:tcPr>
          <w:p>
            <w:pPr>
              <w:ind w:left="1000"/>
              <w:spacing w:after="0"/>
              <w:rPr>
                <w:sz w:val="20"/>
                <w:szCs w:val="20"/>
                <w:color w:val="auto"/>
              </w:rPr>
            </w:pPr>
            <w:r>
              <w:rPr>
                <w:rFonts w:ascii="Arial" w:cs="Arial" w:eastAsia="Arial" w:hAnsi="Arial"/>
                <w:sz w:val="15"/>
                <w:szCs w:val="15"/>
                <w:b w:val="1"/>
                <w:bCs w:val="1"/>
                <w:color w:val="auto"/>
              </w:rPr>
              <w:t>Type</w:t>
            </w:r>
          </w:p>
        </w:tc>
        <w:tc>
          <w:tcPr>
            <w:tcW w:w="120" w:type="dxa"/>
            <w:vAlign w:val="bottom"/>
            <w:vMerge w:val="restart"/>
          </w:tcPr>
          <w:p>
            <w:pPr>
              <w:spacing w:after="0"/>
              <w:rPr>
                <w:sz w:val="14"/>
                <w:szCs w:val="14"/>
                <w:color w:val="auto"/>
              </w:rPr>
            </w:pPr>
          </w:p>
        </w:tc>
        <w:tc>
          <w:tcPr>
            <w:tcW w:w="1760" w:type="dxa"/>
            <w:vAlign w:val="bottom"/>
            <w:gridSpan w:val="2"/>
          </w:tcPr>
          <w:p>
            <w:pPr>
              <w:ind w:left="160"/>
              <w:spacing w:after="0"/>
              <w:rPr>
                <w:sz w:val="20"/>
                <w:szCs w:val="20"/>
                <w:color w:val="auto"/>
              </w:rPr>
            </w:pPr>
            <w:r>
              <w:rPr>
                <w:rFonts w:ascii="Arial" w:cs="Arial" w:eastAsia="Arial" w:hAnsi="Arial"/>
                <w:sz w:val="15"/>
                <w:szCs w:val="15"/>
                <w:b w:val="1"/>
                <w:bCs w:val="1"/>
                <w:color w:val="auto"/>
              </w:rPr>
              <w:t>Sites, Wet Slips and</w:t>
            </w:r>
          </w:p>
        </w:tc>
        <w:tc>
          <w:tcPr>
            <w:tcW w:w="15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98"/>
              </w:rPr>
              <w:t>Development Sites</w:t>
            </w:r>
          </w:p>
        </w:tc>
        <w:tc>
          <w:tcPr>
            <w:tcW w:w="10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5"/>
                <w:szCs w:val="15"/>
                <w:b w:val="1"/>
                <w:bCs w:val="1"/>
                <w:color w:val="auto"/>
              </w:rPr>
              <w:t>State / Province or</w:t>
            </w:r>
          </w:p>
        </w:tc>
        <w:tc>
          <w:tcPr>
            <w:tcW w:w="138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Month Acquired</w:t>
            </w:r>
          </w:p>
        </w:tc>
        <w:tc>
          <w:tcPr>
            <w:tcW w:w="0" w:type="dxa"/>
            <w:vAlign w:val="bottom"/>
          </w:tcPr>
          <w:p>
            <w:pPr>
              <w:spacing w:after="0"/>
              <w:rPr>
                <w:sz w:val="1"/>
                <w:szCs w:val="1"/>
                <w:color w:val="auto"/>
              </w:rPr>
            </w:pPr>
          </w:p>
        </w:tc>
      </w:tr>
      <w:tr>
        <w:trPr>
          <w:trHeight w:val="200"/>
        </w:trPr>
        <w:tc>
          <w:tcPr>
            <w:tcW w:w="2680" w:type="dxa"/>
            <w:vAlign w:val="bottom"/>
            <w:tcBorders>
              <w:bottom w:val="single" w:sz="8" w:color="CCEEFF"/>
            </w:tcBorders>
            <w:vMerge w:val="continue"/>
          </w:tcPr>
          <w:p>
            <w:pPr>
              <w:spacing w:after="0"/>
              <w:rPr>
                <w:sz w:val="17"/>
                <w:szCs w:val="17"/>
                <w:color w:val="auto"/>
              </w:rPr>
            </w:pPr>
          </w:p>
        </w:tc>
        <w:tc>
          <w:tcPr>
            <w:tcW w:w="23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6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Dry Storage Spaces</w:t>
            </w:r>
          </w:p>
        </w:tc>
        <w:tc>
          <w:tcPr>
            <w:tcW w:w="1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ind w:left="380"/>
              <w:spacing w:after="0"/>
              <w:rPr>
                <w:sz w:val="20"/>
                <w:szCs w:val="20"/>
                <w:color w:val="auto"/>
              </w:rPr>
            </w:pPr>
            <w:r>
              <w:rPr>
                <w:rFonts w:ascii="Arial" w:cs="Arial" w:eastAsia="Arial" w:hAnsi="Arial"/>
                <w:sz w:val="15"/>
                <w:szCs w:val="15"/>
                <w:b w:val="1"/>
                <w:bCs w:val="1"/>
                <w:color w:val="auto"/>
              </w:rPr>
              <w:t>Country</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80" w:type="dxa"/>
            <w:vAlign w:val="bottom"/>
            <w:shd w:val="clear" w:color="auto" w:fill="CCEEFF"/>
          </w:tcPr>
          <w:p>
            <w:pPr>
              <w:ind w:left="20"/>
              <w:spacing w:after="0" w:line="198" w:lineRule="exact"/>
              <w:rPr>
                <w:sz w:val="20"/>
                <w:szCs w:val="20"/>
                <w:color w:val="auto"/>
              </w:rPr>
            </w:pPr>
            <w:r>
              <w:rPr>
                <w:rFonts w:ascii="Arial" w:cs="Arial" w:eastAsia="Arial" w:hAnsi="Arial"/>
                <w:sz w:val="15"/>
                <w:szCs w:val="15"/>
                <w:color w:val="auto"/>
              </w:rPr>
              <w:t>Harrison Yacht Yard</w:t>
            </w:r>
            <w:r>
              <w:rPr>
                <w:rFonts w:ascii="Arial" w:cs="Arial" w:eastAsia="Arial" w:hAnsi="Arial"/>
                <w:sz w:val="19"/>
                <w:szCs w:val="19"/>
                <w:color w:val="auto"/>
                <w:vertAlign w:val="superscript"/>
              </w:rPr>
              <w:t>(1)</w:t>
            </w: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MD</w:t>
            </w:r>
          </w:p>
        </w:tc>
        <w:tc>
          <w:tcPr>
            <w:tcW w:w="1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January</w:t>
            </w:r>
          </w:p>
        </w:tc>
        <w:tc>
          <w:tcPr>
            <w:tcW w:w="0" w:type="dxa"/>
            <w:vAlign w:val="bottom"/>
          </w:tcPr>
          <w:p>
            <w:pPr>
              <w:spacing w:after="0"/>
              <w:rPr>
                <w:sz w:val="1"/>
                <w:szCs w:val="1"/>
                <w:color w:val="auto"/>
              </w:rPr>
            </w:pPr>
          </w:p>
        </w:tc>
      </w:tr>
      <w:tr>
        <w:trPr>
          <w:trHeight w:val="198"/>
        </w:trPr>
        <w:tc>
          <w:tcPr>
            <w:tcW w:w="2680" w:type="dxa"/>
            <w:vAlign w:val="bottom"/>
          </w:tcPr>
          <w:p>
            <w:pPr>
              <w:ind w:left="20"/>
              <w:spacing w:after="0"/>
              <w:rPr>
                <w:sz w:val="20"/>
                <w:szCs w:val="20"/>
                <w:color w:val="auto"/>
              </w:rPr>
            </w:pPr>
            <w:r>
              <w:rPr>
                <w:rFonts w:ascii="Arial" w:cs="Arial" w:eastAsia="Arial" w:hAnsi="Arial"/>
                <w:sz w:val="15"/>
                <w:szCs w:val="15"/>
                <w:color w:val="auto"/>
              </w:rPr>
              <w:t>Outer Banks</w:t>
            </w:r>
          </w:p>
        </w:tc>
        <w:tc>
          <w:tcPr>
            <w:tcW w:w="242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196</w:t>
            </w:r>
          </w:p>
        </w:tc>
        <w:tc>
          <w:tcPr>
            <w:tcW w:w="12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5"/>
                <w:szCs w:val="15"/>
                <w:color w:val="auto"/>
              </w:rPr>
              <w:t>NC</w:t>
            </w:r>
          </w:p>
        </w:tc>
        <w:tc>
          <w:tcPr>
            <w:tcW w:w="1380" w:type="dxa"/>
            <w:vAlign w:val="bottom"/>
          </w:tcPr>
          <w:p>
            <w:pPr>
              <w:ind w:left="20"/>
              <w:spacing w:after="0"/>
              <w:rPr>
                <w:sz w:val="20"/>
                <w:szCs w:val="20"/>
                <w:color w:val="auto"/>
              </w:rPr>
            </w:pPr>
            <w:r>
              <w:rPr>
                <w:rFonts w:ascii="Arial" w:cs="Arial" w:eastAsia="Arial" w:hAnsi="Arial"/>
                <w:sz w:val="15"/>
                <w:szCs w:val="15"/>
                <w:color w:val="auto"/>
              </w:rPr>
              <w:t>January</w:t>
            </w:r>
          </w:p>
        </w:tc>
        <w:tc>
          <w:tcPr>
            <w:tcW w:w="0" w:type="dxa"/>
            <w:vAlign w:val="bottom"/>
          </w:tcPr>
          <w:p>
            <w:pPr>
              <w:spacing w:after="0"/>
              <w:rPr>
                <w:sz w:val="1"/>
                <w:szCs w:val="1"/>
                <w:color w:val="auto"/>
              </w:rPr>
            </w:pPr>
          </w:p>
        </w:tc>
      </w:tr>
      <w:tr>
        <w:trPr>
          <w:trHeight w:val="207"/>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Jarrett Bay Boatworks</w:t>
            </w: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business combination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NC</w:t>
            </w:r>
          </w:p>
        </w:tc>
        <w:tc>
          <w:tcPr>
            <w:tcW w:w="1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February</w:t>
            </w:r>
          </w:p>
        </w:tc>
        <w:tc>
          <w:tcPr>
            <w:tcW w:w="0" w:type="dxa"/>
            <w:vAlign w:val="bottom"/>
          </w:tcPr>
          <w:p>
            <w:pPr>
              <w:spacing w:after="0"/>
              <w:rPr>
                <w:sz w:val="1"/>
                <w:szCs w:val="1"/>
                <w:color w:val="auto"/>
              </w:rPr>
            </w:pPr>
          </w:p>
        </w:tc>
      </w:tr>
      <w:tr>
        <w:trPr>
          <w:trHeight w:val="198"/>
        </w:trPr>
        <w:tc>
          <w:tcPr>
            <w:tcW w:w="2680" w:type="dxa"/>
            <w:vAlign w:val="bottom"/>
          </w:tcPr>
          <w:p>
            <w:pPr>
              <w:ind w:left="20"/>
              <w:spacing w:after="0"/>
              <w:rPr>
                <w:sz w:val="20"/>
                <w:szCs w:val="20"/>
                <w:color w:val="auto"/>
              </w:rPr>
            </w:pPr>
            <w:r>
              <w:rPr>
                <w:rFonts w:ascii="Arial" w:cs="Arial" w:eastAsia="Arial" w:hAnsi="Arial"/>
                <w:sz w:val="15"/>
                <w:szCs w:val="15"/>
                <w:color w:val="auto"/>
              </w:rPr>
              <w:t>Tower Marine</w:t>
            </w:r>
          </w:p>
        </w:tc>
        <w:tc>
          <w:tcPr>
            <w:tcW w:w="242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446</w:t>
            </w:r>
          </w:p>
        </w:tc>
        <w:tc>
          <w:tcPr>
            <w:tcW w:w="120" w:type="dxa"/>
            <w:vAlign w:val="bottom"/>
          </w:tcPr>
          <w:p>
            <w:pPr>
              <w:spacing w:after="0"/>
              <w:rPr>
                <w:sz w:val="17"/>
                <w:szCs w:val="17"/>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5"/>
                <w:szCs w:val="15"/>
                <w:color w:val="auto"/>
              </w:rPr>
              <w:t>MI</w:t>
            </w:r>
          </w:p>
        </w:tc>
        <w:tc>
          <w:tcPr>
            <w:tcW w:w="1380" w:type="dxa"/>
            <w:vAlign w:val="bottom"/>
          </w:tcPr>
          <w:p>
            <w:pPr>
              <w:ind w:left="20"/>
              <w:spacing w:after="0"/>
              <w:rPr>
                <w:sz w:val="20"/>
                <w:szCs w:val="20"/>
                <w:color w:val="auto"/>
              </w:rPr>
            </w:pPr>
            <w:r>
              <w:rPr>
                <w:rFonts w:ascii="Arial" w:cs="Arial" w:eastAsia="Arial" w:hAnsi="Arial"/>
                <w:sz w:val="15"/>
                <w:szCs w:val="15"/>
                <w:color w:val="auto"/>
              </w:rPr>
              <w:t>March</w:t>
            </w:r>
          </w:p>
        </w:tc>
        <w:tc>
          <w:tcPr>
            <w:tcW w:w="0" w:type="dxa"/>
            <w:vAlign w:val="bottom"/>
          </w:tcPr>
          <w:p>
            <w:pPr>
              <w:spacing w:after="0"/>
              <w:rPr>
                <w:sz w:val="1"/>
                <w:szCs w:val="1"/>
                <w:color w:val="auto"/>
              </w:rPr>
            </w:pPr>
          </w:p>
        </w:tc>
      </w:tr>
      <w:tr>
        <w:trPr>
          <w:trHeight w:val="207"/>
        </w:trPr>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Sandy Bay</w:t>
            </w: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asset acquisition</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616</w:t>
            </w:r>
          </w:p>
        </w:tc>
        <w:tc>
          <w:tcPr>
            <w:tcW w:w="12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570</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UK</w:t>
            </w:r>
          </w:p>
        </w:tc>
        <w:tc>
          <w:tcPr>
            <w:tcW w:w="1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March</w:t>
            </w:r>
          </w:p>
        </w:tc>
        <w:tc>
          <w:tcPr>
            <w:tcW w:w="0" w:type="dxa"/>
            <w:vAlign w:val="bottom"/>
          </w:tcPr>
          <w:p>
            <w:pPr>
              <w:spacing w:after="0"/>
              <w:rPr>
                <w:sz w:val="1"/>
                <w:szCs w:val="1"/>
                <w:color w:val="auto"/>
              </w:rPr>
            </w:pPr>
          </w:p>
        </w:tc>
      </w:tr>
      <w:tr>
        <w:trPr>
          <w:trHeight w:val="196"/>
        </w:trPr>
        <w:tc>
          <w:tcPr>
            <w:tcW w:w="2680" w:type="dxa"/>
            <w:vAlign w:val="bottom"/>
          </w:tcPr>
          <w:p>
            <w:pPr>
              <w:spacing w:after="0"/>
              <w:rPr>
                <w:sz w:val="17"/>
                <w:szCs w:val="17"/>
                <w:color w:val="auto"/>
              </w:rPr>
            </w:pPr>
          </w:p>
        </w:tc>
        <w:tc>
          <w:tcPr>
            <w:tcW w:w="242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1,291</w:t>
            </w:r>
          </w:p>
        </w:tc>
        <w:tc>
          <w:tcPr>
            <w:tcW w:w="120" w:type="dxa"/>
            <w:vAlign w:val="bottom"/>
          </w:tcPr>
          <w:p>
            <w:pPr>
              <w:spacing w:after="0"/>
              <w:rPr>
                <w:sz w:val="17"/>
                <w:szCs w:val="17"/>
                <w:color w:val="auto"/>
              </w:rPr>
            </w:pP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570</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Combined with Safe Harbor Narrows Point, an existing adjacent marina.</w:t>
      </w: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amount of assets acquired, net of liabilities assumed at the acquisition date and the consideration paid for the acquisitions completed during the three months ended March 31, 2022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ind w:left="60"/>
              <w:spacing w:after="0"/>
              <w:rPr>
                <w:sz w:val="20"/>
                <w:szCs w:val="20"/>
                <w:color w:val="auto"/>
              </w:rPr>
            </w:pPr>
            <w:r>
              <w:rPr>
                <w:rFonts w:ascii="Arial" w:cs="Arial" w:eastAsia="Arial" w:hAnsi="Arial"/>
                <w:sz w:val="15"/>
                <w:szCs w:val="15"/>
                <w:b w:val="1"/>
                <w:bCs w:val="1"/>
                <w:color w:val="auto"/>
                <w:w w:val="95"/>
              </w:rPr>
              <w:t>At Acquisition Date</w:t>
            </w: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1"/>
              </w:rPr>
              <w:t>Consideration</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6" w:lineRule="exact"/>
              <w:rPr>
                <w:sz w:val="20"/>
                <w:szCs w:val="20"/>
                <w:color w:val="auto"/>
              </w:rPr>
            </w:pPr>
            <w:r>
              <w:rPr>
                <w:rFonts w:ascii="Arial" w:cs="Arial" w:eastAsia="Arial" w:hAnsi="Arial"/>
                <w:sz w:val="15"/>
                <w:szCs w:val="15"/>
                <w:color w:val="auto"/>
                <w:w w:val="96"/>
              </w:rPr>
              <w:t>Inventory of</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vMerge w:val="restart"/>
          </w:tcPr>
          <w:p>
            <w:pPr>
              <w:jc w:val="center"/>
              <w:ind w:right="140"/>
              <w:spacing w:after="0"/>
              <w:rPr>
                <w:sz w:val="20"/>
                <w:szCs w:val="20"/>
                <w:color w:val="auto"/>
              </w:rPr>
            </w:pPr>
            <w:r>
              <w:rPr>
                <w:rFonts w:ascii="Arial" w:cs="Arial" w:eastAsia="Arial" w:hAnsi="Arial"/>
                <w:sz w:val="15"/>
                <w:szCs w:val="15"/>
                <w:b w:val="1"/>
                <w:bCs w:val="1"/>
                <w:color w:val="auto"/>
                <w:w w:val="93"/>
              </w:rPr>
              <w:t>Total identifiable</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5"/>
                <w:szCs w:val="15"/>
                <w:color w:val="auto"/>
                <w:w w:val="90"/>
              </w:rPr>
              <w:t>Temporary</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91"/>
              </w:rPr>
              <w:t>manufactured</w:t>
            </w:r>
          </w:p>
        </w:tc>
        <w:tc>
          <w:tcPr>
            <w:tcW w:w="100" w:type="dxa"/>
            <w:vAlign w:val="bottom"/>
          </w:tcPr>
          <w:p>
            <w:pPr>
              <w:spacing w:after="0"/>
              <w:rPr>
                <w:sz w:val="12"/>
                <w:szCs w:val="12"/>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5"/>
                <w:szCs w:val="15"/>
                <w:color w:val="auto"/>
                <w:w w:val="91"/>
              </w:rPr>
              <w:t>In-place leases,</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5"/>
                <w:szCs w:val="15"/>
                <w:color w:val="auto"/>
                <w:w w:val="94"/>
              </w:rPr>
              <w:t>Investment in</w:t>
            </w: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89"/>
              </w:rPr>
              <w:t>homes, boat parts</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5"/>
                <w:szCs w:val="15"/>
                <w:color w:val="auto"/>
                <w:w w:val="87"/>
              </w:rPr>
              <w:t>Other assets /</w:t>
            </w:r>
          </w:p>
        </w:tc>
        <w:tc>
          <w:tcPr>
            <w:tcW w:w="1420" w:type="dxa"/>
            <w:vAlign w:val="bottom"/>
            <w:gridSpan w:val="3"/>
          </w:tcPr>
          <w:p>
            <w:pPr>
              <w:jc w:val="center"/>
              <w:ind w:right="120"/>
              <w:spacing w:after="0" w:line="149" w:lineRule="exact"/>
              <w:rPr>
                <w:sz w:val="20"/>
                <w:szCs w:val="20"/>
                <w:color w:val="auto"/>
              </w:rPr>
            </w:pPr>
            <w:r>
              <w:rPr>
                <w:rFonts w:ascii="Arial" w:cs="Arial" w:eastAsia="Arial" w:hAnsi="Arial"/>
                <w:sz w:val="15"/>
                <w:szCs w:val="15"/>
                <w:b w:val="1"/>
                <w:bCs w:val="1"/>
                <w:color w:val="auto"/>
                <w:w w:val="87"/>
              </w:rPr>
              <w:t>assets acquired net</w:t>
            </w:r>
          </w:p>
        </w:tc>
        <w:tc>
          <w:tcPr>
            <w:tcW w:w="12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5"/>
                <w:szCs w:val="15"/>
                <w:color w:val="auto"/>
                <w:w w:val="87"/>
              </w:rPr>
              <w:t>Cash and</w:t>
            </w: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87"/>
              </w:rPr>
              <w:t>and</w:t>
            </w:r>
          </w:p>
        </w:tc>
        <w:tc>
          <w:tcPr>
            <w:tcW w:w="100" w:type="dxa"/>
            <w:vAlign w:val="bottom"/>
          </w:tcPr>
          <w:p>
            <w:pPr>
              <w:spacing w:after="0"/>
              <w:rPr>
                <w:sz w:val="12"/>
                <w:szCs w:val="12"/>
                <w:color w:val="auto"/>
              </w:rPr>
            </w:pPr>
          </w:p>
        </w:tc>
        <w:tc>
          <w:tcPr>
            <w:tcW w:w="1040" w:type="dxa"/>
            <w:vAlign w:val="bottom"/>
            <w:vMerge w:val="restart"/>
          </w:tcPr>
          <w:p>
            <w:pPr>
              <w:jc w:val="right"/>
              <w:ind w:right="32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90"/>
              </w:rPr>
              <w:t>and retail</w:t>
            </w:r>
          </w:p>
        </w:tc>
        <w:tc>
          <w:tcPr>
            <w:tcW w:w="1280" w:type="dxa"/>
            <w:vAlign w:val="bottom"/>
            <w:gridSpan w:val="3"/>
          </w:tcPr>
          <w:p>
            <w:pPr>
              <w:ind w:left="20"/>
              <w:spacing w:after="0" w:line="149" w:lineRule="exact"/>
              <w:rPr>
                <w:sz w:val="20"/>
                <w:szCs w:val="20"/>
                <w:color w:val="auto"/>
              </w:rPr>
            </w:pPr>
            <w:r>
              <w:rPr>
                <w:rFonts w:ascii="Arial" w:cs="Arial" w:eastAsia="Arial" w:hAnsi="Arial"/>
                <w:sz w:val="15"/>
                <w:szCs w:val="15"/>
                <w:color w:val="auto"/>
              </w:rPr>
              <w:t>goodwill and other</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5"/>
                <w:szCs w:val="15"/>
                <w:b w:val="1"/>
                <w:bCs w:val="1"/>
                <w:color w:val="auto"/>
                <w:w w:val="92"/>
              </w:rPr>
              <w:t>of liabilities</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5"/>
                <w:szCs w:val="15"/>
                <w:color w:val="auto"/>
                <w:w w:val="89"/>
              </w:rPr>
              <w:t>permanent</w:t>
            </w: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5"/>
                <w:szCs w:val="15"/>
                <w:color w:val="auto"/>
                <w:w w:val="94"/>
              </w:rPr>
              <w:t>property</w:t>
            </w:r>
          </w:p>
        </w:tc>
        <w:tc>
          <w:tcPr>
            <w:tcW w:w="10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5"/>
                <w:szCs w:val="15"/>
                <w:color w:val="auto"/>
                <w:w w:val="90"/>
              </w:rPr>
              <w:t>related items</w:t>
            </w:r>
          </w:p>
        </w:tc>
        <w:tc>
          <w:tcPr>
            <w:tcW w:w="10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5"/>
                <w:szCs w:val="15"/>
                <w:color w:val="auto"/>
                <w:w w:val="89"/>
              </w:rPr>
              <w:t>intangible assets</w:t>
            </w:r>
          </w:p>
        </w:tc>
        <w:tc>
          <w:tcPr>
            <w:tcW w:w="12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5"/>
                <w:szCs w:val="15"/>
                <w:color w:val="auto"/>
                <w:w w:val="98"/>
              </w:rPr>
              <w:t>(liabilities), net</w:t>
            </w:r>
          </w:p>
        </w:tc>
        <w:tc>
          <w:tcPr>
            <w:tcW w:w="18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6"/>
              </w:rPr>
              <w:t>assumed</w:t>
            </w:r>
          </w:p>
        </w:tc>
        <w:tc>
          <w:tcPr>
            <w:tcW w:w="12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5"/>
                <w:szCs w:val="15"/>
                <w:color w:val="auto"/>
                <w:w w:val="92"/>
              </w:rPr>
              <w:t>escrow</w:t>
            </w: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5"/>
                <w:szCs w:val="15"/>
                <w:color w:val="auto"/>
                <w:w w:val="94"/>
              </w:rPr>
              <w:t>equity</w:t>
            </w:r>
          </w:p>
        </w:tc>
        <w:tc>
          <w:tcPr>
            <w:tcW w:w="100" w:type="dxa"/>
            <w:vAlign w:val="bottom"/>
          </w:tcPr>
          <w:p>
            <w:pPr>
              <w:spacing w:after="0"/>
              <w:rPr>
                <w:sz w:val="17"/>
                <w:szCs w:val="17"/>
                <w:color w:val="auto"/>
              </w:rPr>
            </w:pPr>
          </w:p>
        </w:tc>
        <w:tc>
          <w:tcPr>
            <w:tcW w:w="1040" w:type="dxa"/>
            <w:vAlign w:val="bottom"/>
          </w:tcPr>
          <w:p>
            <w:pPr>
              <w:jc w:val="right"/>
              <w:ind w:right="64"/>
              <w:spacing w:after="0"/>
              <w:rPr>
                <w:sz w:val="20"/>
                <w:szCs w:val="20"/>
                <w:color w:val="auto"/>
              </w:rPr>
            </w:pPr>
            <w:r>
              <w:rPr>
                <w:rFonts w:ascii="Arial" w:cs="Arial" w:eastAsia="Arial" w:hAnsi="Arial"/>
                <w:sz w:val="15"/>
                <w:szCs w:val="15"/>
                <w:b w:val="1"/>
                <w:bCs w:val="1"/>
                <w:color w:val="auto"/>
                <w:w w:val="89"/>
              </w:rPr>
              <w:t>consideration</w:t>
            </w:r>
          </w:p>
        </w:tc>
        <w:tc>
          <w:tcPr>
            <w:tcW w:w="0" w:type="dxa"/>
            <w:vAlign w:val="bottom"/>
          </w:tcPr>
          <w:p>
            <w:pPr>
              <w:spacing w:after="0"/>
              <w:rPr>
                <w:sz w:val="1"/>
                <w:szCs w:val="1"/>
                <w:color w:val="auto"/>
              </w:rPr>
            </w:pPr>
          </w:p>
        </w:tc>
      </w:tr>
      <w:tr>
        <w:trPr>
          <w:trHeight w:val="185"/>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 Acquisition</w:t>
            </w: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tcPr>
          <w:p>
            <w:pPr>
              <w:ind w:left="20"/>
              <w:spacing w:after="0" w:line="203" w:lineRule="exact"/>
              <w:rPr>
                <w:sz w:val="20"/>
                <w:szCs w:val="20"/>
                <w:color w:val="auto"/>
              </w:rPr>
            </w:pPr>
            <w:r>
              <w:rPr>
                <w:rFonts w:ascii="Arial" w:cs="Arial" w:eastAsia="Arial" w:hAnsi="Arial"/>
                <w:sz w:val="15"/>
                <w:szCs w:val="15"/>
                <w:color w:val="auto"/>
              </w:rPr>
              <w:t>Harrison Yacht Yard</w:t>
            </w:r>
            <w:r>
              <w:rPr>
                <w:rFonts w:ascii="Arial" w:cs="Arial" w:eastAsia="Arial" w:hAnsi="Arial"/>
                <w:sz w:val="19"/>
                <w:szCs w:val="19"/>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5.8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5.8</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Outer Banks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03"/>
        </w:trPr>
        <w:tc>
          <w:tcPr>
            <w:tcW w:w="1740" w:type="dxa"/>
            <w:vAlign w:val="bottom"/>
          </w:tcPr>
          <w:p>
            <w:pPr>
              <w:ind w:left="20"/>
              <w:spacing w:after="0" w:line="203" w:lineRule="exact"/>
              <w:rPr>
                <w:sz w:val="20"/>
                <w:szCs w:val="20"/>
                <w:color w:val="auto"/>
              </w:rPr>
            </w:pPr>
            <w:r>
              <w:rPr>
                <w:rFonts w:ascii="Arial" w:cs="Arial" w:eastAsia="Arial" w:hAnsi="Arial"/>
                <w:sz w:val="15"/>
                <w:szCs w:val="15"/>
                <w:color w:val="auto"/>
              </w:rPr>
              <w:t>Tower Marine</w:t>
            </w:r>
            <w:r>
              <w:rPr>
                <w:rFonts w:ascii="Arial" w:cs="Arial" w:eastAsia="Arial" w:hAnsi="Arial"/>
                <w:sz w:val="19"/>
                <w:szCs w:val="19"/>
                <w:color w:val="auto"/>
                <w:vertAlign w:val="superscript"/>
              </w:rPr>
              <w:t>(2)</w:t>
            </w: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20.0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18.4</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20"/>
              <w:spacing w:after="0" w:line="203" w:lineRule="exact"/>
              <w:rPr>
                <w:sz w:val="20"/>
                <w:szCs w:val="20"/>
                <w:color w:val="auto"/>
              </w:rPr>
            </w:pPr>
            <w:r>
              <w:rPr>
                <w:rFonts w:ascii="Arial" w:cs="Arial" w:eastAsia="Arial" w:hAnsi="Arial"/>
                <w:sz w:val="15"/>
                <w:szCs w:val="15"/>
                <w:color w:val="auto"/>
              </w:rPr>
              <w:t>Sandy Bay</w:t>
            </w:r>
            <w:r>
              <w:rPr>
                <w:rFonts w:ascii="Arial" w:cs="Arial" w:eastAsia="Arial" w:hAnsi="Arial"/>
                <w:sz w:val="19"/>
                <w:szCs w:val="19"/>
                <w:color w:val="auto"/>
                <w:vertAlign w:val="superscript"/>
              </w:rPr>
              <w:t>(2)</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187.0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193.2</w:t>
            </w:r>
          </w:p>
        </w:tc>
        <w:tc>
          <w:tcPr>
            <w:tcW w:w="0" w:type="dxa"/>
            <w:vAlign w:val="bottom"/>
          </w:tcPr>
          <w:p>
            <w:pPr>
              <w:spacing w:after="0"/>
              <w:rPr>
                <w:sz w:val="1"/>
                <w:szCs w:val="1"/>
                <w:color w:val="auto"/>
              </w:rPr>
            </w:pPr>
          </w:p>
        </w:tc>
      </w:tr>
      <w:tr>
        <w:trPr>
          <w:trHeight w:val="200"/>
        </w:trPr>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Business Combination</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Jarrett Bay Boatworks</w:t>
            </w: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21.2</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53.1</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2.8</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53.1</w:t>
            </w:r>
          </w:p>
        </w:tc>
        <w:tc>
          <w:tcPr>
            <w:tcW w:w="0" w:type="dxa"/>
            <w:vAlign w:val="bottom"/>
          </w:tcPr>
          <w:p>
            <w:pPr>
              <w:spacing w:after="0"/>
              <w:rPr>
                <w:sz w:val="1"/>
                <w:szCs w:val="1"/>
                <w:color w:val="auto"/>
              </w:rPr>
            </w:pPr>
          </w:p>
        </w:tc>
      </w:tr>
      <w:tr>
        <w:trPr>
          <w:trHeight w:val="192"/>
        </w:trPr>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239.2</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7.7</w:t>
            </w:r>
          </w:p>
        </w:tc>
        <w:tc>
          <w:tcPr>
            <w:tcW w:w="80" w:type="dxa"/>
            <w:vAlign w:val="bottom"/>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275.3</w:t>
            </w:r>
          </w:p>
        </w:tc>
        <w:tc>
          <w:tcPr>
            <w:tcW w:w="1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272.5</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275.3</w:t>
            </w:r>
          </w:p>
        </w:tc>
        <w:tc>
          <w:tcPr>
            <w:tcW w:w="0" w:type="dxa"/>
            <w:vAlign w:val="bottom"/>
          </w:tcPr>
          <w:p>
            <w:pPr>
              <w:spacing w:after="0"/>
              <w:rPr>
                <w:sz w:val="1"/>
                <w:szCs w:val="1"/>
                <w:color w:val="auto"/>
              </w:rPr>
            </w:pPr>
          </w:p>
        </w:tc>
      </w:tr>
      <w:tr>
        <w:trPr>
          <w:trHeight w:val="25"/>
        </w:trPr>
        <w:tc>
          <w:tcPr>
            <w:tcW w:w="1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Combined with Safe Harbor Narrows Point, an existing adjacent marina.</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The above allocations are estimates awaiting purchase price allocations.</w:t>
      </w:r>
    </w:p>
    <w:p>
      <w:pPr>
        <w:spacing w:after="0" w:line="24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March 31, 2022, we have incurred and capitalized $5.1 million of transaction costs, which have been capitalized and allocated among the various fixed asset categories for purchases that meet the asset acquisition criteria. As of March 31, 2022, we also incurred $0.5 million of business combination expenses, which are expensed for acquisitions deemed to be business combinations.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amount of Revenues and Net income included in the Consolidated Statements of Operations for the three months ended March 31, 2022 related to business combinations completed in 2022 are set forth in the following table (in millions):</w:t>
      </w:r>
    </w:p>
    <w:p>
      <w:pPr>
        <w:spacing w:after="0" w:line="235" w:lineRule="exact"/>
        <w:rPr>
          <w:sz w:val="20"/>
          <w:szCs w:val="20"/>
          <w:color w:val="auto"/>
        </w:rPr>
      </w:pPr>
    </w:p>
    <w:p>
      <w:pPr>
        <w:jc w:val="center"/>
        <w:ind w:left="9420"/>
        <w:spacing w:after="0"/>
        <w:rPr>
          <w:sz w:val="20"/>
          <w:szCs w:val="20"/>
          <w:color w:val="auto"/>
        </w:rPr>
      </w:pPr>
      <w:r>
        <w:rPr>
          <w:rFonts w:ascii="Arial" w:cs="Arial" w:eastAsia="Arial" w:hAnsi="Arial"/>
          <w:sz w:val="15"/>
          <w:szCs w:val="15"/>
          <w:b w:val="1"/>
          <w:bCs w:val="1"/>
          <w:color w:val="auto"/>
        </w:rPr>
        <w:t>Three Months Ended</w:t>
      </w:r>
    </w:p>
    <w:p>
      <w:pPr>
        <w:spacing w:after="0" w:line="30" w:lineRule="exact"/>
        <w:rPr>
          <w:sz w:val="20"/>
          <w:szCs w:val="20"/>
          <w:color w:val="auto"/>
        </w:rPr>
      </w:pPr>
    </w:p>
    <w:p>
      <w:pPr>
        <w:jc w:val="center"/>
        <w:ind w:left="9420"/>
        <w:spacing w:after="0"/>
        <w:rPr>
          <w:sz w:val="20"/>
          <w:szCs w:val="20"/>
          <w:color w:val="auto"/>
        </w:rPr>
      </w:pPr>
      <w:r>
        <w:rPr>
          <w:rFonts w:ascii="Arial" w:cs="Arial" w:eastAsia="Arial" w:hAnsi="Arial"/>
          <w:sz w:val="15"/>
          <w:szCs w:val="15"/>
          <w:b w:val="1"/>
          <w:bCs w:val="1"/>
          <w:color w:val="auto"/>
        </w:rPr>
        <w:t>March 31,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820" w:type="dxa"/>
            <w:vAlign w:val="bottom"/>
            <w:tcBorders>
              <w:top w:val="single" w:sz="8" w:color="auto"/>
            </w:tcBorders>
            <w:shd w:val="clear" w:color="auto" w:fill="CCEEFF"/>
          </w:tcPr>
          <w:p>
            <w:pPr>
              <w:jc w:val="right"/>
              <w:ind w:right="644"/>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w:t>
            </w:r>
          </w:p>
        </w:tc>
      </w:tr>
      <w:tr>
        <w:trPr>
          <w:trHeight w:val="194"/>
        </w:trPr>
        <w:tc>
          <w:tcPr>
            <w:tcW w:w="94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820" w:type="dxa"/>
            <w:vAlign w:val="bottom"/>
          </w:tcPr>
          <w:p>
            <w:pPr>
              <w:jc w:val="right"/>
              <w:ind w:right="64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0.1</w:t>
            </w:r>
          </w:p>
        </w:tc>
      </w:tr>
    </w:tbl>
    <w:p>
      <w:pPr>
        <w:spacing w:after="0" w:line="3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financial information presents the results of our operations for the three months ended March 31, 2022 and 2021, as if the properties combined through business combinations in 2022 had been acquired on January 1, 2021. The unaudited pro forma results reflect certain adjustments for items that are not expected to have a continuing impact, such as adjustments for transaction costs incurred, management fees and acquisition accounting.</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presented below has been prepared for comparative purposes only and does not purport to be indicative of either future results of operations or the results of operations that would have actually occurred had the acquisition been consummated on January 1, 2021 (in millions, except for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244"/>
              <w:spacing w:after="0"/>
              <w:rPr>
                <w:sz w:val="20"/>
                <w:szCs w:val="20"/>
                <w:color w:val="auto"/>
              </w:rPr>
            </w:pPr>
            <w:r>
              <w:rPr>
                <w:rFonts w:ascii="Arial" w:cs="Arial" w:eastAsia="Arial" w:hAnsi="Arial"/>
                <w:sz w:val="15"/>
                <w:szCs w:val="15"/>
                <w:b w:val="1"/>
                <w:bCs w:val="1"/>
                <w:color w:val="auto"/>
              </w:rPr>
              <w:t>Three Months Ended (unaudited)</w:t>
            </w:r>
          </w:p>
        </w:tc>
      </w:tr>
      <w:tr>
        <w:trPr>
          <w:trHeight w:val="198"/>
        </w:trPr>
        <w:tc>
          <w:tcPr>
            <w:tcW w:w="8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b w:val="1"/>
                <w:bCs w:val="1"/>
                <w:color w:val="auto"/>
              </w:rPr>
              <w:t>March 31, 2022</w:t>
            </w:r>
          </w:p>
        </w:tc>
        <w:tc>
          <w:tcPr>
            <w:tcW w:w="140" w:type="dxa"/>
            <w:vAlign w:val="bottom"/>
          </w:tcPr>
          <w:p>
            <w:pPr>
              <w:spacing w:after="0"/>
              <w:rPr>
                <w:sz w:val="17"/>
                <w:szCs w:val="17"/>
                <w:color w:val="auto"/>
              </w:rPr>
            </w:pPr>
          </w:p>
        </w:tc>
        <w:tc>
          <w:tcPr>
            <w:tcW w:w="1220" w:type="dxa"/>
            <w:vAlign w:val="bottom"/>
          </w:tcPr>
          <w:p>
            <w:pPr>
              <w:jc w:val="right"/>
              <w:ind w:right="104"/>
              <w:spacing w:after="0"/>
              <w:rPr>
                <w:sz w:val="20"/>
                <w:szCs w:val="20"/>
                <w:color w:val="auto"/>
              </w:rPr>
            </w:pPr>
            <w:r>
              <w:rPr>
                <w:rFonts w:ascii="Arial" w:cs="Arial" w:eastAsia="Arial" w:hAnsi="Arial"/>
                <w:sz w:val="15"/>
                <w:szCs w:val="15"/>
                <w:b w:val="1"/>
                <w:bCs w:val="1"/>
                <w:color w:val="auto"/>
                <w:w w:val="95"/>
              </w:rPr>
              <w:t>March 31, 2021</w:t>
            </w:r>
          </w:p>
        </w:tc>
      </w:tr>
      <w:tr>
        <w:trPr>
          <w:trHeight w:val="198"/>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553.3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447.6</w:t>
            </w:r>
          </w:p>
        </w:tc>
      </w:tr>
      <w:tr>
        <w:trPr>
          <w:trHeight w:val="198"/>
        </w:trPr>
        <w:tc>
          <w:tcPr>
            <w:tcW w:w="8400" w:type="dxa"/>
            <w:vAlign w:val="bottom"/>
          </w:tcPr>
          <w:p>
            <w:pPr>
              <w:ind w:left="20"/>
              <w:spacing w:after="0"/>
              <w:rPr>
                <w:sz w:val="20"/>
                <w:szCs w:val="20"/>
                <w:color w:val="auto"/>
              </w:rPr>
            </w:pPr>
            <w:r>
              <w:rPr>
                <w:rFonts w:ascii="Arial" w:cs="Arial" w:eastAsia="Arial" w:hAnsi="Arial"/>
                <w:sz w:val="15"/>
                <w:szCs w:val="15"/>
                <w:color w:val="auto"/>
              </w:rPr>
              <w:t>Net income attributable to Sun Communities, Inc. common shareholders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25.4</w:t>
            </w:r>
          </w:p>
        </w:tc>
      </w:tr>
      <w:tr>
        <w:trPr>
          <w:trHeight w:val="207"/>
        </w:trPr>
        <w:tc>
          <w:tcPr>
            <w:tcW w:w="8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per share attributable to Sun Communities, Inc. common shareholders - 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0.24</w:t>
            </w:r>
          </w:p>
        </w:tc>
      </w:tr>
      <w:tr>
        <w:trPr>
          <w:trHeight w:val="194"/>
        </w:trPr>
        <w:tc>
          <w:tcPr>
            <w:tcW w:w="8400" w:type="dxa"/>
            <w:vAlign w:val="bottom"/>
          </w:tcPr>
          <w:p>
            <w:pPr>
              <w:ind w:left="20"/>
              <w:spacing w:after="0"/>
              <w:rPr>
                <w:sz w:val="20"/>
                <w:szCs w:val="20"/>
                <w:color w:val="auto"/>
              </w:rPr>
            </w:pPr>
            <w:r>
              <w:rPr>
                <w:rFonts w:ascii="Arial" w:cs="Arial" w:eastAsia="Arial" w:hAnsi="Arial"/>
                <w:sz w:val="15"/>
                <w:szCs w:val="15"/>
                <w:color w:val="auto"/>
              </w:rPr>
              <w:t>Net income per share attributable to Sun Communities, Inc. common shareholders - diluted</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0.01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0.23</w:t>
            </w:r>
          </w:p>
        </w:tc>
      </w:tr>
    </w:tbl>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24, 2022, we sold two MH communities and one community containing MH and RV sites, located in Florida, with combined 323 sites, for $29.6 million . The gain from the sale of the properties was $13.4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Acquisitions and Dispositions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2021, we acquired the following MH communities, RV resorts and marinas: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60" w:type="dxa"/>
            <w:vAlign w:val="bottom"/>
            <w:vMerge w:val="restart"/>
          </w:tcPr>
          <w:p>
            <w:pPr>
              <w:ind w:left="940"/>
              <w:spacing w:after="0"/>
              <w:rPr>
                <w:sz w:val="20"/>
                <w:szCs w:val="20"/>
                <w:color w:val="auto"/>
              </w:rPr>
            </w:pPr>
            <w:r>
              <w:rPr>
                <w:rFonts w:ascii="Arial" w:cs="Arial" w:eastAsia="Arial" w:hAnsi="Arial"/>
                <w:sz w:val="15"/>
                <w:szCs w:val="15"/>
                <w:b w:val="1"/>
                <w:bCs w:val="1"/>
                <w:color w:val="auto"/>
              </w:rPr>
              <w:t>Community Name</w:t>
            </w:r>
          </w:p>
        </w:tc>
        <w:tc>
          <w:tcPr>
            <w:tcW w:w="80" w:type="dxa"/>
            <w:vAlign w:val="bottom"/>
            <w:vMerge w:val="restart"/>
          </w:tcPr>
          <w:p>
            <w:pPr>
              <w:spacing w:after="0"/>
              <w:rPr>
                <w:sz w:val="14"/>
                <w:szCs w:val="14"/>
                <w:color w:val="auto"/>
              </w:rPr>
            </w:pPr>
          </w:p>
        </w:tc>
        <w:tc>
          <w:tcPr>
            <w:tcW w:w="1980" w:type="dxa"/>
            <w:vAlign w:val="bottom"/>
            <w:vMerge w:val="restart"/>
          </w:tcPr>
          <w:p>
            <w:pPr>
              <w:ind w:left="820"/>
              <w:spacing w:after="0"/>
              <w:rPr>
                <w:sz w:val="20"/>
                <w:szCs w:val="20"/>
                <w:color w:val="auto"/>
              </w:rPr>
            </w:pPr>
            <w:r>
              <w:rPr>
                <w:rFonts w:ascii="Arial" w:cs="Arial" w:eastAsia="Arial" w:hAnsi="Arial"/>
                <w:sz w:val="15"/>
                <w:szCs w:val="15"/>
                <w:b w:val="1"/>
                <w:bCs w:val="1"/>
                <w:color w:val="auto"/>
              </w:rPr>
              <w:t>Type</w:t>
            </w:r>
          </w:p>
        </w:tc>
        <w:tc>
          <w:tcPr>
            <w:tcW w:w="80" w:type="dxa"/>
            <w:vAlign w:val="bottom"/>
            <w:vMerge w:val="restart"/>
          </w:tcPr>
          <w:p>
            <w:pPr>
              <w:spacing w:after="0"/>
              <w:rPr>
                <w:sz w:val="14"/>
                <w:szCs w:val="14"/>
                <w:color w:val="auto"/>
              </w:rPr>
            </w:pPr>
          </w:p>
        </w:tc>
        <w:tc>
          <w:tcPr>
            <w:tcW w:w="1720" w:type="dxa"/>
            <w:vAlign w:val="bottom"/>
            <w:gridSpan w:val="2"/>
          </w:tcPr>
          <w:p>
            <w:pPr>
              <w:ind w:left="20"/>
              <w:spacing w:after="0"/>
              <w:rPr>
                <w:sz w:val="20"/>
                <w:szCs w:val="20"/>
                <w:color w:val="auto"/>
              </w:rPr>
            </w:pPr>
            <w:r>
              <w:rPr>
                <w:rFonts w:ascii="Arial" w:cs="Arial" w:eastAsia="Arial" w:hAnsi="Arial"/>
                <w:sz w:val="15"/>
                <w:szCs w:val="15"/>
                <w:b w:val="1"/>
                <w:bCs w:val="1"/>
                <w:color w:val="auto"/>
                <w:w w:val="97"/>
              </w:rPr>
              <w:t>Sites, Wet Slips and Dry</w:t>
            </w:r>
          </w:p>
        </w:tc>
        <w:tc>
          <w:tcPr>
            <w:tcW w:w="14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w w:val="98"/>
              </w:rPr>
              <w:t>Development Sites</w:t>
            </w:r>
          </w:p>
        </w:tc>
        <w:tc>
          <w:tcPr>
            <w:tcW w:w="80" w:type="dxa"/>
            <w:vAlign w:val="bottom"/>
            <w:vMerge w:val="restart"/>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5"/>
                <w:szCs w:val="15"/>
                <w:b w:val="1"/>
                <w:bCs w:val="1"/>
                <w:color w:val="auto"/>
                <w:w w:val="98"/>
              </w:rPr>
              <w:t>State / Province or</w:t>
            </w:r>
          </w:p>
        </w:tc>
        <w:tc>
          <w:tcPr>
            <w:tcW w:w="140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Month Acquired</w:t>
            </w:r>
          </w:p>
        </w:tc>
        <w:tc>
          <w:tcPr>
            <w:tcW w:w="0" w:type="dxa"/>
            <w:vAlign w:val="bottom"/>
          </w:tcPr>
          <w:p>
            <w:pPr>
              <w:spacing w:after="0"/>
              <w:rPr>
                <w:sz w:val="1"/>
                <w:szCs w:val="1"/>
                <w:color w:val="auto"/>
              </w:rPr>
            </w:pPr>
          </w:p>
        </w:tc>
      </w:tr>
      <w:tr>
        <w:trPr>
          <w:trHeight w:val="200"/>
        </w:trPr>
        <w:tc>
          <w:tcPr>
            <w:tcW w:w="30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9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64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Storage Spaces</w:t>
            </w:r>
          </w:p>
        </w:tc>
        <w:tc>
          <w:tcPr>
            <w:tcW w:w="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300" w:type="dxa"/>
            <w:vAlign w:val="bottom"/>
            <w:tcBorders>
              <w:bottom w:val="single" w:sz="8" w:color="auto"/>
            </w:tcBorders>
          </w:tcPr>
          <w:p>
            <w:pPr>
              <w:ind w:left="380"/>
              <w:spacing w:after="0"/>
              <w:rPr>
                <w:sz w:val="20"/>
                <w:szCs w:val="20"/>
                <w:color w:val="auto"/>
              </w:rPr>
            </w:pPr>
            <w:r>
              <w:rPr>
                <w:rFonts w:ascii="Arial" w:cs="Arial" w:eastAsia="Arial" w:hAnsi="Arial"/>
                <w:sz w:val="15"/>
                <w:szCs w:val="15"/>
                <w:b w:val="1"/>
                <w:bCs w:val="1"/>
                <w:color w:val="auto"/>
              </w:rPr>
              <w:t>Country</w:t>
            </w:r>
          </w:p>
        </w:tc>
        <w:tc>
          <w:tcPr>
            <w:tcW w:w="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Sun Outdoors Association Island</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NY</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January</w:t>
            </w:r>
          </w:p>
        </w:tc>
        <w:tc>
          <w:tcPr>
            <w:tcW w:w="0" w:type="dxa"/>
            <w:vAlign w:val="bottom"/>
          </w:tcPr>
          <w:p>
            <w:pPr>
              <w:spacing w:after="0"/>
              <w:rPr>
                <w:sz w:val="1"/>
                <w:szCs w:val="1"/>
                <w:color w:val="auto"/>
              </w:rPr>
            </w:pPr>
          </w:p>
        </w:tc>
      </w:tr>
      <w:tr>
        <w:trPr>
          <w:trHeight w:val="198"/>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Blue Water Beach Resort</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177</w:t>
            </w:r>
          </w:p>
        </w:tc>
        <w:tc>
          <w:tcPr>
            <w:tcW w:w="8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UT</w:t>
            </w:r>
          </w:p>
        </w:tc>
        <w:tc>
          <w:tcPr>
            <w:tcW w:w="1400" w:type="dxa"/>
            <w:vAlign w:val="bottom"/>
          </w:tcPr>
          <w:p>
            <w:pPr>
              <w:ind w:left="20"/>
              <w:spacing w:after="0"/>
              <w:rPr>
                <w:sz w:val="20"/>
                <w:szCs w:val="20"/>
                <w:color w:val="auto"/>
              </w:rPr>
            </w:pPr>
            <w:r>
              <w:rPr>
                <w:rFonts w:ascii="Arial" w:cs="Arial" w:eastAsia="Arial" w:hAnsi="Arial"/>
                <w:sz w:val="15"/>
                <w:szCs w:val="15"/>
                <w:color w:val="auto"/>
              </w:rPr>
              <w:t>February</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Tranquility MHC</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February</w:t>
            </w:r>
          </w:p>
        </w:tc>
        <w:tc>
          <w:tcPr>
            <w:tcW w:w="0" w:type="dxa"/>
            <w:vAlign w:val="bottom"/>
          </w:tcPr>
          <w:p>
            <w:pPr>
              <w:spacing w:after="0"/>
              <w:rPr>
                <w:sz w:val="1"/>
                <w:szCs w:val="1"/>
                <w:color w:val="auto"/>
              </w:rPr>
            </w:pPr>
          </w:p>
        </w:tc>
      </w:tr>
      <w:tr>
        <w:trPr>
          <w:trHeight w:val="203"/>
        </w:trPr>
        <w:tc>
          <w:tcPr>
            <w:tcW w:w="314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Islamorada and Angler House</w:t>
            </w:r>
            <w:r>
              <w:rPr>
                <w:rFonts w:ascii="Arial" w:cs="Arial" w:eastAsia="Arial" w:hAnsi="Arial"/>
                <w:sz w:val="19"/>
                <w:szCs w:val="19"/>
                <w:color w:val="auto"/>
                <w:vertAlign w:val="superscript"/>
              </w:rPr>
              <w:t>(1)</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251</w:t>
            </w:r>
          </w:p>
        </w:tc>
        <w:tc>
          <w:tcPr>
            <w:tcW w:w="8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FL</w:t>
            </w:r>
          </w:p>
        </w:tc>
        <w:tc>
          <w:tcPr>
            <w:tcW w:w="1400" w:type="dxa"/>
            <w:vAlign w:val="bottom"/>
          </w:tcPr>
          <w:p>
            <w:pPr>
              <w:ind w:left="20"/>
              <w:spacing w:after="0"/>
              <w:rPr>
                <w:sz w:val="20"/>
                <w:szCs w:val="20"/>
                <w:color w:val="auto"/>
              </w:rPr>
            </w:pPr>
            <w:r>
              <w:rPr>
                <w:rFonts w:ascii="Arial" w:cs="Arial" w:eastAsia="Arial" w:hAnsi="Arial"/>
                <w:sz w:val="15"/>
                <w:szCs w:val="15"/>
                <w:color w:val="auto"/>
              </w:rPr>
              <w:t>February</w:t>
            </w:r>
          </w:p>
        </w:tc>
        <w:tc>
          <w:tcPr>
            <w:tcW w:w="0" w:type="dxa"/>
            <w:vAlign w:val="bottom"/>
          </w:tcPr>
          <w:p>
            <w:pPr>
              <w:spacing w:after="0"/>
              <w:rPr>
                <w:sz w:val="1"/>
                <w:szCs w:val="1"/>
                <w:color w:val="auto"/>
              </w:rPr>
            </w:pPr>
          </w:p>
        </w:tc>
      </w:tr>
      <w:tr>
        <w:trPr>
          <w:trHeight w:val="203"/>
        </w:trPr>
        <w:tc>
          <w:tcPr>
            <w:tcW w:w="314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5"/>
                <w:szCs w:val="15"/>
                <w:color w:val="auto"/>
              </w:rPr>
              <w:t>Prime Martha's Vineyard</w:t>
            </w:r>
            <w:r>
              <w:rPr>
                <w:rFonts w:ascii="Arial" w:cs="Arial" w:eastAsia="Arial" w:hAnsi="Arial"/>
                <w:sz w:val="19"/>
                <w:szCs w:val="19"/>
                <w:color w:val="auto"/>
                <w:vertAlign w:val="superscript"/>
              </w:rPr>
              <w:t>(1)</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March</w:t>
            </w:r>
          </w:p>
        </w:tc>
        <w:tc>
          <w:tcPr>
            <w:tcW w:w="0" w:type="dxa"/>
            <w:vAlign w:val="bottom"/>
          </w:tcPr>
          <w:p>
            <w:pPr>
              <w:spacing w:after="0"/>
              <w:rPr>
                <w:sz w:val="1"/>
                <w:szCs w:val="1"/>
                <w:color w:val="auto"/>
              </w:rPr>
            </w:pPr>
          </w:p>
        </w:tc>
      </w:tr>
      <w:tr>
        <w:trPr>
          <w:trHeight w:val="198"/>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Pleasant Beach Campground</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102</w:t>
            </w:r>
          </w:p>
        </w:tc>
        <w:tc>
          <w:tcPr>
            <w:tcW w:w="8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ON, Canada</w:t>
            </w:r>
          </w:p>
        </w:tc>
        <w:tc>
          <w:tcPr>
            <w:tcW w:w="1400" w:type="dxa"/>
            <w:vAlign w:val="bottom"/>
          </w:tcPr>
          <w:p>
            <w:pPr>
              <w:ind w:left="20"/>
              <w:spacing w:after="0"/>
              <w:rPr>
                <w:sz w:val="20"/>
                <w:szCs w:val="20"/>
                <w:color w:val="auto"/>
              </w:rPr>
            </w:pPr>
            <w:r>
              <w:rPr>
                <w:rFonts w:ascii="Arial" w:cs="Arial" w:eastAsia="Arial" w:hAnsi="Arial"/>
                <w:sz w:val="15"/>
                <w:szCs w:val="15"/>
                <w:color w:val="auto"/>
              </w:rPr>
              <w:t>March</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Sun Outdoors Cape Charles</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669</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VA</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March</w:t>
            </w:r>
          </w:p>
        </w:tc>
        <w:tc>
          <w:tcPr>
            <w:tcW w:w="0" w:type="dxa"/>
            <w:vAlign w:val="bottom"/>
          </w:tcPr>
          <w:p>
            <w:pPr>
              <w:spacing w:after="0"/>
              <w:rPr>
                <w:sz w:val="1"/>
                <w:szCs w:val="1"/>
                <w:color w:val="auto"/>
              </w:rPr>
            </w:pPr>
          </w:p>
        </w:tc>
      </w:tr>
      <w:tr>
        <w:trPr>
          <w:trHeight w:val="198"/>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Beachwood Resort</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672</w:t>
            </w:r>
          </w:p>
        </w:tc>
        <w:tc>
          <w:tcPr>
            <w:tcW w:w="8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WA</w:t>
            </w:r>
          </w:p>
        </w:tc>
        <w:tc>
          <w:tcPr>
            <w:tcW w:w="1400" w:type="dxa"/>
            <w:vAlign w:val="bottom"/>
          </w:tcPr>
          <w:p>
            <w:pPr>
              <w:ind w:left="20"/>
              <w:spacing w:after="0"/>
              <w:rPr>
                <w:sz w:val="20"/>
                <w:szCs w:val="20"/>
                <w:color w:val="auto"/>
              </w:rPr>
            </w:pPr>
            <w:r>
              <w:rPr>
                <w:rFonts w:ascii="Arial" w:cs="Arial" w:eastAsia="Arial" w:hAnsi="Arial"/>
                <w:sz w:val="15"/>
                <w:szCs w:val="15"/>
                <w:color w:val="auto"/>
              </w:rPr>
              <w:t>March</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ThemeWorld RV Resort</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April</w:t>
            </w:r>
          </w:p>
        </w:tc>
        <w:tc>
          <w:tcPr>
            <w:tcW w:w="0" w:type="dxa"/>
            <w:vAlign w:val="bottom"/>
          </w:tcPr>
          <w:p>
            <w:pPr>
              <w:spacing w:after="0"/>
              <w:rPr>
                <w:sz w:val="1"/>
                <w:szCs w:val="1"/>
                <w:color w:val="auto"/>
              </w:rPr>
            </w:pPr>
          </w:p>
        </w:tc>
      </w:tr>
      <w:tr>
        <w:trPr>
          <w:trHeight w:val="198"/>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Sylvan Glen Estates</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MH: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476</w:t>
            </w:r>
          </w:p>
        </w:tc>
        <w:tc>
          <w:tcPr>
            <w:tcW w:w="8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MI</w:t>
            </w:r>
          </w:p>
        </w:tc>
        <w:tc>
          <w:tcPr>
            <w:tcW w:w="1400" w:type="dxa"/>
            <w:vAlign w:val="bottom"/>
          </w:tcPr>
          <w:p>
            <w:pPr>
              <w:ind w:left="20"/>
              <w:spacing w:after="0"/>
              <w:rPr>
                <w:sz w:val="20"/>
                <w:szCs w:val="20"/>
                <w:color w:val="auto"/>
              </w:rPr>
            </w:pPr>
            <w:r>
              <w:rPr>
                <w:rFonts w:ascii="Arial" w:cs="Arial" w:eastAsia="Arial" w:hAnsi="Arial"/>
                <w:sz w:val="15"/>
                <w:szCs w:val="15"/>
                <w:color w:val="auto"/>
              </w:rPr>
              <w:t>April</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Shelter Island Boatyard</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May</w:t>
            </w:r>
          </w:p>
        </w:tc>
        <w:tc>
          <w:tcPr>
            <w:tcW w:w="0" w:type="dxa"/>
            <w:vAlign w:val="bottom"/>
          </w:tcPr>
          <w:p>
            <w:pPr>
              <w:spacing w:after="0"/>
              <w:rPr>
                <w:sz w:val="1"/>
                <w:szCs w:val="1"/>
                <w:color w:val="auto"/>
              </w:rPr>
            </w:pPr>
          </w:p>
        </w:tc>
      </w:tr>
      <w:tr>
        <w:trPr>
          <w:trHeight w:val="198"/>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Lauderdale Marine Center</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206</w:t>
            </w:r>
          </w:p>
        </w:tc>
        <w:tc>
          <w:tcPr>
            <w:tcW w:w="8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FL</w:t>
            </w:r>
          </w:p>
        </w:tc>
        <w:tc>
          <w:tcPr>
            <w:tcW w:w="1400" w:type="dxa"/>
            <w:vAlign w:val="bottom"/>
          </w:tcPr>
          <w:p>
            <w:pPr>
              <w:ind w:left="20"/>
              <w:spacing w:after="0"/>
              <w:rPr>
                <w:sz w:val="20"/>
                <w:szCs w:val="20"/>
                <w:color w:val="auto"/>
              </w:rPr>
            </w:pPr>
            <w:r>
              <w:rPr>
                <w:rFonts w:ascii="Arial" w:cs="Arial" w:eastAsia="Arial" w:hAnsi="Arial"/>
                <w:sz w:val="15"/>
                <w:szCs w:val="15"/>
                <w:color w:val="auto"/>
              </w:rPr>
              <w:t>May</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Apponaug Harbor</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RI</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June</w:t>
            </w:r>
          </w:p>
        </w:tc>
        <w:tc>
          <w:tcPr>
            <w:tcW w:w="0" w:type="dxa"/>
            <w:vAlign w:val="bottom"/>
          </w:tcPr>
          <w:p>
            <w:pPr>
              <w:spacing w:after="0"/>
              <w:rPr>
                <w:sz w:val="1"/>
                <w:szCs w:val="1"/>
                <w:color w:val="auto"/>
              </w:rPr>
            </w:pPr>
          </w:p>
        </w:tc>
      </w:tr>
      <w:tr>
        <w:trPr>
          <w:trHeight w:val="198"/>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Cabrillo Isle</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Marina: business combination</w:t>
            </w:r>
          </w:p>
        </w:tc>
        <w:tc>
          <w:tcPr>
            <w:tcW w:w="1640" w:type="dxa"/>
            <w:vAlign w:val="bottom"/>
          </w:tcPr>
          <w:p>
            <w:pPr>
              <w:jc w:val="right"/>
              <w:spacing w:after="0"/>
              <w:rPr>
                <w:sz w:val="20"/>
                <w:szCs w:val="20"/>
                <w:color w:val="auto"/>
              </w:rPr>
            </w:pPr>
            <w:r>
              <w:rPr>
                <w:rFonts w:ascii="Arial" w:cs="Arial" w:eastAsia="Arial" w:hAnsi="Arial"/>
                <w:sz w:val="15"/>
                <w:szCs w:val="15"/>
                <w:color w:val="auto"/>
              </w:rPr>
              <w:t>476</w:t>
            </w:r>
          </w:p>
        </w:tc>
        <w:tc>
          <w:tcPr>
            <w:tcW w:w="8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CA</w:t>
            </w:r>
          </w:p>
        </w:tc>
        <w:tc>
          <w:tcPr>
            <w:tcW w:w="1400" w:type="dxa"/>
            <w:vAlign w:val="bottom"/>
          </w:tcPr>
          <w:p>
            <w:pPr>
              <w:ind w:left="20"/>
              <w:spacing w:after="0"/>
              <w:rPr>
                <w:sz w:val="20"/>
                <w:szCs w:val="20"/>
                <w:color w:val="auto"/>
              </w:rPr>
            </w:pPr>
            <w:r>
              <w:rPr>
                <w:rFonts w:ascii="Arial" w:cs="Arial" w:eastAsia="Arial" w:hAnsi="Arial"/>
                <w:sz w:val="15"/>
                <w:szCs w:val="15"/>
                <w:color w:val="auto"/>
              </w:rPr>
              <w:t>June</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Marathon</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June</w:t>
            </w:r>
          </w:p>
        </w:tc>
        <w:tc>
          <w:tcPr>
            <w:tcW w:w="0" w:type="dxa"/>
            <w:vAlign w:val="bottom"/>
          </w:tcPr>
          <w:p>
            <w:pPr>
              <w:spacing w:after="0"/>
              <w:rPr>
                <w:sz w:val="1"/>
                <w:szCs w:val="1"/>
                <w:color w:val="auto"/>
              </w:rPr>
            </w:pPr>
          </w:p>
        </w:tc>
      </w:tr>
      <w:tr>
        <w:trPr>
          <w:trHeight w:val="198"/>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Allen Harbor</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176</w:t>
            </w:r>
          </w:p>
        </w:tc>
        <w:tc>
          <w:tcPr>
            <w:tcW w:w="8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RI</w:t>
            </w:r>
          </w:p>
        </w:tc>
        <w:tc>
          <w:tcPr>
            <w:tcW w:w="1400" w:type="dxa"/>
            <w:vAlign w:val="bottom"/>
          </w:tcPr>
          <w:p>
            <w:pPr>
              <w:ind w:left="20"/>
              <w:spacing w:after="0"/>
              <w:rPr>
                <w:sz w:val="20"/>
                <w:szCs w:val="20"/>
                <w:color w:val="auto"/>
              </w:rPr>
            </w:pPr>
            <w:r>
              <w:rPr>
                <w:rFonts w:ascii="Arial" w:cs="Arial" w:eastAsia="Arial" w:hAnsi="Arial"/>
                <w:sz w:val="15"/>
                <w:szCs w:val="15"/>
                <w:color w:val="auto"/>
              </w:rPr>
              <w:t>July</w:t>
            </w:r>
          </w:p>
        </w:tc>
        <w:tc>
          <w:tcPr>
            <w:tcW w:w="0" w:type="dxa"/>
            <w:vAlign w:val="bottom"/>
          </w:tcPr>
          <w:p>
            <w:pPr>
              <w:spacing w:after="0"/>
              <w:rPr>
                <w:sz w:val="1"/>
                <w:szCs w:val="1"/>
                <w:color w:val="auto"/>
              </w:rPr>
            </w:pPr>
          </w:p>
        </w:tc>
      </w:tr>
      <w:tr>
        <w:trPr>
          <w:trHeight w:val="20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Cisco Grove Campground &amp; RV</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407</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July</w:t>
            </w:r>
          </w:p>
        </w:tc>
        <w:tc>
          <w:tcPr>
            <w:tcW w:w="0" w:type="dxa"/>
            <w:vAlign w:val="bottom"/>
          </w:tcPr>
          <w:p>
            <w:pPr>
              <w:spacing w:after="0"/>
              <w:rPr>
                <w:sz w:val="1"/>
                <w:szCs w:val="1"/>
                <w:color w:val="auto"/>
              </w:rPr>
            </w:pPr>
          </w:p>
        </w:tc>
      </w:tr>
      <w:tr>
        <w:trPr>
          <w:trHeight w:val="203"/>
        </w:trPr>
        <w:tc>
          <w:tcPr>
            <w:tcW w:w="314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Four Leaf Portfolio</w:t>
            </w:r>
            <w:r>
              <w:rPr>
                <w:rFonts w:ascii="Arial" w:cs="Arial" w:eastAsia="Arial" w:hAnsi="Arial"/>
                <w:sz w:val="19"/>
                <w:szCs w:val="19"/>
                <w:color w:val="auto"/>
                <w:vertAlign w:val="superscript"/>
              </w:rPr>
              <w:t>(2)</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MH: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2,545</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340</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MI / IN</w:t>
            </w:r>
          </w:p>
        </w:tc>
        <w:tc>
          <w:tcPr>
            <w:tcW w:w="1400" w:type="dxa"/>
            <w:vAlign w:val="bottom"/>
          </w:tcPr>
          <w:p>
            <w:pPr>
              <w:ind w:left="20"/>
              <w:spacing w:after="0"/>
              <w:rPr>
                <w:sz w:val="20"/>
                <w:szCs w:val="20"/>
                <w:color w:val="auto"/>
              </w:rPr>
            </w:pPr>
            <w:r>
              <w:rPr>
                <w:rFonts w:ascii="Arial" w:cs="Arial" w:eastAsia="Arial" w:hAnsi="Arial"/>
                <w:sz w:val="15"/>
                <w:szCs w:val="15"/>
                <w:color w:val="auto"/>
              </w:rPr>
              <w:t>July</w:t>
            </w:r>
          </w:p>
        </w:tc>
        <w:tc>
          <w:tcPr>
            <w:tcW w:w="0" w:type="dxa"/>
            <w:vAlign w:val="bottom"/>
          </w:tcPr>
          <w:p>
            <w:pPr>
              <w:spacing w:after="0"/>
              <w:rPr>
                <w:sz w:val="1"/>
                <w:szCs w:val="1"/>
                <w:color w:val="auto"/>
              </w:rPr>
            </w:pPr>
          </w:p>
        </w:tc>
      </w:tr>
      <w:tr>
        <w:trPr>
          <w:trHeight w:val="203"/>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Harborage Yacht Club</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July</w:t>
            </w:r>
          </w:p>
        </w:tc>
        <w:tc>
          <w:tcPr>
            <w:tcW w:w="0" w:type="dxa"/>
            <w:vAlign w:val="bottom"/>
          </w:tcPr>
          <w:p>
            <w:pPr>
              <w:spacing w:after="0"/>
              <w:rPr>
                <w:sz w:val="1"/>
                <w:szCs w:val="1"/>
                <w:color w:val="auto"/>
              </w:rPr>
            </w:pPr>
          </w:p>
        </w:tc>
      </w:tr>
      <w:tr>
        <w:trPr>
          <w:trHeight w:val="203"/>
        </w:trPr>
        <w:tc>
          <w:tcPr>
            <w:tcW w:w="314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Zeman Portfolio</w:t>
            </w:r>
            <w:r>
              <w:rPr>
                <w:rFonts w:ascii="Arial" w:cs="Arial" w:eastAsia="Arial" w:hAnsi="Arial"/>
                <w:sz w:val="19"/>
                <w:szCs w:val="19"/>
                <w:color w:val="auto"/>
                <w:vertAlign w:val="superscript"/>
              </w:rPr>
              <w:t>(3)</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686</w:t>
            </w:r>
          </w:p>
        </w:tc>
        <w:tc>
          <w:tcPr>
            <w:tcW w:w="8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IL / NJ</w:t>
            </w:r>
          </w:p>
        </w:tc>
        <w:tc>
          <w:tcPr>
            <w:tcW w:w="1400" w:type="dxa"/>
            <w:vAlign w:val="bottom"/>
          </w:tcPr>
          <w:p>
            <w:pPr>
              <w:ind w:left="20"/>
              <w:spacing w:after="0"/>
              <w:rPr>
                <w:sz w:val="20"/>
                <w:szCs w:val="20"/>
                <w:color w:val="auto"/>
              </w:rPr>
            </w:pPr>
            <w:r>
              <w:rPr>
                <w:rFonts w:ascii="Arial" w:cs="Arial" w:eastAsia="Arial" w:hAnsi="Arial"/>
                <w:sz w:val="15"/>
                <w:szCs w:val="15"/>
                <w:color w:val="auto"/>
              </w:rPr>
              <w:t>July</w:t>
            </w:r>
          </w:p>
        </w:tc>
        <w:tc>
          <w:tcPr>
            <w:tcW w:w="0" w:type="dxa"/>
            <w:vAlign w:val="bottom"/>
          </w:tcPr>
          <w:p>
            <w:pPr>
              <w:spacing w:after="0"/>
              <w:rPr>
                <w:sz w:val="1"/>
                <w:szCs w:val="1"/>
                <w:color w:val="auto"/>
              </w:rPr>
            </w:pPr>
          </w:p>
        </w:tc>
      </w:tr>
      <w:tr>
        <w:trPr>
          <w:trHeight w:val="203"/>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Southern Leisure RV Resort</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August</w:t>
            </w:r>
          </w:p>
        </w:tc>
        <w:tc>
          <w:tcPr>
            <w:tcW w:w="0" w:type="dxa"/>
            <w:vAlign w:val="bottom"/>
          </w:tcPr>
          <w:p>
            <w:pPr>
              <w:spacing w:after="0"/>
              <w:rPr>
                <w:sz w:val="1"/>
                <w:szCs w:val="1"/>
                <w:color w:val="auto"/>
              </w:rPr>
            </w:pPr>
          </w:p>
        </w:tc>
      </w:tr>
      <w:tr>
        <w:trPr>
          <w:trHeight w:val="199"/>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Sunroad Marina</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617</w:t>
            </w:r>
          </w:p>
        </w:tc>
        <w:tc>
          <w:tcPr>
            <w:tcW w:w="8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CA</w:t>
            </w:r>
          </w:p>
        </w:tc>
        <w:tc>
          <w:tcPr>
            <w:tcW w:w="1400" w:type="dxa"/>
            <w:vAlign w:val="bottom"/>
          </w:tcPr>
          <w:p>
            <w:pPr>
              <w:ind w:left="20"/>
              <w:spacing w:after="0"/>
              <w:rPr>
                <w:sz w:val="20"/>
                <w:szCs w:val="20"/>
                <w:color w:val="auto"/>
              </w:rPr>
            </w:pPr>
            <w:r>
              <w:rPr>
                <w:rFonts w:ascii="Arial" w:cs="Arial" w:eastAsia="Arial" w:hAnsi="Arial"/>
                <w:sz w:val="15"/>
                <w:szCs w:val="15"/>
                <w:color w:val="auto"/>
              </w:rPr>
              <w:t>August</w:t>
            </w:r>
          </w:p>
        </w:tc>
        <w:tc>
          <w:tcPr>
            <w:tcW w:w="0" w:type="dxa"/>
            <w:vAlign w:val="bottom"/>
          </w:tcPr>
          <w:p>
            <w:pPr>
              <w:spacing w:after="0"/>
              <w:rPr>
                <w:sz w:val="1"/>
                <w:szCs w:val="1"/>
                <w:color w:val="auto"/>
              </w:rPr>
            </w:pPr>
          </w:p>
        </w:tc>
      </w:tr>
      <w:tr>
        <w:trPr>
          <w:trHeight w:val="20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Lazy Lakes RV Resort</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August</w:t>
            </w:r>
          </w:p>
        </w:tc>
        <w:tc>
          <w:tcPr>
            <w:tcW w:w="0" w:type="dxa"/>
            <w:vAlign w:val="bottom"/>
          </w:tcPr>
          <w:p>
            <w:pPr>
              <w:spacing w:after="0"/>
              <w:rPr>
                <w:sz w:val="1"/>
                <w:szCs w:val="1"/>
                <w:color w:val="auto"/>
              </w:rPr>
            </w:pPr>
          </w:p>
        </w:tc>
      </w:tr>
      <w:tr>
        <w:trPr>
          <w:trHeight w:val="199"/>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Puerto del Rey</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1,746</w:t>
            </w:r>
          </w:p>
        </w:tc>
        <w:tc>
          <w:tcPr>
            <w:tcW w:w="8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Puerto Rico</w:t>
            </w:r>
          </w:p>
        </w:tc>
        <w:tc>
          <w:tcPr>
            <w:tcW w:w="1400" w:type="dxa"/>
            <w:vAlign w:val="bottom"/>
          </w:tcPr>
          <w:p>
            <w:pPr>
              <w:ind w:left="20"/>
              <w:spacing w:after="0"/>
              <w:rPr>
                <w:sz w:val="20"/>
                <w:szCs w:val="20"/>
                <w:color w:val="auto"/>
              </w:rPr>
            </w:pPr>
            <w:r>
              <w:rPr>
                <w:rFonts w:ascii="Arial" w:cs="Arial" w:eastAsia="Arial" w:hAnsi="Arial"/>
                <w:sz w:val="15"/>
                <w:szCs w:val="15"/>
                <w:color w:val="auto"/>
              </w:rPr>
              <w:t>September</w:t>
            </w:r>
          </w:p>
        </w:tc>
        <w:tc>
          <w:tcPr>
            <w:tcW w:w="0" w:type="dxa"/>
            <w:vAlign w:val="bottom"/>
          </w:tcPr>
          <w:p>
            <w:pPr>
              <w:spacing w:after="0"/>
              <w:rPr>
                <w:sz w:val="1"/>
                <w:szCs w:val="1"/>
                <w:color w:val="auto"/>
              </w:rPr>
            </w:pPr>
          </w:p>
        </w:tc>
      </w:tr>
      <w:tr>
        <w:trPr>
          <w:trHeight w:val="20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Stingray Point</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VA</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September</w:t>
            </w:r>
          </w:p>
        </w:tc>
        <w:tc>
          <w:tcPr>
            <w:tcW w:w="0" w:type="dxa"/>
            <w:vAlign w:val="bottom"/>
          </w:tcPr>
          <w:p>
            <w:pPr>
              <w:spacing w:after="0"/>
              <w:rPr>
                <w:sz w:val="1"/>
                <w:szCs w:val="1"/>
                <w:color w:val="auto"/>
              </w:rPr>
            </w:pPr>
          </w:p>
        </w:tc>
      </w:tr>
      <w:tr>
        <w:trPr>
          <w:trHeight w:val="199"/>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Detroit River</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440</w:t>
            </w:r>
          </w:p>
        </w:tc>
        <w:tc>
          <w:tcPr>
            <w:tcW w:w="8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MI</w:t>
            </w:r>
          </w:p>
        </w:tc>
        <w:tc>
          <w:tcPr>
            <w:tcW w:w="1400" w:type="dxa"/>
            <w:vAlign w:val="bottom"/>
          </w:tcPr>
          <w:p>
            <w:pPr>
              <w:ind w:left="20"/>
              <w:spacing w:after="0"/>
              <w:rPr>
                <w:sz w:val="20"/>
                <w:szCs w:val="20"/>
                <w:color w:val="auto"/>
              </w:rPr>
            </w:pPr>
            <w:r>
              <w:rPr>
                <w:rFonts w:ascii="Arial" w:cs="Arial" w:eastAsia="Arial" w:hAnsi="Arial"/>
                <w:sz w:val="15"/>
                <w:szCs w:val="15"/>
                <w:color w:val="auto"/>
              </w:rPr>
              <w:t>September</w:t>
            </w:r>
          </w:p>
        </w:tc>
        <w:tc>
          <w:tcPr>
            <w:tcW w:w="0" w:type="dxa"/>
            <w:vAlign w:val="bottom"/>
          </w:tcPr>
          <w:p>
            <w:pPr>
              <w:spacing w:after="0"/>
              <w:rPr>
                <w:sz w:val="1"/>
                <w:szCs w:val="1"/>
                <w:color w:val="auto"/>
              </w:rPr>
            </w:pPr>
          </w:p>
        </w:tc>
      </w:tr>
      <w:tr>
        <w:trPr>
          <w:trHeight w:val="20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Jetstream RV Resort at NASA</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TX</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September</w:t>
            </w:r>
          </w:p>
        </w:tc>
        <w:tc>
          <w:tcPr>
            <w:tcW w:w="0" w:type="dxa"/>
            <w:vAlign w:val="bottom"/>
          </w:tcPr>
          <w:p>
            <w:pPr>
              <w:spacing w:after="0"/>
              <w:rPr>
                <w:sz w:val="1"/>
                <w:szCs w:val="1"/>
                <w:color w:val="auto"/>
              </w:rPr>
            </w:pPr>
          </w:p>
        </w:tc>
      </w:tr>
      <w:tr>
        <w:trPr>
          <w:trHeight w:val="199"/>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Beaver Brook Campground</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204</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150</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ME</w:t>
            </w:r>
          </w:p>
        </w:tc>
        <w:tc>
          <w:tcPr>
            <w:tcW w:w="1400" w:type="dxa"/>
            <w:vAlign w:val="bottom"/>
          </w:tcPr>
          <w:p>
            <w:pPr>
              <w:ind w:left="20"/>
              <w:spacing w:after="0"/>
              <w:rPr>
                <w:sz w:val="20"/>
                <w:szCs w:val="20"/>
                <w:color w:val="auto"/>
              </w:rPr>
            </w:pPr>
            <w:r>
              <w:rPr>
                <w:rFonts w:ascii="Arial" w:cs="Arial" w:eastAsia="Arial" w:hAnsi="Arial"/>
                <w:sz w:val="15"/>
                <w:szCs w:val="15"/>
                <w:color w:val="auto"/>
              </w:rPr>
              <w:t>October</w:t>
            </w:r>
          </w:p>
        </w:tc>
        <w:tc>
          <w:tcPr>
            <w:tcW w:w="0" w:type="dxa"/>
            <w:vAlign w:val="bottom"/>
          </w:tcPr>
          <w:p>
            <w:pPr>
              <w:spacing w:after="0"/>
              <w:rPr>
                <w:sz w:val="1"/>
                <w:szCs w:val="1"/>
                <w:color w:val="auto"/>
              </w:rPr>
            </w:pPr>
          </w:p>
        </w:tc>
      </w:tr>
      <w:tr>
        <w:trPr>
          <w:trHeight w:val="20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Emerald Coast</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business combination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November</w:t>
            </w:r>
          </w:p>
        </w:tc>
        <w:tc>
          <w:tcPr>
            <w:tcW w:w="0" w:type="dxa"/>
            <w:vAlign w:val="bottom"/>
          </w:tcPr>
          <w:p>
            <w:pPr>
              <w:spacing w:after="0"/>
              <w:rPr>
                <w:sz w:val="1"/>
                <w:szCs w:val="1"/>
                <w:color w:val="auto"/>
              </w:rPr>
            </w:pPr>
          </w:p>
        </w:tc>
      </w:tr>
      <w:tr>
        <w:trPr>
          <w:trHeight w:val="199"/>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Tall Pines Harbor Campground</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241</w:t>
            </w:r>
          </w:p>
        </w:tc>
        <w:tc>
          <w:tcPr>
            <w:tcW w:w="80" w:type="dxa"/>
            <w:vAlign w:val="bottom"/>
          </w:tcPr>
          <w:p>
            <w:pPr>
              <w:spacing w:after="0"/>
              <w:rPr>
                <w:sz w:val="17"/>
                <w:szCs w:val="17"/>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VA</w:t>
            </w:r>
          </w:p>
        </w:tc>
        <w:tc>
          <w:tcPr>
            <w:tcW w:w="1400" w:type="dxa"/>
            <w:vAlign w:val="bottom"/>
          </w:tcPr>
          <w:p>
            <w:pPr>
              <w:ind w:left="20"/>
              <w:spacing w:after="0"/>
              <w:rPr>
                <w:sz w:val="20"/>
                <w:szCs w:val="20"/>
                <w:color w:val="auto"/>
              </w:rPr>
            </w:pPr>
            <w:r>
              <w:rPr>
                <w:rFonts w:ascii="Arial" w:cs="Arial" w:eastAsia="Arial" w:hAnsi="Arial"/>
                <w:sz w:val="15"/>
                <w:szCs w:val="15"/>
                <w:color w:val="auto"/>
              </w:rPr>
              <w:t>November</w:t>
            </w:r>
          </w:p>
        </w:tc>
        <w:tc>
          <w:tcPr>
            <w:tcW w:w="0" w:type="dxa"/>
            <w:vAlign w:val="bottom"/>
          </w:tcPr>
          <w:p>
            <w:pPr>
              <w:spacing w:after="0"/>
              <w:rPr>
                <w:sz w:val="1"/>
                <w:szCs w:val="1"/>
                <w:color w:val="auto"/>
              </w:rPr>
            </w:pPr>
          </w:p>
        </w:tc>
      </w:tr>
      <w:tr>
        <w:trPr>
          <w:trHeight w:val="20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Wells Beach Resort Campground</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ME</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November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60" w:type="dxa"/>
            <w:vAlign w:val="bottom"/>
            <w:vMerge w:val="restart"/>
          </w:tcPr>
          <w:p>
            <w:pPr>
              <w:ind w:left="940"/>
              <w:spacing w:after="0"/>
              <w:rPr>
                <w:sz w:val="20"/>
                <w:szCs w:val="20"/>
                <w:color w:val="auto"/>
              </w:rPr>
            </w:pPr>
            <w:r>
              <w:rPr>
                <w:rFonts w:ascii="Arial" w:cs="Arial" w:eastAsia="Arial" w:hAnsi="Arial"/>
                <w:sz w:val="15"/>
                <w:szCs w:val="15"/>
                <w:b w:val="1"/>
                <w:bCs w:val="1"/>
                <w:color w:val="auto"/>
              </w:rPr>
              <w:t>Community Name</w:t>
            </w:r>
          </w:p>
        </w:tc>
        <w:tc>
          <w:tcPr>
            <w:tcW w:w="80" w:type="dxa"/>
            <w:vAlign w:val="bottom"/>
            <w:vMerge w:val="restart"/>
          </w:tcPr>
          <w:p>
            <w:pPr>
              <w:spacing w:after="0"/>
              <w:rPr>
                <w:sz w:val="14"/>
                <w:szCs w:val="14"/>
                <w:color w:val="auto"/>
              </w:rPr>
            </w:pPr>
          </w:p>
        </w:tc>
        <w:tc>
          <w:tcPr>
            <w:tcW w:w="1980" w:type="dxa"/>
            <w:vAlign w:val="bottom"/>
            <w:vMerge w:val="restart"/>
          </w:tcPr>
          <w:p>
            <w:pPr>
              <w:ind w:left="820"/>
              <w:spacing w:after="0"/>
              <w:rPr>
                <w:sz w:val="20"/>
                <w:szCs w:val="20"/>
                <w:color w:val="auto"/>
              </w:rPr>
            </w:pPr>
            <w:r>
              <w:rPr>
                <w:rFonts w:ascii="Arial" w:cs="Arial" w:eastAsia="Arial" w:hAnsi="Arial"/>
                <w:sz w:val="15"/>
                <w:szCs w:val="15"/>
                <w:b w:val="1"/>
                <w:bCs w:val="1"/>
                <w:color w:val="auto"/>
              </w:rPr>
              <w:t>Type</w:t>
            </w:r>
          </w:p>
        </w:tc>
        <w:tc>
          <w:tcPr>
            <w:tcW w:w="80" w:type="dxa"/>
            <w:vAlign w:val="bottom"/>
            <w:vMerge w:val="restart"/>
          </w:tcPr>
          <w:p>
            <w:pPr>
              <w:spacing w:after="0"/>
              <w:rPr>
                <w:sz w:val="14"/>
                <w:szCs w:val="14"/>
                <w:color w:val="auto"/>
              </w:rPr>
            </w:pPr>
          </w:p>
        </w:tc>
        <w:tc>
          <w:tcPr>
            <w:tcW w:w="1720" w:type="dxa"/>
            <w:vAlign w:val="bottom"/>
            <w:gridSpan w:val="2"/>
          </w:tcPr>
          <w:p>
            <w:pPr>
              <w:ind w:left="20"/>
              <w:spacing w:after="0"/>
              <w:rPr>
                <w:sz w:val="20"/>
                <w:szCs w:val="20"/>
                <w:color w:val="auto"/>
              </w:rPr>
            </w:pPr>
            <w:r>
              <w:rPr>
                <w:rFonts w:ascii="Arial" w:cs="Arial" w:eastAsia="Arial" w:hAnsi="Arial"/>
                <w:sz w:val="15"/>
                <w:szCs w:val="15"/>
                <w:b w:val="1"/>
                <w:bCs w:val="1"/>
                <w:color w:val="auto"/>
                <w:w w:val="97"/>
              </w:rPr>
              <w:t>Sites, Wet Slips and Dry</w:t>
            </w:r>
          </w:p>
        </w:tc>
        <w:tc>
          <w:tcPr>
            <w:tcW w:w="14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w w:val="98"/>
              </w:rPr>
              <w:t>Development Sites</w:t>
            </w:r>
          </w:p>
        </w:tc>
        <w:tc>
          <w:tcPr>
            <w:tcW w:w="8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5"/>
                <w:szCs w:val="15"/>
                <w:b w:val="1"/>
                <w:bCs w:val="1"/>
                <w:color w:val="auto"/>
                <w:w w:val="98"/>
              </w:rPr>
              <w:t>State / Province or</w:t>
            </w:r>
          </w:p>
        </w:tc>
        <w:tc>
          <w:tcPr>
            <w:tcW w:w="140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Month Acquired</w:t>
            </w:r>
          </w:p>
        </w:tc>
        <w:tc>
          <w:tcPr>
            <w:tcW w:w="0" w:type="dxa"/>
            <w:vAlign w:val="bottom"/>
          </w:tcPr>
          <w:p>
            <w:pPr>
              <w:spacing w:after="0"/>
              <w:rPr>
                <w:sz w:val="1"/>
                <w:szCs w:val="1"/>
                <w:color w:val="auto"/>
              </w:rPr>
            </w:pPr>
          </w:p>
        </w:tc>
      </w:tr>
      <w:tr>
        <w:trPr>
          <w:trHeight w:val="200"/>
        </w:trPr>
        <w:tc>
          <w:tcPr>
            <w:tcW w:w="30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98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64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Storage Spaces</w:t>
            </w:r>
          </w:p>
        </w:tc>
        <w:tc>
          <w:tcPr>
            <w:tcW w:w="80" w:type="dxa"/>
            <w:vAlign w:val="bottom"/>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bottom w:val="single" w:sz="8" w:color="auto"/>
            </w:tcBorders>
          </w:tcPr>
          <w:p>
            <w:pPr>
              <w:ind w:left="380"/>
              <w:spacing w:after="0"/>
              <w:rPr>
                <w:sz w:val="20"/>
                <w:szCs w:val="20"/>
                <w:color w:val="auto"/>
              </w:rPr>
            </w:pPr>
            <w:r>
              <w:rPr>
                <w:rFonts w:ascii="Arial" w:cs="Arial" w:eastAsia="Arial" w:hAnsi="Arial"/>
                <w:sz w:val="15"/>
                <w:szCs w:val="15"/>
                <w:b w:val="1"/>
                <w:bCs w:val="1"/>
                <w:color w:val="auto"/>
              </w:rPr>
              <w:t>Country</w:t>
            </w:r>
          </w:p>
        </w:tc>
        <w:tc>
          <w:tcPr>
            <w:tcW w:w="80" w:type="dxa"/>
            <w:vAlign w:val="bottom"/>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Port Royal</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167</w:t>
            </w:r>
          </w:p>
        </w:tc>
        <w:tc>
          <w:tcPr>
            <w:tcW w:w="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SC</w:t>
            </w:r>
          </w:p>
        </w:tc>
        <w:tc>
          <w:tcPr>
            <w:tcW w:w="1400" w:type="dxa"/>
            <w:vAlign w:val="bottom"/>
          </w:tcPr>
          <w:p>
            <w:pPr>
              <w:ind w:left="20"/>
              <w:spacing w:after="0"/>
              <w:rPr>
                <w:sz w:val="20"/>
                <w:szCs w:val="20"/>
                <w:color w:val="auto"/>
              </w:rPr>
            </w:pPr>
            <w:r>
              <w:rPr>
                <w:rFonts w:ascii="Arial" w:cs="Arial" w:eastAsia="Arial" w:hAnsi="Arial"/>
                <w:sz w:val="15"/>
                <w:szCs w:val="15"/>
                <w:color w:val="auto"/>
              </w:rPr>
              <w:t>November</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Podickory Point</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MD</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198"/>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Sunroad Marina (restaurant)</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w:t>
            </w:r>
          </w:p>
        </w:tc>
        <w:tc>
          <w:tcPr>
            <w:tcW w:w="1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CA</w:t>
            </w:r>
          </w:p>
        </w:tc>
        <w:tc>
          <w:tcPr>
            <w:tcW w:w="1400" w:type="dxa"/>
            <w:vAlign w:val="bottom"/>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Jellystone Park at Mammoth Cave</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KY</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198"/>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South Bay</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333</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CA</w:t>
            </w:r>
          </w:p>
        </w:tc>
        <w:tc>
          <w:tcPr>
            <w:tcW w:w="1400" w:type="dxa"/>
            <w:vAlign w:val="bottom"/>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Wentworth by the Sea</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Marina: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NH</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198"/>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Rocky Mountain RV Park</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75</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MT</w:t>
            </w:r>
          </w:p>
        </w:tc>
        <w:tc>
          <w:tcPr>
            <w:tcW w:w="1400" w:type="dxa"/>
            <w:vAlign w:val="bottom"/>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Haas Lake RV Park Campground</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492</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MI</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198"/>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Pearwood RV Resort</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144</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TX</w:t>
            </w:r>
          </w:p>
        </w:tc>
        <w:tc>
          <w:tcPr>
            <w:tcW w:w="1400" w:type="dxa"/>
            <w:vAlign w:val="bottom"/>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Holly Shores Camping Resort</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NJ</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198"/>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Pheasant Ridge RV Park</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130</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OR</w:t>
            </w:r>
          </w:p>
        </w:tc>
        <w:tc>
          <w:tcPr>
            <w:tcW w:w="1400" w:type="dxa"/>
            <w:vAlign w:val="bottom"/>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Coyote Ranch Resort</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TX</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198"/>
        </w:trPr>
        <w:tc>
          <w:tcPr>
            <w:tcW w:w="3140" w:type="dxa"/>
            <w:vAlign w:val="bottom"/>
            <w:gridSpan w:val="2"/>
          </w:tcPr>
          <w:p>
            <w:pPr>
              <w:ind w:left="20"/>
              <w:spacing w:after="0"/>
              <w:rPr>
                <w:sz w:val="20"/>
                <w:szCs w:val="20"/>
                <w:color w:val="auto"/>
              </w:rPr>
            </w:pPr>
            <w:r>
              <w:rPr>
                <w:rFonts w:ascii="Arial" w:cs="Arial" w:eastAsia="Arial" w:hAnsi="Arial"/>
                <w:sz w:val="15"/>
                <w:szCs w:val="15"/>
                <w:color w:val="auto"/>
              </w:rPr>
              <w:t>Jellystone Park at Whispering Pines</w:t>
            </w:r>
          </w:p>
        </w:tc>
        <w:tc>
          <w:tcPr>
            <w:tcW w:w="2060" w:type="dxa"/>
            <w:vAlign w:val="bottom"/>
            <w:gridSpan w:val="2"/>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tcPr>
          <w:p>
            <w:pPr>
              <w:jc w:val="right"/>
              <w:spacing w:after="0"/>
              <w:rPr>
                <w:sz w:val="20"/>
                <w:szCs w:val="20"/>
                <w:color w:val="auto"/>
              </w:rPr>
            </w:pPr>
            <w:r>
              <w:rPr>
                <w:rFonts w:ascii="Arial" w:cs="Arial" w:eastAsia="Arial" w:hAnsi="Arial"/>
                <w:sz w:val="15"/>
                <w:szCs w:val="15"/>
                <w:color w:val="auto"/>
              </w:rPr>
              <w:t>131</w:t>
            </w:r>
          </w:p>
        </w:tc>
        <w:tc>
          <w:tcPr>
            <w:tcW w:w="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5"/>
                <w:szCs w:val="15"/>
                <w:color w:val="auto"/>
              </w:rPr>
              <w:t>TX</w:t>
            </w:r>
          </w:p>
        </w:tc>
        <w:tc>
          <w:tcPr>
            <w:tcW w:w="1400" w:type="dxa"/>
            <w:vAlign w:val="bottom"/>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Hospitality Creek Campground</w:t>
            </w: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 asset acquisition</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80" w:type="dxa"/>
            <w:vAlign w:val="bottom"/>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NJ</w:t>
            </w:r>
          </w:p>
        </w:tc>
        <w:tc>
          <w:tcPr>
            <w:tcW w:w="1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15,816</w:t>
            </w:r>
          </w:p>
        </w:tc>
        <w:tc>
          <w:tcPr>
            <w:tcW w:w="8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1,062</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Includes two marinas.</w:t>
      </w:r>
    </w:p>
    <w:p>
      <w:pPr>
        <w:spacing w:after="0" w:line="45"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Includes nine MH communities.</w:t>
      </w:r>
    </w:p>
    <w:p>
      <w:pPr>
        <w:spacing w:after="0" w:line="36" w:lineRule="exact"/>
        <w:rPr>
          <w:rFonts w:ascii="Arial" w:cs="Arial" w:eastAsia="Arial" w:hAnsi="Arial"/>
          <w:sz w:val="18"/>
          <w:szCs w:val="18"/>
          <w:color w:val="auto"/>
          <w:vertAlign w:val="superscript"/>
        </w:rPr>
      </w:pPr>
    </w:p>
    <w:p>
      <w:pPr>
        <w:ind w:left="140" w:hanging="132"/>
        <w:spacing w:after="0" w:line="233" w:lineRule="auto"/>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Includes two RV Resorts.</w:t>
      </w:r>
    </w:p>
    <w:p>
      <w:pPr>
        <w:spacing w:after="0" w:line="2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amounts of assets acquired, net of liabilities assumed at the acquisition date and the consideration paid for the acquisitions completed in 2021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ind w:left="40"/>
              <w:spacing w:after="0"/>
              <w:rPr>
                <w:sz w:val="20"/>
                <w:szCs w:val="20"/>
                <w:color w:val="auto"/>
              </w:rPr>
            </w:pPr>
            <w:r>
              <w:rPr>
                <w:rFonts w:ascii="Arial" w:cs="Arial" w:eastAsia="Arial" w:hAnsi="Arial"/>
                <w:sz w:val="15"/>
                <w:szCs w:val="15"/>
                <w:b w:val="1"/>
                <w:bCs w:val="1"/>
                <w:color w:val="auto"/>
                <w:w w:val="96"/>
              </w:rPr>
              <w:t>At Acquisition Date</w:t>
            </w: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w w:val="95"/>
              </w:rPr>
              <w:t>Consideration</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6" w:lineRule="exact"/>
              <w:rPr>
                <w:sz w:val="20"/>
                <w:szCs w:val="20"/>
                <w:color w:val="auto"/>
              </w:rPr>
            </w:pPr>
            <w:r>
              <w:rPr>
                <w:rFonts w:ascii="Arial" w:cs="Arial" w:eastAsia="Arial" w:hAnsi="Arial"/>
                <w:sz w:val="15"/>
                <w:szCs w:val="15"/>
                <w:color w:val="auto"/>
                <w:w w:val="96"/>
              </w:rPr>
              <w:t>Inventory of</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vMerge w:val="restart"/>
          </w:tcPr>
          <w:p>
            <w:pPr>
              <w:jc w:val="center"/>
              <w:ind w:right="160"/>
              <w:spacing w:after="0"/>
              <w:rPr>
                <w:sz w:val="20"/>
                <w:szCs w:val="20"/>
                <w:color w:val="auto"/>
              </w:rPr>
            </w:pPr>
            <w:r>
              <w:rPr>
                <w:rFonts w:ascii="Arial" w:cs="Arial" w:eastAsia="Arial" w:hAnsi="Arial"/>
                <w:sz w:val="15"/>
                <w:szCs w:val="15"/>
                <w:b w:val="1"/>
                <w:bCs w:val="1"/>
                <w:color w:val="auto"/>
                <w:w w:val="92"/>
              </w:rPr>
              <w:t>Total identifiable</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restart"/>
          </w:tcPr>
          <w:p>
            <w:pPr>
              <w:jc w:val="center"/>
              <w:ind w:right="300"/>
              <w:spacing w:after="0"/>
              <w:rPr>
                <w:sz w:val="20"/>
                <w:szCs w:val="20"/>
                <w:color w:val="auto"/>
              </w:rPr>
            </w:pPr>
            <w:r>
              <w:rPr>
                <w:rFonts w:ascii="Arial" w:cs="Arial" w:eastAsia="Arial" w:hAnsi="Arial"/>
                <w:sz w:val="15"/>
                <w:szCs w:val="15"/>
                <w:color w:val="auto"/>
                <w:w w:val="90"/>
              </w:rPr>
              <w:t>Temporary</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91"/>
              </w:rPr>
              <w:t>manufactured</w:t>
            </w:r>
          </w:p>
        </w:tc>
        <w:tc>
          <w:tcPr>
            <w:tcW w:w="100" w:type="dxa"/>
            <w:vAlign w:val="bottom"/>
          </w:tcPr>
          <w:p>
            <w:pPr>
              <w:spacing w:after="0"/>
              <w:rPr>
                <w:sz w:val="12"/>
                <w:szCs w:val="12"/>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5"/>
                <w:szCs w:val="15"/>
                <w:color w:val="auto"/>
              </w:rPr>
              <w:t>In-place leases,</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5"/>
                <w:szCs w:val="15"/>
                <w:color w:val="auto"/>
                <w:w w:val="94"/>
              </w:rPr>
              <w:t>Investment in</w:t>
            </w: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89"/>
              </w:rPr>
              <w:t>homes, boat parts</w:t>
            </w: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5"/>
                <w:szCs w:val="15"/>
                <w:color w:val="auto"/>
                <w:w w:val="87"/>
              </w:rPr>
              <w:t>Other assets /</w:t>
            </w:r>
          </w:p>
        </w:tc>
        <w:tc>
          <w:tcPr>
            <w:tcW w:w="1420" w:type="dxa"/>
            <w:vAlign w:val="bottom"/>
            <w:gridSpan w:val="3"/>
          </w:tcPr>
          <w:p>
            <w:pPr>
              <w:jc w:val="center"/>
              <w:ind w:right="160"/>
              <w:spacing w:after="0" w:line="149" w:lineRule="exact"/>
              <w:rPr>
                <w:sz w:val="20"/>
                <w:szCs w:val="20"/>
                <w:color w:val="auto"/>
              </w:rPr>
            </w:pPr>
            <w:r>
              <w:rPr>
                <w:rFonts w:ascii="Arial" w:cs="Arial" w:eastAsia="Arial" w:hAnsi="Arial"/>
                <w:sz w:val="15"/>
                <w:szCs w:val="15"/>
                <w:b w:val="1"/>
                <w:bCs w:val="1"/>
                <w:color w:val="auto"/>
                <w:w w:val="87"/>
              </w:rPr>
              <w:t>assets acquired net</w:t>
            </w:r>
          </w:p>
        </w:tc>
        <w:tc>
          <w:tcPr>
            <w:tcW w:w="12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5"/>
                <w:szCs w:val="15"/>
                <w:color w:val="auto"/>
                <w:w w:val="87"/>
              </w:rPr>
              <w:t>Cash and</w:t>
            </w:r>
          </w:p>
        </w:tc>
        <w:tc>
          <w:tcPr>
            <w:tcW w:w="120" w:type="dxa"/>
            <w:vAlign w:val="bottom"/>
          </w:tcPr>
          <w:p>
            <w:pPr>
              <w:spacing w:after="0"/>
              <w:rPr>
                <w:sz w:val="12"/>
                <w:szCs w:val="12"/>
                <w:color w:val="auto"/>
              </w:rPr>
            </w:pPr>
          </w:p>
        </w:tc>
        <w:tc>
          <w:tcPr>
            <w:tcW w:w="1000" w:type="dxa"/>
            <w:vAlign w:val="bottom"/>
            <w:gridSpan w:val="3"/>
          </w:tcPr>
          <w:p>
            <w:pPr>
              <w:jc w:val="center"/>
              <w:ind w:right="300"/>
              <w:spacing w:after="0" w:line="149" w:lineRule="exact"/>
              <w:rPr>
                <w:sz w:val="20"/>
                <w:szCs w:val="20"/>
                <w:color w:val="auto"/>
              </w:rPr>
            </w:pPr>
            <w:r>
              <w:rPr>
                <w:rFonts w:ascii="Arial" w:cs="Arial" w:eastAsia="Arial" w:hAnsi="Arial"/>
                <w:sz w:val="15"/>
                <w:szCs w:val="15"/>
                <w:color w:val="auto"/>
                <w:w w:val="87"/>
              </w:rPr>
              <w:t>and</w:t>
            </w:r>
          </w:p>
        </w:tc>
        <w:tc>
          <w:tcPr>
            <w:tcW w:w="1040" w:type="dxa"/>
            <w:vAlign w:val="bottom"/>
            <w:vMerge w:val="restart"/>
          </w:tcPr>
          <w:p>
            <w:pPr>
              <w:jc w:val="right"/>
              <w:ind w:right="32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90"/>
              </w:rPr>
              <w:t>and retail</w:t>
            </w:r>
          </w:p>
        </w:tc>
        <w:tc>
          <w:tcPr>
            <w:tcW w:w="1400" w:type="dxa"/>
            <w:vAlign w:val="bottom"/>
            <w:gridSpan w:val="4"/>
          </w:tcPr>
          <w:p>
            <w:pPr>
              <w:ind w:left="20"/>
              <w:spacing w:after="0" w:line="149" w:lineRule="exact"/>
              <w:rPr>
                <w:sz w:val="20"/>
                <w:szCs w:val="20"/>
                <w:color w:val="auto"/>
              </w:rPr>
            </w:pPr>
            <w:r>
              <w:rPr>
                <w:rFonts w:ascii="Arial" w:cs="Arial" w:eastAsia="Arial" w:hAnsi="Arial"/>
                <w:sz w:val="15"/>
                <w:szCs w:val="15"/>
                <w:color w:val="auto"/>
              </w:rPr>
              <w:t>goodwill and other</w:t>
            </w: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5"/>
                <w:szCs w:val="15"/>
                <w:b w:val="1"/>
                <w:bCs w:val="1"/>
                <w:color w:val="auto"/>
                <w:w w:val="92"/>
              </w:rPr>
              <w:t>of liabilities</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320"/>
              <w:spacing w:after="0" w:line="149" w:lineRule="exact"/>
              <w:rPr>
                <w:sz w:val="20"/>
                <w:szCs w:val="20"/>
                <w:color w:val="auto"/>
              </w:rPr>
            </w:pPr>
            <w:r>
              <w:rPr>
                <w:rFonts w:ascii="Arial" w:cs="Arial" w:eastAsia="Arial" w:hAnsi="Arial"/>
                <w:sz w:val="15"/>
                <w:szCs w:val="15"/>
                <w:color w:val="auto"/>
                <w:w w:val="89"/>
              </w:rPr>
              <w:t>permanent</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5"/>
                <w:szCs w:val="15"/>
                <w:color w:val="auto"/>
                <w:w w:val="94"/>
              </w:rPr>
              <w:t>property</w:t>
            </w:r>
          </w:p>
        </w:tc>
        <w:tc>
          <w:tcPr>
            <w:tcW w:w="10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5"/>
                <w:szCs w:val="15"/>
                <w:color w:val="auto"/>
                <w:w w:val="90"/>
              </w:rPr>
              <w:t>related items</w:t>
            </w:r>
          </w:p>
        </w:tc>
        <w:tc>
          <w:tcPr>
            <w:tcW w:w="1400" w:type="dxa"/>
            <w:vAlign w:val="bottom"/>
            <w:gridSpan w:val="4"/>
          </w:tcPr>
          <w:p>
            <w:pPr>
              <w:ind w:left="40"/>
              <w:spacing w:after="0" w:line="203" w:lineRule="exact"/>
              <w:rPr>
                <w:sz w:val="20"/>
                <w:szCs w:val="20"/>
                <w:color w:val="auto"/>
              </w:rPr>
            </w:pPr>
            <w:r>
              <w:rPr>
                <w:rFonts w:ascii="Arial" w:cs="Arial" w:eastAsia="Arial" w:hAnsi="Arial"/>
                <w:sz w:val="15"/>
                <w:szCs w:val="15"/>
                <w:color w:val="auto"/>
              </w:rPr>
              <w:t>intangible assets</w:t>
            </w:r>
            <w:r>
              <w:rPr>
                <w:rFonts w:ascii="Arial" w:cs="Arial" w:eastAsia="Arial" w:hAnsi="Arial"/>
                <w:sz w:val="19"/>
                <w:szCs w:val="19"/>
                <w:color w:val="auto"/>
                <w:vertAlign w:val="superscript"/>
              </w:rPr>
              <w:t>(1)</w:t>
            </w:r>
          </w:p>
        </w:tc>
        <w:tc>
          <w:tcPr>
            <w:tcW w:w="1140" w:type="dxa"/>
            <w:vAlign w:val="bottom"/>
            <w:gridSpan w:val="2"/>
          </w:tcPr>
          <w:p>
            <w:pPr>
              <w:jc w:val="center"/>
              <w:ind w:right="200"/>
              <w:spacing w:after="0"/>
              <w:rPr>
                <w:sz w:val="20"/>
                <w:szCs w:val="20"/>
                <w:color w:val="auto"/>
              </w:rPr>
            </w:pPr>
            <w:r>
              <w:rPr>
                <w:rFonts w:ascii="Arial" w:cs="Arial" w:eastAsia="Arial" w:hAnsi="Arial"/>
                <w:sz w:val="15"/>
                <w:szCs w:val="15"/>
                <w:color w:val="auto"/>
                <w:w w:val="98"/>
              </w:rPr>
              <w:t>(liabilities), net</w:t>
            </w:r>
          </w:p>
        </w:tc>
        <w:tc>
          <w:tcPr>
            <w:tcW w:w="16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6"/>
              </w:rPr>
              <w:t>assumed</w:t>
            </w:r>
          </w:p>
        </w:tc>
        <w:tc>
          <w:tcPr>
            <w:tcW w:w="12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5"/>
                <w:szCs w:val="15"/>
                <w:color w:val="auto"/>
                <w:w w:val="92"/>
              </w:rPr>
              <w:t>escrow</w:t>
            </w:r>
          </w:p>
        </w:tc>
        <w:tc>
          <w:tcPr>
            <w:tcW w:w="120" w:type="dxa"/>
            <w:vAlign w:val="bottom"/>
          </w:tcPr>
          <w:p>
            <w:pPr>
              <w:spacing w:after="0"/>
              <w:rPr>
                <w:sz w:val="17"/>
                <w:szCs w:val="17"/>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5"/>
                <w:szCs w:val="15"/>
                <w:color w:val="auto"/>
                <w:w w:val="94"/>
              </w:rPr>
              <w:t>equity</w:t>
            </w:r>
          </w:p>
        </w:tc>
        <w:tc>
          <w:tcPr>
            <w:tcW w:w="1040" w:type="dxa"/>
            <w:vAlign w:val="bottom"/>
          </w:tcPr>
          <w:p>
            <w:pPr>
              <w:jc w:val="right"/>
              <w:ind w:right="64"/>
              <w:spacing w:after="0"/>
              <w:rPr>
                <w:sz w:val="20"/>
                <w:szCs w:val="20"/>
                <w:color w:val="auto"/>
              </w:rPr>
            </w:pPr>
            <w:r>
              <w:rPr>
                <w:rFonts w:ascii="Arial" w:cs="Arial" w:eastAsia="Arial" w:hAnsi="Arial"/>
                <w:sz w:val="15"/>
                <w:szCs w:val="15"/>
                <w:b w:val="1"/>
                <w:bCs w:val="1"/>
                <w:color w:val="auto"/>
                <w:w w:val="89"/>
              </w:rPr>
              <w:t>consideration</w:t>
            </w:r>
          </w:p>
        </w:tc>
        <w:tc>
          <w:tcPr>
            <w:tcW w:w="0" w:type="dxa"/>
            <w:vAlign w:val="bottom"/>
          </w:tcPr>
          <w:p>
            <w:pPr>
              <w:spacing w:after="0"/>
              <w:rPr>
                <w:sz w:val="1"/>
                <w:szCs w:val="1"/>
                <w:color w:val="auto"/>
              </w:rPr>
            </w:pPr>
          </w:p>
        </w:tc>
      </w:tr>
      <w:tr>
        <w:trPr>
          <w:trHeight w:val="183"/>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 Acquisition</w:t>
            </w: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20"/>
              <w:spacing w:after="0" w:line="149" w:lineRule="exact"/>
              <w:rPr>
                <w:sz w:val="20"/>
                <w:szCs w:val="20"/>
                <w:color w:val="auto"/>
              </w:rPr>
            </w:pPr>
            <w:r>
              <w:rPr>
                <w:rFonts w:ascii="Arial" w:cs="Arial" w:eastAsia="Arial" w:hAnsi="Arial"/>
                <w:sz w:val="15"/>
                <w:szCs w:val="15"/>
                <w:color w:val="auto"/>
                <w:w w:val="98"/>
              </w:rPr>
              <w:t>Sun Outdoors Association</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vMerge w:val="restart"/>
          </w:tcPr>
          <w:p>
            <w:pPr>
              <w:jc w:val="right"/>
              <w:ind w:right="4"/>
              <w:spacing w:after="0"/>
              <w:rPr>
                <w:sz w:val="20"/>
                <w:szCs w:val="20"/>
                <w:color w:val="auto"/>
              </w:rPr>
            </w:pPr>
            <w:r>
              <w:rPr>
                <w:rFonts w:ascii="Arial" w:cs="Arial" w:eastAsia="Arial" w:hAnsi="Arial"/>
                <w:sz w:val="15"/>
                <w:szCs w:val="15"/>
                <w:color w:val="auto"/>
              </w:rPr>
              <w:t>15.0</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gridSpan w:val="3"/>
            <w:vMerge w:val="restart"/>
          </w:tcPr>
          <w:p>
            <w:pPr>
              <w:ind w:left="880"/>
              <w:spacing w:after="0"/>
              <w:rPr>
                <w:sz w:val="20"/>
                <w:szCs w:val="20"/>
                <w:color w:val="auto"/>
              </w:rPr>
            </w:pPr>
            <w:r>
              <w:rPr>
                <w:rFonts w:ascii="Arial" w:cs="Arial" w:eastAsia="Arial" w:hAnsi="Arial"/>
                <w:sz w:val="15"/>
                <w:szCs w:val="15"/>
                <w:color w:val="auto"/>
              </w:rPr>
              <w:t>—  $</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12"/>
                <w:szCs w:val="12"/>
                <w:color w:val="auto"/>
              </w:rPr>
            </w:pPr>
          </w:p>
        </w:tc>
        <w:tc>
          <w:tcPr>
            <w:tcW w:w="160" w:type="dxa"/>
            <w:vAlign w:val="bottom"/>
            <w:vMerge w:val="restart"/>
          </w:tcPr>
          <w:p>
            <w:pPr>
              <w:jc w:val="right"/>
              <w:ind w:right="4"/>
              <w:spacing w:after="0"/>
              <w:rPr>
                <w:sz w:val="20"/>
                <w:szCs w:val="20"/>
                <w:color w:val="auto"/>
              </w:rPr>
            </w:pPr>
            <w:r>
              <w:rPr>
                <w:rFonts w:ascii="Arial" w:cs="Arial" w:eastAsia="Arial" w:hAnsi="Arial"/>
                <w:sz w:val="15"/>
                <w:szCs w:val="15"/>
                <w:color w:val="auto"/>
                <w:w w:val="71"/>
              </w:rPr>
              <w:t>$</w:t>
            </w:r>
          </w:p>
        </w:tc>
        <w:tc>
          <w:tcPr>
            <w:tcW w:w="1120" w:type="dxa"/>
            <w:vAlign w:val="bottom"/>
            <w:vMerge w:val="restart"/>
          </w:tcPr>
          <w:p>
            <w:pPr>
              <w:jc w:val="right"/>
              <w:ind w:right="4"/>
              <w:spacing w:after="0"/>
              <w:rPr>
                <w:sz w:val="20"/>
                <w:szCs w:val="20"/>
                <w:color w:val="auto"/>
              </w:rPr>
            </w:pPr>
            <w:r>
              <w:rPr>
                <w:rFonts w:ascii="Arial" w:cs="Arial" w:eastAsia="Arial" w:hAnsi="Arial"/>
                <w:sz w:val="15"/>
                <w:szCs w:val="15"/>
                <w:color w:val="auto"/>
              </w:rPr>
              <w:t>14.8</w:t>
            </w:r>
          </w:p>
        </w:tc>
        <w:tc>
          <w:tcPr>
            <w:tcW w:w="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14.8</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gridSpan w:val="3"/>
            <w:vMerge w:val="restart"/>
          </w:tcPr>
          <w:p>
            <w:pPr>
              <w:ind w:left="600"/>
              <w:spacing w:after="0"/>
              <w:rPr>
                <w:sz w:val="20"/>
                <w:szCs w:val="20"/>
                <w:color w:val="auto"/>
              </w:rPr>
            </w:pPr>
            <w:r>
              <w:rPr>
                <w:rFonts w:ascii="Arial" w:cs="Arial" w:eastAsia="Arial" w:hAnsi="Arial"/>
                <w:sz w:val="15"/>
                <w:szCs w:val="15"/>
                <w:color w:val="auto"/>
              </w:rPr>
              <w:t>—  $</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14.8</w:t>
            </w:r>
          </w:p>
        </w:tc>
        <w:tc>
          <w:tcPr>
            <w:tcW w:w="0" w:type="dxa"/>
            <w:vAlign w:val="bottom"/>
          </w:tcPr>
          <w:p>
            <w:pPr>
              <w:spacing w:after="0"/>
              <w:rPr>
                <w:sz w:val="1"/>
                <w:szCs w:val="1"/>
                <w:color w:val="auto"/>
              </w:rPr>
            </w:pPr>
          </w:p>
        </w:tc>
      </w:tr>
      <w:tr>
        <w:trPr>
          <w:trHeight w:val="198"/>
        </w:trPr>
        <w:tc>
          <w:tcPr>
            <w:tcW w:w="1740" w:type="dxa"/>
            <w:vAlign w:val="bottom"/>
          </w:tcPr>
          <w:p>
            <w:pPr>
              <w:ind w:left="20"/>
              <w:spacing w:after="0"/>
              <w:rPr>
                <w:sz w:val="20"/>
                <w:szCs w:val="20"/>
                <w:color w:val="auto"/>
              </w:rPr>
            </w:pPr>
            <w:r>
              <w:rPr>
                <w:rFonts w:ascii="Arial" w:cs="Arial" w:eastAsia="Arial" w:hAnsi="Arial"/>
                <w:sz w:val="15"/>
                <w:szCs w:val="15"/>
                <w:color w:val="auto"/>
              </w:rPr>
              <w:t>Island</w:t>
            </w:r>
          </w:p>
        </w:tc>
        <w:tc>
          <w:tcPr>
            <w:tcW w:w="1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Blue Water Beach Resort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98"/>
        </w:trPr>
        <w:tc>
          <w:tcPr>
            <w:tcW w:w="1740" w:type="dxa"/>
            <w:vAlign w:val="bottom"/>
          </w:tcPr>
          <w:p>
            <w:pPr>
              <w:ind w:left="20"/>
              <w:spacing w:after="0"/>
              <w:rPr>
                <w:sz w:val="20"/>
                <w:szCs w:val="20"/>
                <w:color w:val="auto"/>
              </w:rPr>
            </w:pPr>
            <w:r>
              <w:rPr>
                <w:rFonts w:ascii="Arial" w:cs="Arial" w:eastAsia="Arial" w:hAnsi="Arial"/>
                <w:sz w:val="15"/>
                <w:szCs w:val="15"/>
                <w:color w:val="auto"/>
              </w:rPr>
              <w:t>Tranquility MHC</w:t>
            </w: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53"/>
        </w:trPr>
        <w:tc>
          <w:tcPr>
            <w:tcW w:w="174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Islamorada and Angler</w:t>
            </w: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18.0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18.0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18.0</w:t>
            </w:r>
          </w:p>
        </w:tc>
        <w:tc>
          <w:tcPr>
            <w:tcW w:w="0" w:type="dxa"/>
            <w:vAlign w:val="bottom"/>
          </w:tcPr>
          <w:p>
            <w:pPr>
              <w:spacing w:after="0"/>
              <w:rPr>
                <w:sz w:val="1"/>
                <w:szCs w:val="1"/>
                <w:color w:val="auto"/>
              </w:rPr>
            </w:pPr>
          </w:p>
        </w:tc>
      </w:tr>
      <w:tr>
        <w:trPr>
          <w:trHeight w:val="202"/>
        </w:trPr>
        <w:tc>
          <w:tcPr>
            <w:tcW w:w="1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House</w:t>
            </w: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ind w:left="20"/>
              <w:spacing w:after="0"/>
              <w:rPr>
                <w:sz w:val="20"/>
                <w:szCs w:val="20"/>
                <w:color w:val="auto"/>
              </w:rPr>
            </w:pPr>
            <w:r>
              <w:rPr>
                <w:rFonts w:ascii="Arial" w:cs="Arial" w:eastAsia="Arial" w:hAnsi="Arial"/>
                <w:sz w:val="15"/>
                <w:szCs w:val="15"/>
                <w:color w:val="auto"/>
              </w:rPr>
              <w:t>Prime Martha's Vineyard</w:t>
            </w: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22.3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21.9</w:t>
            </w:r>
          </w:p>
        </w:tc>
        <w:tc>
          <w:tcPr>
            <w:tcW w:w="0" w:type="dxa"/>
            <w:vAlign w:val="bottom"/>
          </w:tcPr>
          <w:p>
            <w:pPr>
              <w:spacing w:after="0"/>
              <w:rPr>
                <w:sz w:val="1"/>
                <w:szCs w:val="1"/>
                <w:color w:val="auto"/>
              </w:rPr>
            </w:pPr>
          </w:p>
        </w:tc>
      </w:tr>
      <w:tr>
        <w:trPr>
          <w:trHeight w:val="153"/>
        </w:trPr>
        <w:tc>
          <w:tcPr>
            <w:tcW w:w="174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Pleasant Beach</w:t>
            </w: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1.6</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02"/>
        </w:trPr>
        <w:tc>
          <w:tcPr>
            <w:tcW w:w="1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Campground</w:t>
            </w: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20"/>
              <w:spacing w:after="0" w:line="149" w:lineRule="exact"/>
              <w:rPr>
                <w:sz w:val="20"/>
                <w:szCs w:val="20"/>
                <w:color w:val="auto"/>
              </w:rPr>
            </w:pPr>
            <w:r>
              <w:rPr>
                <w:rFonts w:ascii="Arial" w:cs="Arial" w:eastAsia="Arial" w:hAnsi="Arial"/>
                <w:sz w:val="15"/>
                <w:szCs w:val="15"/>
                <w:color w:val="auto"/>
              </w:rPr>
              <w:t>Sun Outdoors Cape</w:t>
            </w:r>
          </w:p>
        </w:tc>
        <w:tc>
          <w:tcPr>
            <w:tcW w:w="140" w:type="dxa"/>
            <w:vAlign w:val="bottom"/>
          </w:tcPr>
          <w:p>
            <w:pPr>
              <w:spacing w:after="0"/>
              <w:rPr>
                <w:sz w:val="12"/>
                <w:szCs w:val="12"/>
                <w:color w:val="auto"/>
              </w:rPr>
            </w:pPr>
          </w:p>
        </w:tc>
        <w:tc>
          <w:tcPr>
            <w:tcW w:w="780" w:type="dxa"/>
            <w:vAlign w:val="bottom"/>
            <w:vMerge w:val="restart"/>
          </w:tcPr>
          <w:p>
            <w:pPr>
              <w:jc w:val="right"/>
              <w:ind w:right="4"/>
              <w:spacing w:after="0"/>
              <w:rPr>
                <w:sz w:val="20"/>
                <w:szCs w:val="20"/>
                <w:color w:val="auto"/>
              </w:rPr>
            </w:pPr>
            <w:r>
              <w:rPr>
                <w:rFonts w:ascii="Arial" w:cs="Arial" w:eastAsia="Arial" w:hAnsi="Arial"/>
                <w:sz w:val="15"/>
                <w:szCs w:val="15"/>
                <w:color w:val="auto"/>
              </w:rPr>
              <w:t>59.7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ind w:right="4"/>
              <w:spacing w:after="0"/>
              <w:rPr>
                <w:sz w:val="20"/>
                <w:szCs w:val="20"/>
                <w:color w:val="auto"/>
              </w:rPr>
            </w:pPr>
            <w:r>
              <w:rPr>
                <w:rFonts w:ascii="Arial" w:cs="Arial" w:eastAsia="Arial" w:hAnsi="Arial"/>
                <w:sz w:val="15"/>
                <w:szCs w:val="15"/>
                <w:color w:val="auto"/>
              </w:rPr>
              <w:t>57.9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57.9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restart"/>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57.9</w:t>
            </w:r>
          </w:p>
        </w:tc>
        <w:tc>
          <w:tcPr>
            <w:tcW w:w="0" w:type="dxa"/>
            <w:vAlign w:val="bottom"/>
          </w:tcPr>
          <w:p>
            <w:pPr>
              <w:spacing w:after="0"/>
              <w:rPr>
                <w:sz w:val="1"/>
                <w:szCs w:val="1"/>
                <w:color w:val="auto"/>
              </w:rPr>
            </w:pPr>
          </w:p>
        </w:tc>
      </w:tr>
      <w:tr>
        <w:trPr>
          <w:trHeight w:val="198"/>
        </w:trPr>
        <w:tc>
          <w:tcPr>
            <w:tcW w:w="1740" w:type="dxa"/>
            <w:vAlign w:val="bottom"/>
          </w:tcPr>
          <w:p>
            <w:pPr>
              <w:ind w:left="20"/>
              <w:spacing w:after="0"/>
              <w:rPr>
                <w:sz w:val="20"/>
                <w:szCs w:val="20"/>
                <w:color w:val="auto"/>
              </w:rPr>
            </w:pPr>
            <w:r>
              <w:rPr>
                <w:rFonts w:ascii="Arial" w:cs="Arial" w:eastAsia="Arial" w:hAnsi="Arial"/>
                <w:sz w:val="15"/>
                <w:szCs w:val="15"/>
                <w:color w:val="auto"/>
              </w:rPr>
              <w:t>Charles</w:t>
            </w: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Beachwood Resort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98"/>
        </w:trPr>
        <w:tc>
          <w:tcPr>
            <w:tcW w:w="1740" w:type="dxa"/>
            <w:vAlign w:val="bottom"/>
          </w:tcPr>
          <w:p>
            <w:pPr>
              <w:ind w:left="20"/>
              <w:spacing w:after="0"/>
              <w:rPr>
                <w:sz w:val="20"/>
                <w:szCs w:val="20"/>
                <w:color w:val="auto"/>
              </w:rPr>
            </w:pPr>
            <w:r>
              <w:rPr>
                <w:rFonts w:ascii="Arial" w:cs="Arial" w:eastAsia="Arial" w:hAnsi="Arial"/>
                <w:sz w:val="15"/>
                <w:szCs w:val="15"/>
                <w:color w:val="auto"/>
              </w:rPr>
              <w:t>ThemeWorld RV Resort</w:t>
            </w: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25.0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24.9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24.9</w:t>
            </w:r>
          </w:p>
        </w:tc>
        <w:tc>
          <w:tcPr>
            <w:tcW w:w="0" w:type="dxa"/>
            <w:vAlign w:val="bottom"/>
          </w:tcPr>
          <w:p>
            <w:pPr>
              <w:spacing w:after="0"/>
              <w:rPr>
                <w:sz w:val="1"/>
                <w:szCs w:val="1"/>
                <w:color w:val="auto"/>
              </w:rPr>
            </w:pPr>
          </w:p>
        </w:tc>
      </w:tr>
      <w:tr>
        <w:trPr>
          <w:trHeight w:val="207"/>
        </w:trPr>
        <w:tc>
          <w:tcPr>
            <w:tcW w:w="1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Sylvan Glen Estates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23.8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w:t>
            </w:r>
          </w:p>
        </w:tc>
        <w:tc>
          <w:tcPr>
            <w:tcW w:w="0" w:type="dxa"/>
            <w:vAlign w:val="bottom"/>
          </w:tcPr>
          <w:p>
            <w:pPr>
              <w:spacing w:after="0"/>
              <w:rPr>
                <w:sz w:val="1"/>
                <w:szCs w:val="1"/>
                <w:color w:val="auto"/>
              </w:rPr>
            </w:pPr>
          </w:p>
        </w:tc>
      </w:tr>
      <w:tr>
        <w:trPr>
          <w:trHeight w:val="198"/>
        </w:trPr>
        <w:tc>
          <w:tcPr>
            <w:tcW w:w="1740" w:type="dxa"/>
            <w:vAlign w:val="bottom"/>
          </w:tcPr>
          <w:p>
            <w:pPr>
              <w:ind w:left="20"/>
              <w:spacing w:after="0"/>
              <w:rPr>
                <w:sz w:val="20"/>
                <w:szCs w:val="20"/>
                <w:color w:val="auto"/>
              </w:rPr>
            </w:pPr>
            <w:r>
              <w:rPr>
                <w:rFonts w:ascii="Arial" w:cs="Arial" w:eastAsia="Arial" w:hAnsi="Arial"/>
                <w:sz w:val="15"/>
                <w:szCs w:val="15"/>
                <w:color w:val="auto"/>
              </w:rPr>
              <w:t>Shelter Island Boatyard</w:t>
            </w: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9.6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07"/>
        </w:trPr>
        <w:tc>
          <w:tcPr>
            <w:tcW w:w="1740" w:type="dxa"/>
            <w:vAlign w:val="bottom"/>
            <w:shd w:val="clear" w:color="auto" w:fill="CCEEFF"/>
          </w:tcPr>
          <w:p>
            <w:pPr>
              <w:ind w:left="20"/>
              <w:spacing w:after="0"/>
              <w:rPr>
                <w:sz w:val="20"/>
                <w:szCs w:val="20"/>
                <w:color w:val="auto"/>
              </w:rPr>
            </w:pPr>
            <w:r>
              <w:rPr>
                <w:rFonts w:ascii="Arial" w:cs="Arial" w:eastAsia="Arial" w:hAnsi="Arial"/>
                <w:sz w:val="15"/>
                <w:szCs w:val="15"/>
                <w:color w:val="auto"/>
                <w:w w:val="97"/>
              </w:rPr>
              <w:t>Lauderdale Marine Center</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336.9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341.2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341.2</w:t>
            </w:r>
          </w:p>
        </w:tc>
        <w:tc>
          <w:tcPr>
            <w:tcW w:w="0" w:type="dxa"/>
            <w:vAlign w:val="bottom"/>
          </w:tcPr>
          <w:p>
            <w:pPr>
              <w:spacing w:after="0"/>
              <w:rPr>
                <w:sz w:val="1"/>
                <w:szCs w:val="1"/>
                <w:color w:val="auto"/>
              </w:rPr>
            </w:pPr>
          </w:p>
        </w:tc>
      </w:tr>
      <w:tr>
        <w:trPr>
          <w:trHeight w:val="198"/>
        </w:trPr>
        <w:tc>
          <w:tcPr>
            <w:tcW w:w="1740" w:type="dxa"/>
            <w:vAlign w:val="bottom"/>
          </w:tcPr>
          <w:p>
            <w:pPr>
              <w:ind w:left="20"/>
              <w:spacing w:after="0"/>
              <w:rPr>
                <w:sz w:val="20"/>
                <w:szCs w:val="20"/>
                <w:color w:val="auto"/>
              </w:rPr>
            </w:pPr>
            <w:r>
              <w:rPr>
                <w:rFonts w:ascii="Arial" w:cs="Arial" w:eastAsia="Arial" w:hAnsi="Arial"/>
                <w:sz w:val="15"/>
                <w:szCs w:val="15"/>
                <w:color w:val="auto"/>
              </w:rPr>
              <w:t>Apponaug Harbor</w:t>
            </w: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6.5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5.9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06"/>
        </w:trPr>
        <w:tc>
          <w:tcPr>
            <w:tcW w:w="1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Marathon</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w:t>
            </w:r>
          </w:p>
        </w:tc>
        <w:tc>
          <w:tcPr>
            <w:tcW w:w="0" w:type="dxa"/>
            <w:vAlign w:val="bottom"/>
          </w:tcPr>
          <w:p>
            <w:pPr>
              <w:spacing w:after="0"/>
              <w:rPr>
                <w:sz w:val="1"/>
                <w:szCs w:val="1"/>
                <w:color w:val="auto"/>
              </w:rPr>
            </w:pPr>
          </w:p>
        </w:tc>
      </w:tr>
      <w:tr>
        <w:trPr>
          <w:trHeight w:val="199"/>
        </w:trPr>
        <w:tc>
          <w:tcPr>
            <w:tcW w:w="1740" w:type="dxa"/>
            <w:vAlign w:val="bottom"/>
          </w:tcPr>
          <w:p>
            <w:pPr>
              <w:ind w:left="20"/>
              <w:spacing w:after="0"/>
              <w:rPr>
                <w:sz w:val="20"/>
                <w:szCs w:val="20"/>
                <w:color w:val="auto"/>
              </w:rPr>
            </w:pPr>
            <w:r>
              <w:rPr>
                <w:rFonts w:ascii="Arial" w:cs="Arial" w:eastAsia="Arial" w:hAnsi="Arial"/>
                <w:sz w:val="15"/>
                <w:szCs w:val="15"/>
                <w:color w:val="auto"/>
              </w:rPr>
              <w:t>Allen Harbor</w:t>
            </w: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4.0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3.9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53"/>
        </w:trPr>
        <w:tc>
          <w:tcPr>
            <w:tcW w:w="174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8"/>
              </w:rPr>
              <w:t>Cisco Grove Campground</w:t>
            </w: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6.6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30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6.6</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202"/>
        </w:trPr>
        <w:tc>
          <w:tcPr>
            <w:tcW w:w="1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&amp; RV</w:t>
            </w: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3"/>
            <w:vMerge w:val="continue"/>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ind w:left="20"/>
              <w:spacing w:after="0"/>
              <w:rPr>
                <w:sz w:val="20"/>
                <w:szCs w:val="20"/>
                <w:color w:val="auto"/>
              </w:rPr>
            </w:pPr>
            <w:r>
              <w:rPr>
                <w:rFonts w:ascii="Arial" w:cs="Arial" w:eastAsia="Arial" w:hAnsi="Arial"/>
                <w:sz w:val="15"/>
                <w:szCs w:val="15"/>
                <w:color w:val="auto"/>
              </w:rPr>
              <w:t>Four Leaf Portfolio</w:t>
            </w:r>
          </w:p>
        </w:tc>
        <w:tc>
          <w:tcPr>
            <w:tcW w:w="14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210.7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214.5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214.5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214.5</w:t>
            </w:r>
          </w:p>
        </w:tc>
        <w:tc>
          <w:tcPr>
            <w:tcW w:w="0" w:type="dxa"/>
            <w:vAlign w:val="bottom"/>
          </w:tcPr>
          <w:p>
            <w:pPr>
              <w:spacing w:after="0"/>
              <w:rPr>
                <w:sz w:val="1"/>
                <w:szCs w:val="1"/>
                <w:color w:val="auto"/>
              </w:rPr>
            </w:pPr>
          </w:p>
        </w:tc>
      </w:tr>
      <w:tr>
        <w:trPr>
          <w:trHeight w:val="206"/>
        </w:trPr>
        <w:tc>
          <w:tcPr>
            <w:tcW w:w="1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Harborage Yacht Club</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ind w:left="60"/>
              <w:spacing w:after="0"/>
              <w:rPr>
                <w:sz w:val="20"/>
                <w:szCs w:val="20"/>
                <w:color w:val="auto"/>
              </w:rPr>
            </w:pPr>
            <w:r>
              <w:rPr>
                <w:rFonts w:ascii="Arial" w:cs="Arial" w:eastAsia="Arial" w:hAnsi="Arial"/>
                <w:sz w:val="15"/>
                <w:szCs w:val="15"/>
                <w:b w:val="1"/>
                <w:bCs w:val="1"/>
                <w:color w:val="auto"/>
                <w:w w:val="95"/>
              </w:rPr>
              <w:t>At Acquisition Date</w:t>
            </w:r>
          </w:p>
        </w:tc>
        <w:tc>
          <w:tcPr>
            <w:tcW w:w="10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91"/>
              </w:rPr>
              <w:t>Consideration</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80"/>
              <w:spacing w:after="0" w:line="146" w:lineRule="exact"/>
              <w:rPr>
                <w:sz w:val="20"/>
                <w:szCs w:val="20"/>
                <w:color w:val="auto"/>
              </w:rPr>
            </w:pPr>
            <w:r>
              <w:rPr>
                <w:rFonts w:ascii="Arial" w:cs="Arial" w:eastAsia="Arial" w:hAnsi="Arial"/>
                <w:sz w:val="15"/>
                <w:szCs w:val="15"/>
                <w:color w:val="auto"/>
                <w:w w:val="96"/>
              </w:rPr>
              <w:t>Inventory of</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vMerge w:val="restart"/>
          </w:tcPr>
          <w:p>
            <w:pPr>
              <w:jc w:val="center"/>
              <w:ind w:right="140"/>
              <w:spacing w:after="0"/>
              <w:rPr>
                <w:sz w:val="20"/>
                <w:szCs w:val="20"/>
                <w:color w:val="auto"/>
              </w:rPr>
            </w:pPr>
            <w:r>
              <w:rPr>
                <w:rFonts w:ascii="Arial" w:cs="Arial" w:eastAsia="Arial" w:hAnsi="Arial"/>
                <w:sz w:val="15"/>
                <w:szCs w:val="15"/>
                <w:b w:val="1"/>
                <w:bCs w:val="1"/>
                <w:color w:val="auto"/>
                <w:w w:val="93"/>
              </w:rPr>
              <w:t>Total identifiable</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5"/>
                <w:szCs w:val="15"/>
                <w:color w:val="auto"/>
                <w:w w:val="90"/>
              </w:rPr>
              <w:t>Temporary</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5"/>
                <w:szCs w:val="15"/>
                <w:color w:val="auto"/>
                <w:w w:val="91"/>
              </w:rPr>
              <w:t>manufactured</w:t>
            </w:r>
          </w:p>
        </w:tc>
        <w:tc>
          <w:tcPr>
            <w:tcW w:w="12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5"/>
                <w:szCs w:val="15"/>
                <w:color w:val="auto"/>
              </w:rPr>
              <w:t>In-place leases,</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5"/>
                <w:szCs w:val="15"/>
                <w:color w:val="auto"/>
              </w:rPr>
              <w:t>Investment in</w:t>
            </w:r>
          </w:p>
        </w:tc>
        <w:tc>
          <w:tcPr>
            <w:tcW w:w="12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5"/>
                <w:szCs w:val="15"/>
                <w:color w:val="auto"/>
                <w:w w:val="89"/>
              </w:rPr>
              <w:t>homes, boat parts</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5"/>
                <w:szCs w:val="15"/>
                <w:color w:val="auto"/>
              </w:rPr>
              <w:t>Other assets /</w:t>
            </w:r>
          </w:p>
        </w:tc>
        <w:tc>
          <w:tcPr>
            <w:tcW w:w="1420" w:type="dxa"/>
            <w:vAlign w:val="bottom"/>
            <w:gridSpan w:val="3"/>
          </w:tcPr>
          <w:p>
            <w:pPr>
              <w:jc w:val="center"/>
              <w:ind w:right="140"/>
              <w:spacing w:after="0" w:line="149" w:lineRule="exact"/>
              <w:rPr>
                <w:sz w:val="20"/>
                <w:szCs w:val="20"/>
                <w:color w:val="auto"/>
              </w:rPr>
            </w:pPr>
            <w:r>
              <w:rPr>
                <w:rFonts w:ascii="Arial" w:cs="Arial" w:eastAsia="Arial" w:hAnsi="Arial"/>
                <w:sz w:val="15"/>
                <w:szCs w:val="15"/>
                <w:b w:val="1"/>
                <w:bCs w:val="1"/>
                <w:color w:val="auto"/>
                <w:w w:val="88"/>
              </w:rPr>
              <w:t>assets acquired net</w:t>
            </w:r>
          </w:p>
        </w:tc>
        <w:tc>
          <w:tcPr>
            <w:tcW w:w="12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5"/>
                <w:szCs w:val="15"/>
                <w:color w:val="auto"/>
              </w:rPr>
              <w:t>Cash and</w:t>
            </w: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87"/>
              </w:rPr>
              <w:t>and</w:t>
            </w:r>
          </w:p>
        </w:tc>
        <w:tc>
          <w:tcPr>
            <w:tcW w:w="100" w:type="dxa"/>
            <w:vAlign w:val="bottom"/>
          </w:tcPr>
          <w:p>
            <w:pPr>
              <w:spacing w:after="0"/>
              <w:rPr>
                <w:sz w:val="12"/>
                <w:szCs w:val="12"/>
                <w:color w:val="auto"/>
              </w:rPr>
            </w:pPr>
          </w:p>
        </w:tc>
        <w:tc>
          <w:tcPr>
            <w:tcW w:w="1040" w:type="dxa"/>
            <w:vAlign w:val="bottom"/>
            <w:vMerge w:val="restart"/>
          </w:tcPr>
          <w:p>
            <w:pPr>
              <w:jc w:val="right"/>
              <w:ind w:right="32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5"/>
                <w:szCs w:val="15"/>
                <w:color w:val="auto"/>
                <w:w w:val="90"/>
              </w:rPr>
              <w:t>and retail</w:t>
            </w:r>
          </w:p>
        </w:tc>
        <w:tc>
          <w:tcPr>
            <w:tcW w:w="1300" w:type="dxa"/>
            <w:vAlign w:val="bottom"/>
            <w:gridSpan w:val="3"/>
          </w:tcPr>
          <w:p>
            <w:pPr>
              <w:ind w:left="40"/>
              <w:spacing w:after="0" w:line="149" w:lineRule="exact"/>
              <w:rPr>
                <w:sz w:val="20"/>
                <w:szCs w:val="20"/>
                <w:color w:val="auto"/>
              </w:rPr>
            </w:pPr>
            <w:r>
              <w:rPr>
                <w:rFonts w:ascii="Arial" w:cs="Arial" w:eastAsia="Arial" w:hAnsi="Arial"/>
                <w:sz w:val="15"/>
                <w:szCs w:val="15"/>
                <w:color w:val="auto"/>
              </w:rPr>
              <w:t>goodwill and other</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5"/>
                <w:szCs w:val="15"/>
                <w:b w:val="1"/>
                <w:bCs w:val="1"/>
                <w:color w:val="auto"/>
                <w:w w:val="92"/>
              </w:rPr>
              <w:t>of liabilities</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5"/>
                <w:szCs w:val="15"/>
                <w:color w:val="auto"/>
                <w:w w:val="89"/>
              </w:rPr>
              <w:t>permanent</w:t>
            </w: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8"/>
              </w:rPr>
              <w:t>property</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color w:val="auto"/>
                <w:w w:val="90"/>
              </w:rPr>
              <w:t>related items</w:t>
            </w:r>
          </w:p>
        </w:tc>
        <w:tc>
          <w:tcPr>
            <w:tcW w:w="80" w:type="dxa"/>
            <w:vAlign w:val="bottom"/>
          </w:tcPr>
          <w:p>
            <w:pPr>
              <w:spacing w:after="0"/>
              <w:rPr>
                <w:sz w:val="17"/>
                <w:szCs w:val="17"/>
                <w:color w:val="auto"/>
              </w:rPr>
            </w:pPr>
          </w:p>
        </w:tc>
        <w:tc>
          <w:tcPr>
            <w:tcW w:w="1220" w:type="dxa"/>
            <w:vAlign w:val="bottom"/>
            <w:tcBorders>
              <w:bottom w:val="single" w:sz="8" w:color="auto"/>
            </w:tcBorders>
            <w:gridSpan w:val="2"/>
          </w:tcPr>
          <w:p>
            <w:pPr>
              <w:ind w:left="60"/>
              <w:spacing w:after="0" w:line="203" w:lineRule="exact"/>
              <w:rPr>
                <w:sz w:val="20"/>
                <w:szCs w:val="20"/>
                <w:color w:val="auto"/>
              </w:rPr>
            </w:pPr>
            <w:r>
              <w:rPr>
                <w:rFonts w:ascii="Arial" w:cs="Arial" w:eastAsia="Arial" w:hAnsi="Arial"/>
                <w:sz w:val="15"/>
                <w:szCs w:val="15"/>
                <w:color w:val="auto"/>
                <w:w w:val="89"/>
              </w:rPr>
              <w:t>intangible assets</w:t>
            </w:r>
            <w:r>
              <w:rPr>
                <w:rFonts w:ascii="Arial" w:cs="Arial" w:eastAsia="Arial" w:hAnsi="Arial"/>
                <w:sz w:val="19"/>
                <w:szCs w:val="19"/>
                <w:color w:val="auto"/>
                <w:w w:val="89"/>
                <w:vertAlign w:val="superscript"/>
              </w:rPr>
              <w:t>(1)</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(liabilities), net</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86"/>
              </w:rPr>
              <w:t>assumed</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escrow</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color w:val="auto"/>
                <w:w w:val="94"/>
              </w:rPr>
              <w:t>equity</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89"/>
              </w:rPr>
              <w:t>consideration</w:t>
            </w:r>
          </w:p>
        </w:tc>
        <w:tc>
          <w:tcPr>
            <w:tcW w:w="0" w:type="dxa"/>
            <w:vAlign w:val="bottom"/>
          </w:tcPr>
          <w:p>
            <w:pPr>
              <w:spacing w:after="0"/>
              <w:rPr>
                <w:sz w:val="1"/>
                <w:szCs w:val="1"/>
                <w:color w:val="auto"/>
              </w:rPr>
            </w:pPr>
          </w:p>
        </w:tc>
      </w:tr>
      <w:tr>
        <w:trPr>
          <w:trHeight w:val="192"/>
        </w:trPr>
        <w:tc>
          <w:tcPr>
            <w:tcW w:w="1740" w:type="dxa"/>
            <w:vAlign w:val="bottom"/>
          </w:tcPr>
          <w:p>
            <w:pPr>
              <w:ind w:left="20"/>
              <w:spacing w:after="0"/>
              <w:rPr>
                <w:sz w:val="20"/>
                <w:szCs w:val="20"/>
                <w:color w:val="auto"/>
              </w:rPr>
            </w:pPr>
            <w:r>
              <w:rPr>
                <w:rFonts w:ascii="Arial" w:cs="Arial" w:eastAsia="Arial" w:hAnsi="Arial"/>
                <w:sz w:val="15"/>
                <w:szCs w:val="15"/>
                <w:color w:val="auto"/>
              </w:rPr>
              <w:t>Zeman Portfolio</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14.4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14.4</w:t>
            </w:r>
          </w:p>
        </w:tc>
        <w:tc>
          <w:tcPr>
            <w:tcW w:w="0" w:type="dxa"/>
            <w:vAlign w:val="bottom"/>
          </w:tcPr>
          <w:p>
            <w:pPr>
              <w:spacing w:after="0"/>
              <w:rPr>
                <w:sz w:val="1"/>
                <w:szCs w:val="1"/>
                <w:color w:val="auto"/>
              </w:rPr>
            </w:pPr>
          </w:p>
        </w:tc>
      </w:tr>
      <w:tr>
        <w:trPr>
          <w:trHeight w:val="153"/>
        </w:trPr>
        <w:tc>
          <w:tcPr>
            <w:tcW w:w="174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Southern Leisure RV</w:t>
            </w: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17.4</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17.4</w:t>
            </w:r>
          </w:p>
        </w:tc>
        <w:tc>
          <w:tcPr>
            <w:tcW w:w="0" w:type="dxa"/>
            <w:vAlign w:val="bottom"/>
          </w:tcPr>
          <w:p>
            <w:pPr>
              <w:spacing w:after="0"/>
              <w:rPr>
                <w:sz w:val="1"/>
                <w:szCs w:val="1"/>
                <w:color w:val="auto"/>
              </w:rPr>
            </w:pPr>
          </w:p>
        </w:tc>
      </w:tr>
      <w:tr>
        <w:trPr>
          <w:trHeight w:val="202"/>
        </w:trPr>
        <w:tc>
          <w:tcPr>
            <w:tcW w:w="1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Resort</w:t>
            </w: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ind w:left="20"/>
              <w:spacing w:after="0" w:line="203" w:lineRule="exact"/>
              <w:rPr>
                <w:sz w:val="20"/>
                <w:szCs w:val="20"/>
                <w:color w:val="auto"/>
              </w:rPr>
            </w:pPr>
            <w:r>
              <w:rPr>
                <w:rFonts w:ascii="Arial" w:cs="Arial" w:eastAsia="Arial" w:hAnsi="Arial"/>
                <w:sz w:val="15"/>
                <w:szCs w:val="15"/>
                <w:color w:val="auto"/>
              </w:rPr>
              <w:t>Sunroad Marina</w:t>
            </w:r>
            <w:r>
              <w:rPr>
                <w:rFonts w:ascii="Arial" w:cs="Arial" w:eastAsia="Arial" w:hAnsi="Arial"/>
                <w:sz w:val="19"/>
                <w:szCs w:val="19"/>
                <w:color w:val="auto"/>
                <w:vertAlign w:val="superscript"/>
              </w:rPr>
              <w:t>(2)</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47.8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65.0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113.3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113.3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113.3</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Lazy Lakes RV Resort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198"/>
        </w:trPr>
        <w:tc>
          <w:tcPr>
            <w:tcW w:w="1740" w:type="dxa"/>
            <w:vAlign w:val="bottom"/>
          </w:tcPr>
          <w:p>
            <w:pPr>
              <w:ind w:left="20"/>
              <w:spacing w:after="0"/>
              <w:rPr>
                <w:sz w:val="20"/>
                <w:szCs w:val="20"/>
                <w:color w:val="auto"/>
              </w:rPr>
            </w:pPr>
            <w:r>
              <w:rPr>
                <w:rFonts w:ascii="Arial" w:cs="Arial" w:eastAsia="Arial" w:hAnsi="Arial"/>
                <w:sz w:val="15"/>
                <w:szCs w:val="15"/>
                <w:color w:val="auto"/>
              </w:rPr>
              <w:t>Puerto del Rey</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91.9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91.9</w:t>
            </w:r>
          </w:p>
        </w:tc>
        <w:tc>
          <w:tcPr>
            <w:tcW w:w="0" w:type="dxa"/>
            <w:vAlign w:val="bottom"/>
          </w:tcPr>
          <w:p>
            <w:pPr>
              <w:spacing w:after="0"/>
              <w:rPr>
                <w:sz w:val="1"/>
                <w:szCs w:val="1"/>
                <w:color w:val="auto"/>
              </w:rPr>
            </w:pPr>
          </w:p>
        </w:tc>
      </w:tr>
      <w:tr>
        <w:trPr>
          <w:trHeight w:val="207"/>
        </w:trPr>
        <w:tc>
          <w:tcPr>
            <w:tcW w:w="1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Stingray Point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98"/>
        </w:trPr>
        <w:tc>
          <w:tcPr>
            <w:tcW w:w="1740" w:type="dxa"/>
            <w:vAlign w:val="bottom"/>
          </w:tcPr>
          <w:p>
            <w:pPr>
              <w:ind w:left="20"/>
              <w:spacing w:after="0"/>
              <w:rPr>
                <w:sz w:val="20"/>
                <w:szCs w:val="20"/>
                <w:color w:val="auto"/>
              </w:rPr>
            </w:pPr>
            <w:r>
              <w:rPr>
                <w:rFonts w:ascii="Arial" w:cs="Arial" w:eastAsia="Arial" w:hAnsi="Arial"/>
                <w:sz w:val="15"/>
                <w:szCs w:val="15"/>
                <w:color w:val="auto"/>
              </w:rPr>
              <w:t>Detroit River</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8.3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153"/>
        </w:trPr>
        <w:tc>
          <w:tcPr>
            <w:tcW w:w="174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Jetstream RV Resort at</w:t>
            </w: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17.3</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202"/>
        </w:trPr>
        <w:tc>
          <w:tcPr>
            <w:tcW w:w="1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NASA</w:t>
            </w: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ind w:left="20"/>
              <w:spacing w:after="0"/>
              <w:rPr>
                <w:sz w:val="20"/>
                <w:szCs w:val="20"/>
                <w:color w:val="auto"/>
              </w:rPr>
            </w:pPr>
            <w:r>
              <w:rPr>
                <w:rFonts w:ascii="Arial" w:cs="Arial" w:eastAsia="Arial" w:hAnsi="Arial"/>
                <w:sz w:val="15"/>
                <w:szCs w:val="15"/>
                <w:color w:val="auto"/>
                <w:w w:val="93"/>
              </w:rPr>
              <w:t>Beaver Brook Campground</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4.5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53"/>
        </w:trPr>
        <w:tc>
          <w:tcPr>
            <w:tcW w:w="174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Tall Pines Harbor</w:t>
            </w: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10.5</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202"/>
        </w:trPr>
        <w:tc>
          <w:tcPr>
            <w:tcW w:w="1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Campground</w:t>
            </w: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20"/>
              <w:spacing w:after="0" w:line="149" w:lineRule="exact"/>
              <w:rPr>
                <w:sz w:val="20"/>
                <w:szCs w:val="20"/>
                <w:color w:val="auto"/>
              </w:rPr>
            </w:pPr>
            <w:r>
              <w:rPr>
                <w:rFonts w:ascii="Arial" w:cs="Arial" w:eastAsia="Arial" w:hAnsi="Arial"/>
                <w:sz w:val="15"/>
                <w:szCs w:val="15"/>
                <w:color w:val="auto"/>
              </w:rPr>
              <w:t>Wells Beach Resort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2"/>
                <w:szCs w:val="12"/>
                <w:color w:val="auto"/>
              </w:rPr>
            </w:pPr>
          </w:p>
        </w:tc>
        <w:tc>
          <w:tcPr>
            <w:tcW w:w="1100" w:type="dxa"/>
            <w:vAlign w:val="bottom"/>
            <w:vMerge w:val="restart"/>
          </w:tcPr>
          <w:p>
            <w:pPr>
              <w:jc w:val="right"/>
              <w:ind w:right="4"/>
              <w:spacing w:after="0"/>
              <w:rPr>
                <w:sz w:val="20"/>
                <w:szCs w:val="20"/>
                <w:color w:val="auto"/>
              </w:rPr>
            </w:pPr>
            <w:r>
              <w:rPr>
                <w:rFonts w:ascii="Arial" w:cs="Arial" w:eastAsia="Arial" w:hAnsi="Arial"/>
                <w:sz w:val="15"/>
                <w:szCs w:val="15"/>
                <w:color w:val="auto"/>
              </w:rPr>
              <w:t>12.2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12.2</w:t>
            </w:r>
          </w:p>
        </w:tc>
        <w:tc>
          <w:tcPr>
            <w:tcW w:w="0" w:type="dxa"/>
            <w:vAlign w:val="bottom"/>
          </w:tcPr>
          <w:p>
            <w:pPr>
              <w:spacing w:after="0"/>
              <w:rPr>
                <w:sz w:val="1"/>
                <w:szCs w:val="1"/>
                <w:color w:val="auto"/>
              </w:rPr>
            </w:pPr>
          </w:p>
        </w:tc>
      </w:tr>
      <w:tr>
        <w:trPr>
          <w:trHeight w:val="198"/>
        </w:trPr>
        <w:tc>
          <w:tcPr>
            <w:tcW w:w="1740" w:type="dxa"/>
            <w:vAlign w:val="bottom"/>
          </w:tcPr>
          <w:p>
            <w:pPr>
              <w:ind w:left="20"/>
              <w:spacing w:after="0"/>
              <w:rPr>
                <w:sz w:val="20"/>
                <w:szCs w:val="20"/>
                <w:color w:val="auto"/>
              </w:rPr>
            </w:pPr>
            <w:r>
              <w:rPr>
                <w:rFonts w:ascii="Arial" w:cs="Arial" w:eastAsia="Arial" w:hAnsi="Arial"/>
                <w:sz w:val="15"/>
                <w:szCs w:val="15"/>
                <w:color w:val="auto"/>
              </w:rPr>
              <w:t>Campground</w:t>
            </w: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Port Royal</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w:t>
            </w:r>
          </w:p>
        </w:tc>
        <w:tc>
          <w:tcPr>
            <w:tcW w:w="0" w:type="dxa"/>
            <w:vAlign w:val="bottom"/>
          </w:tcPr>
          <w:p>
            <w:pPr>
              <w:spacing w:after="0"/>
              <w:rPr>
                <w:sz w:val="1"/>
                <w:szCs w:val="1"/>
                <w:color w:val="auto"/>
              </w:rPr>
            </w:pPr>
          </w:p>
        </w:tc>
      </w:tr>
      <w:tr>
        <w:trPr>
          <w:trHeight w:val="198"/>
        </w:trPr>
        <w:tc>
          <w:tcPr>
            <w:tcW w:w="1740" w:type="dxa"/>
            <w:vAlign w:val="bottom"/>
          </w:tcPr>
          <w:p>
            <w:pPr>
              <w:ind w:left="20"/>
              <w:spacing w:after="0"/>
              <w:rPr>
                <w:sz w:val="20"/>
                <w:szCs w:val="20"/>
                <w:color w:val="auto"/>
              </w:rPr>
            </w:pPr>
            <w:r>
              <w:rPr>
                <w:rFonts w:ascii="Arial" w:cs="Arial" w:eastAsia="Arial" w:hAnsi="Arial"/>
                <w:sz w:val="15"/>
                <w:szCs w:val="15"/>
                <w:color w:val="auto"/>
              </w:rPr>
              <w:t>Podickory Point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3.1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53"/>
        </w:trPr>
        <w:tc>
          <w:tcPr>
            <w:tcW w:w="174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Jellystone Park at</w:t>
            </w: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32.5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31.9</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31.9</w:t>
            </w:r>
          </w:p>
        </w:tc>
        <w:tc>
          <w:tcPr>
            <w:tcW w:w="0" w:type="dxa"/>
            <w:vAlign w:val="bottom"/>
          </w:tcPr>
          <w:p>
            <w:pPr>
              <w:spacing w:after="0"/>
              <w:rPr>
                <w:sz w:val="1"/>
                <w:szCs w:val="1"/>
                <w:color w:val="auto"/>
              </w:rPr>
            </w:pPr>
          </w:p>
        </w:tc>
      </w:tr>
      <w:tr>
        <w:trPr>
          <w:trHeight w:val="202"/>
        </w:trPr>
        <w:tc>
          <w:tcPr>
            <w:tcW w:w="1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Mammoth Cave</w:t>
            </w: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ind w:left="20"/>
              <w:spacing w:after="0"/>
              <w:rPr>
                <w:sz w:val="20"/>
                <w:szCs w:val="20"/>
                <w:color w:val="auto"/>
              </w:rPr>
            </w:pPr>
            <w:r>
              <w:rPr>
                <w:rFonts w:ascii="Arial" w:cs="Arial" w:eastAsia="Arial" w:hAnsi="Arial"/>
                <w:sz w:val="15"/>
                <w:szCs w:val="15"/>
                <w:color w:val="auto"/>
              </w:rPr>
              <w:t>South Bay</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11.7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11.7</w:t>
            </w:r>
          </w:p>
        </w:tc>
        <w:tc>
          <w:tcPr>
            <w:tcW w:w="0" w:type="dxa"/>
            <w:vAlign w:val="bottom"/>
          </w:tcPr>
          <w:p>
            <w:pPr>
              <w:spacing w:after="0"/>
              <w:rPr>
                <w:sz w:val="1"/>
                <w:szCs w:val="1"/>
                <w:color w:val="auto"/>
              </w:rPr>
            </w:pPr>
          </w:p>
        </w:tc>
      </w:tr>
      <w:tr>
        <w:trPr>
          <w:trHeight w:val="207"/>
        </w:trPr>
        <w:tc>
          <w:tcPr>
            <w:tcW w:w="1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Wentworth by the Sea</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0" w:type="dxa"/>
            <w:vAlign w:val="bottom"/>
          </w:tcPr>
          <w:p>
            <w:pPr>
              <w:spacing w:after="0"/>
              <w:rPr>
                <w:sz w:val="1"/>
                <w:szCs w:val="1"/>
                <w:color w:val="auto"/>
              </w:rPr>
            </w:pPr>
          </w:p>
        </w:tc>
      </w:tr>
      <w:tr>
        <w:trPr>
          <w:trHeight w:val="198"/>
        </w:trPr>
        <w:tc>
          <w:tcPr>
            <w:tcW w:w="1740" w:type="dxa"/>
            <w:vAlign w:val="bottom"/>
          </w:tcPr>
          <w:p>
            <w:pPr>
              <w:ind w:left="20"/>
              <w:spacing w:after="0"/>
              <w:rPr>
                <w:sz w:val="20"/>
                <w:szCs w:val="20"/>
                <w:color w:val="auto"/>
              </w:rPr>
            </w:pPr>
            <w:r>
              <w:rPr>
                <w:rFonts w:ascii="Arial" w:cs="Arial" w:eastAsia="Arial" w:hAnsi="Arial"/>
                <w:sz w:val="15"/>
                <w:szCs w:val="15"/>
                <w:color w:val="auto"/>
              </w:rPr>
              <w:t>Rocky Mountain RV Park</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12.5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153"/>
        </w:trPr>
        <w:tc>
          <w:tcPr>
            <w:tcW w:w="174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Haas Lake RV Park</w:t>
            </w: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20.1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20.1</w:t>
            </w:r>
          </w:p>
        </w:tc>
        <w:tc>
          <w:tcPr>
            <w:tcW w:w="0" w:type="dxa"/>
            <w:vAlign w:val="bottom"/>
          </w:tcPr>
          <w:p>
            <w:pPr>
              <w:spacing w:after="0"/>
              <w:rPr>
                <w:sz w:val="1"/>
                <w:szCs w:val="1"/>
                <w:color w:val="auto"/>
              </w:rPr>
            </w:pPr>
          </w:p>
        </w:tc>
      </w:tr>
      <w:tr>
        <w:trPr>
          <w:trHeight w:val="202"/>
        </w:trPr>
        <w:tc>
          <w:tcPr>
            <w:tcW w:w="1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Campground</w:t>
            </w: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ind w:left="20"/>
              <w:spacing w:after="0"/>
              <w:rPr>
                <w:sz w:val="20"/>
                <w:szCs w:val="20"/>
                <w:color w:val="auto"/>
              </w:rPr>
            </w:pPr>
            <w:r>
              <w:rPr>
                <w:rFonts w:ascii="Arial" w:cs="Arial" w:eastAsia="Arial" w:hAnsi="Arial"/>
                <w:sz w:val="15"/>
                <w:szCs w:val="15"/>
                <w:color w:val="auto"/>
              </w:rPr>
              <w:t>Pearwood RV Resort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10.2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153"/>
        </w:trPr>
        <w:tc>
          <w:tcPr>
            <w:tcW w:w="174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Holly Shores Camping</w:t>
            </w: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27.0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27.0</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20"/>
              <w:spacing w:after="0" w:line="203" w:lineRule="exact"/>
              <w:rPr>
                <w:sz w:val="20"/>
                <w:szCs w:val="20"/>
                <w:color w:val="auto"/>
              </w:rPr>
            </w:pPr>
            <w:r>
              <w:rPr>
                <w:rFonts w:ascii="Arial" w:cs="Arial" w:eastAsia="Arial" w:hAnsi="Arial"/>
                <w:sz w:val="15"/>
                <w:szCs w:val="15"/>
                <w:color w:val="auto"/>
              </w:rPr>
              <w:t>Resort</w:t>
            </w:r>
            <w:r>
              <w:rPr>
                <w:rFonts w:ascii="Arial" w:cs="Arial" w:eastAsia="Arial" w:hAnsi="Arial"/>
                <w:sz w:val="19"/>
                <w:szCs w:val="19"/>
                <w:color w:val="auto"/>
                <w:vertAlign w:val="superscript"/>
              </w:rPr>
              <w:t>(3)</w:t>
            </w: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ind w:left="20"/>
              <w:spacing w:after="0"/>
              <w:rPr>
                <w:sz w:val="20"/>
                <w:szCs w:val="20"/>
                <w:color w:val="auto"/>
              </w:rPr>
            </w:pPr>
            <w:r>
              <w:rPr>
                <w:rFonts w:ascii="Arial" w:cs="Arial" w:eastAsia="Arial" w:hAnsi="Arial"/>
                <w:sz w:val="15"/>
                <w:szCs w:val="15"/>
                <w:color w:val="auto"/>
              </w:rPr>
              <w:t>Pheasant Ridge RV Park</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19.0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19.0</w:t>
            </w:r>
          </w:p>
        </w:tc>
        <w:tc>
          <w:tcPr>
            <w:tcW w:w="0" w:type="dxa"/>
            <w:vAlign w:val="bottom"/>
          </w:tcPr>
          <w:p>
            <w:pPr>
              <w:spacing w:after="0"/>
              <w:rPr>
                <w:sz w:val="1"/>
                <w:szCs w:val="1"/>
                <w:color w:val="auto"/>
              </w:rPr>
            </w:pPr>
          </w:p>
        </w:tc>
      </w:tr>
      <w:tr>
        <w:trPr>
          <w:trHeight w:val="207"/>
        </w:trPr>
        <w:tc>
          <w:tcPr>
            <w:tcW w:w="1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Coyote Ranch Resort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r>
        <w:trPr>
          <w:trHeight w:val="149"/>
        </w:trPr>
        <w:tc>
          <w:tcPr>
            <w:tcW w:w="1740" w:type="dxa"/>
            <w:vAlign w:val="bottom"/>
          </w:tcPr>
          <w:p>
            <w:pPr>
              <w:ind w:left="20"/>
              <w:spacing w:after="0" w:line="149" w:lineRule="exact"/>
              <w:rPr>
                <w:sz w:val="20"/>
                <w:szCs w:val="20"/>
                <w:color w:val="auto"/>
              </w:rPr>
            </w:pPr>
            <w:r>
              <w:rPr>
                <w:rFonts w:ascii="Arial" w:cs="Arial" w:eastAsia="Arial" w:hAnsi="Arial"/>
                <w:sz w:val="15"/>
                <w:szCs w:val="15"/>
                <w:color w:val="auto"/>
              </w:rPr>
              <w:t>Jellystone Park at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13.8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right"/>
              <w:ind w:right="4"/>
              <w:spacing w:after="0"/>
              <w:rPr>
                <w:sz w:val="20"/>
                <w:szCs w:val="20"/>
                <w:color w:val="auto"/>
              </w:rPr>
            </w:pPr>
            <w:r>
              <w:rPr>
                <w:rFonts w:ascii="Arial" w:cs="Arial" w:eastAsia="Arial" w:hAnsi="Arial"/>
                <w:sz w:val="15"/>
                <w:szCs w:val="15"/>
                <w:color w:val="auto"/>
              </w:rPr>
              <w:t>13.6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13.6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198"/>
        </w:trPr>
        <w:tc>
          <w:tcPr>
            <w:tcW w:w="1740" w:type="dxa"/>
            <w:vAlign w:val="bottom"/>
          </w:tcPr>
          <w:p>
            <w:pPr>
              <w:ind w:left="20"/>
              <w:spacing w:after="0"/>
              <w:rPr>
                <w:sz w:val="20"/>
                <w:szCs w:val="20"/>
                <w:color w:val="auto"/>
              </w:rPr>
            </w:pPr>
            <w:r>
              <w:rPr>
                <w:rFonts w:ascii="Arial" w:cs="Arial" w:eastAsia="Arial" w:hAnsi="Arial"/>
                <w:sz w:val="15"/>
                <w:szCs w:val="15"/>
                <w:color w:val="auto"/>
              </w:rPr>
              <w:t>Whispering Pines</w:t>
            </w: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74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Hospitality Creek</w:t>
            </w: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15.0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20"/>
              <w:spacing w:after="0" w:line="203" w:lineRule="exact"/>
              <w:rPr>
                <w:sz w:val="20"/>
                <w:szCs w:val="20"/>
                <w:color w:val="auto"/>
              </w:rPr>
            </w:pPr>
            <w:r>
              <w:rPr>
                <w:rFonts w:ascii="Arial" w:cs="Arial" w:eastAsia="Arial" w:hAnsi="Arial"/>
                <w:sz w:val="15"/>
                <w:szCs w:val="15"/>
                <w:color w:val="auto"/>
              </w:rPr>
              <w:t>Campground</w:t>
            </w:r>
            <w:r>
              <w:rPr>
                <w:rFonts w:ascii="Arial" w:cs="Arial" w:eastAsia="Arial" w:hAnsi="Arial"/>
                <w:sz w:val="19"/>
                <w:szCs w:val="19"/>
                <w:color w:val="auto"/>
                <w:vertAlign w:val="superscript"/>
              </w:rPr>
              <w:t>(3)</w:t>
            </w: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Business Combination</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Cabrillo Isle</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w:t>
            </w:r>
          </w:p>
        </w:tc>
        <w:tc>
          <w:tcPr>
            <w:tcW w:w="0" w:type="dxa"/>
            <w:vAlign w:val="bottom"/>
          </w:tcPr>
          <w:p>
            <w:pPr>
              <w:spacing w:after="0"/>
              <w:rPr>
                <w:sz w:val="1"/>
                <w:szCs w:val="1"/>
                <w:color w:val="auto"/>
              </w:rPr>
            </w:pPr>
          </w:p>
        </w:tc>
      </w:tr>
      <w:tr>
        <w:trPr>
          <w:trHeight w:val="198"/>
        </w:trPr>
        <w:tc>
          <w:tcPr>
            <w:tcW w:w="1740" w:type="dxa"/>
            <w:vAlign w:val="bottom"/>
          </w:tcPr>
          <w:p>
            <w:pPr>
              <w:ind w:left="20"/>
              <w:spacing w:after="0"/>
              <w:rPr>
                <w:sz w:val="20"/>
                <w:szCs w:val="20"/>
                <w:color w:val="auto"/>
              </w:rPr>
            </w:pPr>
            <w:r>
              <w:rPr>
                <w:rFonts w:ascii="Arial" w:cs="Arial" w:eastAsia="Arial" w:hAnsi="Arial"/>
                <w:sz w:val="15"/>
                <w:szCs w:val="15"/>
                <w:color w:val="auto"/>
              </w:rPr>
              <w:t>Emerald Coast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(0.6)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53.0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53.0</w:t>
            </w:r>
          </w:p>
        </w:tc>
        <w:tc>
          <w:tcPr>
            <w:tcW w:w="0" w:type="dxa"/>
            <w:vAlign w:val="bottom"/>
          </w:tcPr>
          <w:p>
            <w:pPr>
              <w:spacing w:after="0"/>
              <w:rPr>
                <w:sz w:val="1"/>
                <w:szCs w:val="1"/>
                <w:color w:val="auto"/>
              </w:rPr>
            </w:pPr>
          </w:p>
        </w:tc>
      </w:tr>
      <w:tr>
        <w:trPr>
          <w:trHeight w:val="225"/>
        </w:trPr>
        <w:tc>
          <w:tcPr>
            <w:tcW w:w="1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1,415.9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1,415.9</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Refer to Note 5, "Goodwill and Other Intangibles Assets," for additional detail on goodwill and other intangible assets.</w:t>
      </w:r>
    </w:p>
    <w:p>
      <w:pPr>
        <w:spacing w:after="0" w:line="45" w:lineRule="exact"/>
        <w:rPr>
          <w:rFonts w:ascii="Arial" w:cs="Arial" w:eastAsia="Arial" w:hAnsi="Arial"/>
          <w:sz w:val="18"/>
          <w:szCs w:val="18"/>
          <w:color w:val="auto"/>
          <w:vertAlign w:val="superscript"/>
        </w:rPr>
      </w:pPr>
    </w:p>
    <w:p>
      <w:pPr>
        <w:ind w:left="180" w:right="20" w:hanging="172"/>
        <w:spacing w:after="0" w:line="231" w:lineRule="auto"/>
        <w:tabs>
          <w:tab w:leader="none" w:pos="15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The balance includes the marina acquired in August and the restaurant acquired in December of which $9.2 million was recorded in investment property and $21.0 million in Other assets / liabilities.</w:t>
      </w:r>
    </w:p>
    <w:p>
      <w:pPr>
        <w:spacing w:after="0" w:line="32"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The allocation was estimated as of December 2021 and was adjusted as of March 2022, based on final purchase price allocation.</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we incurred $18.0 million of transaction costs, which were capitalized and allocated among the various fixed asset categories for purchases that meet the asset acquisition criteria. As of December 31, 2021, we also incurred $1.4 million of business combination expenses, which were expensed for acquisitions deemed to be business combinations.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amount of Revenues and Net income included in the Consolidated Statements of Operations for the year ended December 31, 2021 related to business combinations completed in 2021 are set forth in the following table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jc w:val="right"/>
              <w:ind w:right="444"/>
              <w:spacing w:after="0"/>
              <w:rPr>
                <w:sz w:val="20"/>
                <w:szCs w:val="20"/>
                <w:color w:val="auto"/>
              </w:rPr>
            </w:pPr>
            <w:r>
              <w:rPr>
                <w:rFonts w:ascii="Arial" w:cs="Arial" w:eastAsia="Arial" w:hAnsi="Arial"/>
                <w:sz w:val="15"/>
                <w:szCs w:val="15"/>
                <w:b w:val="1"/>
                <w:bCs w:val="1"/>
                <w:color w:val="auto"/>
              </w:rPr>
              <w:t>Year Ended</w:t>
            </w:r>
          </w:p>
        </w:tc>
      </w:tr>
      <w:tr>
        <w:trPr>
          <w:trHeight w:val="204"/>
        </w:trPr>
        <w:tc>
          <w:tcPr>
            <w:tcW w:w="9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w w:val="96"/>
              </w:rPr>
              <w:t>December 31, 2021</w:t>
            </w:r>
          </w:p>
        </w:tc>
      </w:tr>
      <w:tr>
        <w:trPr>
          <w:trHeight w:val="198"/>
        </w:trPr>
        <w:tc>
          <w:tcPr>
            <w:tcW w:w="944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207"/>
        </w:trPr>
        <w:tc>
          <w:tcPr>
            <w:tcW w:w="9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financial information presents the results of our operations for the years ended December 31, 2021 and 2020, as if the properties combined through business combinations in 2021 had been acquired on January 1, 2020. The unaudited pro forma results reflect certain adjustments for items that are not expected to have a continuing impact, such as adjustments for transaction costs incurred, management fees and acquisition accounting.</w:t>
      </w:r>
    </w:p>
    <w:p>
      <w:pPr>
        <w:spacing w:after="0" w:line="21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information presented below has been prepared for comparative purposes only and does not purport to be indicative of either future results of operations or the results of operations that would have actually occurred had the acquisitions been consummated on January 1, 2020 (in millions, except for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2"/>
              </w:rPr>
              <w:t>Year Ended (unaudited)</w:t>
            </w:r>
          </w:p>
        </w:tc>
      </w:tr>
      <w:tr>
        <w:trPr>
          <w:trHeight w:val="196"/>
        </w:trPr>
        <w:tc>
          <w:tcPr>
            <w:tcW w:w="9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December 31, 2021</w:t>
            </w:r>
          </w:p>
        </w:tc>
      </w:tr>
      <w:tr>
        <w:trPr>
          <w:trHeight w:val="196"/>
        </w:trPr>
        <w:tc>
          <w:tcPr>
            <w:tcW w:w="944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2,330.0</w:t>
            </w:r>
          </w:p>
        </w:tc>
      </w:tr>
      <w:tr>
        <w:trPr>
          <w:trHeight w:val="207"/>
        </w:trPr>
        <w:tc>
          <w:tcPr>
            <w:tcW w:w="9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attributable to Sun Communities, Inc.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390.9</w:t>
            </w:r>
          </w:p>
        </w:tc>
      </w:tr>
      <w:tr>
        <w:trPr>
          <w:trHeight w:val="198"/>
        </w:trPr>
        <w:tc>
          <w:tcPr>
            <w:tcW w:w="9440" w:type="dxa"/>
            <w:vAlign w:val="bottom"/>
          </w:tcPr>
          <w:p>
            <w:pPr>
              <w:ind w:left="20"/>
              <w:spacing w:after="0"/>
              <w:rPr>
                <w:sz w:val="20"/>
                <w:szCs w:val="20"/>
                <w:color w:val="auto"/>
              </w:rPr>
            </w:pPr>
            <w:r>
              <w:rPr>
                <w:rFonts w:ascii="Arial" w:cs="Arial" w:eastAsia="Arial" w:hAnsi="Arial"/>
                <w:sz w:val="15"/>
                <w:szCs w:val="15"/>
                <w:color w:val="auto"/>
              </w:rPr>
              <w:t>Net income per share attributable to Sun Communities, Inc. common shareholders - basic</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3.47</w:t>
            </w:r>
          </w:p>
        </w:tc>
      </w:tr>
      <w:tr>
        <w:trPr>
          <w:trHeight w:val="207"/>
        </w:trPr>
        <w:tc>
          <w:tcPr>
            <w:tcW w:w="9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per share attributable to Sun Communities, Inc. common shareholders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for Expansion / Development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2021, we acquired 11 land parcels, which are located across the United States and the United Kingdom for the potential development of nearly 4,000 sites, for total purchase price of $172.8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2021, we acquired Leisure Systems, Inc., the franchisor of the Jellystone Park™ system. The acquisition was accounted for as a business combination. The following table summarizes the amounts of assets acquired, net of liabilities assumed at the acquisition date and the consideration paid for the acquisition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5"/>
                <w:szCs w:val="15"/>
                <w:b w:val="1"/>
                <w:bCs w:val="1"/>
                <w:color w:val="auto"/>
              </w:rPr>
              <w:t>At Acquisition Date</w:t>
            </w: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w w:val="95"/>
              </w:rPr>
              <w:t>Consideration</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6" w:lineRule="exact"/>
              <w:rPr>
                <w:sz w:val="20"/>
                <w:szCs w:val="20"/>
                <w:color w:val="auto"/>
              </w:rPr>
            </w:pPr>
            <w:r>
              <w:rPr>
                <w:rFonts w:ascii="Arial" w:cs="Arial" w:eastAsia="Arial" w:hAnsi="Arial"/>
                <w:sz w:val="15"/>
                <w:szCs w:val="15"/>
                <w:color w:val="auto"/>
                <w:w w:val="96"/>
              </w:rPr>
              <w:t>Inventory of</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vMerge w:val="restart"/>
          </w:tcPr>
          <w:p>
            <w:pPr>
              <w:jc w:val="center"/>
              <w:ind w:right="160"/>
              <w:spacing w:after="0"/>
              <w:rPr>
                <w:sz w:val="20"/>
                <w:szCs w:val="20"/>
                <w:color w:val="auto"/>
              </w:rPr>
            </w:pPr>
            <w:r>
              <w:rPr>
                <w:rFonts w:ascii="Arial" w:cs="Arial" w:eastAsia="Arial" w:hAnsi="Arial"/>
                <w:sz w:val="15"/>
                <w:szCs w:val="15"/>
                <w:b w:val="1"/>
                <w:bCs w:val="1"/>
                <w:color w:val="auto"/>
                <w:w w:val="92"/>
              </w:rPr>
              <w:t>Total identifiable</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restart"/>
          </w:tcPr>
          <w:p>
            <w:pPr>
              <w:jc w:val="center"/>
              <w:ind w:right="300"/>
              <w:spacing w:after="0"/>
              <w:rPr>
                <w:sz w:val="20"/>
                <w:szCs w:val="20"/>
                <w:color w:val="auto"/>
              </w:rPr>
            </w:pPr>
            <w:r>
              <w:rPr>
                <w:rFonts w:ascii="Arial" w:cs="Arial" w:eastAsia="Arial" w:hAnsi="Arial"/>
                <w:sz w:val="15"/>
                <w:szCs w:val="15"/>
                <w:color w:val="auto"/>
                <w:w w:val="90"/>
              </w:rPr>
              <w:t>Temporary</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91"/>
              </w:rPr>
              <w:t>manufactured</w:t>
            </w:r>
          </w:p>
        </w:tc>
        <w:tc>
          <w:tcPr>
            <w:tcW w:w="10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5"/>
                <w:szCs w:val="15"/>
                <w:color w:val="auto"/>
              </w:rPr>
              <w:t>In-place leases,</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120" w:type="dxa"/>
            <w:vAlign w:val="bottom"/>
            <w:gridSpan w:val="4"/>
            <w:vMerge w:val="restart"/>
          </w:tcPr>
          <w:p>
            <w:pPr>
              <w:jc w:val="center"/>
              <w:ind w:right="180"/>
              <w:spacing w:after="0"/>
              <w:rPr>
                <w:sz w:val="20"/>
                <w:szCs w:val="20"/>
                <w:color w:val="auto"/>
              </w:rPr>
            </w:pPr>
            <w:r>
              <w:rPr>
                <w:rFonts w:ascii="Arial" w:cs="Arial" w:eastAsia="Arial" w:hAnsi="Arial"/>
                <w:sz w:val="15"/>
                <w:szCs w:val="15"/>
                <w:color w:val="auto"/>
                <w:w w:val="91"/>
              </w:rPr>
              <w:t>Investment in</w:t>
            </w: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89"/>
              </w:rPr>
              <w:t>homes, boat parts</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gridSpan w:val="3"/>
            <w:vMerge w:val="restart"/>
          </w:tcPr>
          <w:p>
            <w:pPr>
              <w:jc w:val="center"/>
              <w:ind w:right="80"/>
              <w:spacing w:after="0"/>
              <w:rPr>
                <w:sz w:val="20"/>
                <w:szCs w:val="20"/>
                <w:color w:val="auto"/>
              </w:rPr>
            </w:pPr>
            <w:r>
              <w:rPr>
                <w:rFonts w:ascii="Arial" w:cs="Arial" w:eastAsia="Arial" w:hAnsi="Arial"/>
                <w:sz w:val="15"/>
                <w:szCs w:val="15"/>
                <w:color w:val="auto"/>
                <w:w w:val="95"/>
              </w:rPr>
              <w:t>Other liabilities,</w:t>
            </w:r>
          </w:p>
        </w:tc>
        <w:tc>
          <w:tcPr>
            <w:tcW w:w="1420" w:type="dxa"/>
            <w:vAlign w:val="bottom"/>
            <w:gridSpan w:val="3"/>
          </w:tcPr>
          <w:p>
            <w:pPr>
              <w:jc w:val="center"/>
              <w:ind w:right="160"/>
              <w:spacing w:after="0" w:line="149" w:lineRule="exact"/>
              <w:rPr>
                <w:sz w:val="20"/>
                <w:szCs w:val="20"/>
                <w:color w:val="auto"/>
              </w:rPr>
            </w:pPr>
            <w:r>
              <w:rPr>
                <w:rFonts w:ascii="Arial" w:cs="Arial" w:eastAsia="Arial" w:hAnsi="Arial"/>
                <w:sz w:val="15"/>
                <w:szCs w:val="15"/>
                <w:b w:val="1"/>
                <w:bCs w:val="1"/>
                <w:color w:val="auto"/>
                <w:w w:val="87"/>
              </w:rPr>
              <w:t>assets acquired net</w:t>
            </w:r>
          </w:p>
        </w:tc>
        <w:tc>
          <w:tcPr>
            <w:tcW w:w="12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5"/>
                <w:szCs w:val="15"/>
                <w:color w:val="auto"/>
                <w:w w:val="87"/>
              </w:rPr>
              <w:t>Cash and</w:t>
            </w:r>
          </w:p>
        </w:tc>
        <w:tc>
          <w:tcPr>
            <w:tcW w:w="120" w:type="dxa"/>
            <w:vAlign w:val="bottom"/>
          </w:tcPr>
          <w:p>
            <w:pPr>
              <w:spacing w:after="0"/>
              <w:rPr>
                <w:sz w:val="12"/>
                <w:szCs w:val="12"/>
                <w:color w:val="auto"/>
              </w:rPr>
            </w:pPr>
          </w:p>
        </w:tc>
        <w:tc>
          <w:tcPr>
            <w:tcW w:w="1000" w:type="dxa"/>
            <w:vAlign w:val="bottom"/>
            <w:gridSpan w:val="3"/>
          </w:tcPr>
          <w:p>
            <w:pPr>
              <w:jc w:val="center"/>
              <w:ind w:right="300"/>
              <w:spacing w:after="0" w:line="149" w:lineRule="exact"/>
              <w:rPr>
                <w:sz w:val="20"/>
                <w:szCs w:val="20"/>
                <w:color w:val="auto"/>
              </w:rPr>
            </w:pPr>
            <w:r>
              <w:rPr>
                <w:rFonts w:ascii="Arial" w:cs="Arial" w:eastAsia="Arial" w:hAnsi="Arial"/>
                <w:sz w:val="15"/>
                <w:szCs w:val="15"/>
                <w:color w:val="auto"/>
                <w:w w:val="87"/>
              </w:rPr>
              <w:t>and</w:t>
            </w:r>
          </w:p>
        </w:tc>
        <w:tc>
          <w:tcPr>
            <w:tcW w:w="1040" w:type="dxa"/>
            <w:vAlign w:val="bottom"/>
            <w:vMerge w:val="restart"/>
          </w:tcPr>
          <w:p>
            <w:pPr>
              <w:jc w:val="center"/>
              <w:ind w:right="24"/>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5"/>
                <w:szCs w:val="15"/>
                <w:color w:val="auto"/>
                <w:w w:val="90"/>
              </w:rPr>
              <w:t>and retail</w:t>
            </w:r>
          </w:p>
        </w:tc>
        <w:tc>
          <w:tcPr>
            <w:tcW w:w="1280" w:type="dxa"/>
            <w:vAlign w:val="bottom"/>
            <w:gridSpan w:val="3"/>
          </w:tcPr>
          <w:p>
            <w:pPr>
              <w:ind w:left="20"/>
              <w:spacing w:after="0" w:line="149" w:lineRule="exact"/>
              <w:rPr>
                <w:sz w:val="20"/>
                <w:szCs w:val="20"/>
                <w:color w:val="auto"/>
              </w:rPr>
            </w:pPr>
            <w:r>
              <w:rPr>
                <w:rFonts w:ascii="Arial" w:cs="Arial" w:eastAsia="Arial" w:hAnsi="Arial"/>
                <w:sz w:val="15"/>
                <w:szCs w:val="15"/>
                <w:color w:val="auto"/>
              </w:rPr>
              <w:t>goodwill and other</w:t>
            </w:r>
          </w:p>
        </w:tc>
        <w:tc>
          <w:tcPr>
            <w:tcW w:w="12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5"/>
                <w:szCs w:val="15"/>
                <w:b w:val="1"/>
                <w:bCs w:val="1"/>
                <w:color w:val="auto"/>
                <w:w w:val="92"/>
              </w:rPr>
              <w:t>of liabilities</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320"/>
              <w:spacing w:after="0" w:line="149" w:lineRule="exact"/>
              <w:rPr>
                <w:sz w:val="20"/>
                <w:szCs w:val="20"/>
                <w:color w:val="auto"/>
              </w:rPr>
            </w:pPr>
            <w:r>
              <w:rPr>
                <w:rFonts w:ascii="Arial" w:cs="Arial" w:eastAsia="Arial" w:hAnsi="Arial"/>
                <w:sz w:val="15"/>
                <w:szCs w:val="15"/>
                <w:color w:val="auto"/>
                <w:w w:val="89"/>
              </w:rPr>
              <w:t>permanent</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7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color w:val="auto"/>
                <w:w w:val="94"/>
              </w:rPr>
              <w:t>property</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color w:val="auto"/>
                <w:w w:val="90"/>
              </w:rPr>
              <w:t>related items</w:t>
            </w:r>
          </w:p>
        </w:tc>
        <w:tc>
          <w:tcPr>
            <w:tcW w:w="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gridSpan w:val="2"/>
          </w:tcPr>
          <w:p>
            <w:pPr>
              <w:ind w:left="40"/>
              <w:spacing w:after="0" w:line="203" w:lineRule="exact"/>
              <w:rPr>
                <w:sz w:val="20"/>
                <w:szCs w:val="20"/>
                <w:color w:val="auto"/>
              </w:rPr>
            </w:pPr>
            <w:r>
              <w:rPr>
                <w:rFonts w:ascii="Arial" w:cs="Arial" w:eastAsia="Arial" w:hAnsi="Arial"/>
                <w:sz w:val="15"/>
                <w:szCs w:val="15"/>
                <w:color w:val="auto"/>
                <w:w w:val="89"/>
              </w:rPr>
              <w:t>intangible assets</w:t>
            </w:r>
            <w:r>
              <w:rPr>
                <w:rFonts w:ascii="Arial" w:cs="Arial" w:eastAsia="Arial" w:hAnsi="Arial"/>
                <w:sz w:val="19"/>
                <w:szCs w:val="19"/>
                <w:color w:val="auto"/>
                <w:w w:val="89"/>
                <w:vertAlign w:val="superscript"/>
              </w:rPr>
              <w:t>(1)</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204"/>
              <w:spacing w:after="0"/>
              <w:rPr>
                <w:sz w:val="20"/>
                <w:szCs w:val="20"/>
                <w:color w:val="auto"/>
              </w:rPr>
            </w:pPr>
            <w:r>
              <w:rPr>
                <w:rFonts w:ascii="Arial" w:cs="Arial" w:eastAsia="Arial" w:hAnsi="Arial"/>
                <w:sz w:val="15"/>
                <w:szCs w:val="15"/>
                <w:color w:val="auto"/>
                <w:w w:val="86"/>
              </w:rPr>
              <w:t>net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w w:val="86"/>
              </w:rPr>
              <w:t>assumed</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color w:val="auto"/>
                <w:w w:val="92"/>
              </w:rPr>
              <w:t>escrow</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color w:val="auto"/>
                <w:w w:val="94"/>
              </w:rPr>
              <w:t>equity</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89"/>
              </w:rPr>
              <w:t>consideration</w:t>
            </w:r>
          </w:p>
        </w:tc>
        <w:tc>
          <w:tcPr>
            <w:tcW w:w="0" w:type="dxa"/>
            <w:vAlign w:val="bottom"/>
          </w:tcPr>
          <w:p>
            <w:pPr>
              <w:spacing w:after="0"/>
              <w:rPr>
                <w:sz w:val="1"/>
                <w:szCs w:val="1"/>
                <w:color w:val="auto"/>
              </w:rPr>
            </w:pPr>
          </w:p>
        </w:tc>
      </w:tr>
      <w:tr>
        <w:trPr>
          <w:trHeight w:val="196"/>
        </w:trPr>
        <w:tc>
          <w:tcPr>
            <w:tcW w:w="1720" w:type="dxa"/>
            <w:vAlign w:val="bottom"/>
            <w:shd w:val="clear" w:color="auto" w:fill="CCEEFF"/>
          </w:tcPr>
          <w:p>
            <w:pPr>
              <w:ind w:left="20"/>
              <w:spacing w:after="0" w:line="196" w:lineRule="exact"/>
              <w:rPr>
                <w:sz w:val="20"/>
                <w:szCs w:val="20"/>
                <w:color w:val="auto"/>
              </w:rPr>
            </w:pPr>
            <w:r>
              <w:rPr>
                <w:rFonts w:ascii="Arial" w:cs="Arial" w:eastAsia="Arial" w:hAnsi="Arial"/>
                <w:sz w:val="15"/>
                <w:szCs w:val="15"/>
                <w:color w:val="auto"/>
              </w:rPr>
              <w:t>Leisure Systems, Inc</w:t>
            </w:r>
            <w:r>
              <w:rPr>
                <w:rFonts w:ascii="Arial" w:cs="Arial" w:eastAsia="Arial" w:hAnsi="Arial"/>
                <w:sz w:val="19"/>
                <w:szCs w:val="19"/>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3"/>
            <w:shd w:val="clear" w:color="auto" w:fill="CCEEFF"/>
          </w:tcPr>
          <w:p>
            <w:pPr>
              <w:ind w:left="560"/>
              <w:spacing w:after="0"/>
              <w:rPr>
                <w:sz w:val="20"/>
                <w:szCs w:val="20"/>
                <w:color w:val="auto"/>
              </w:rPr>
            </w:pPr>
            <w:r>
              <w:rPr>
                <w:rFonts w:ascii="Arial" w:cs="Arial" w:eastAsia="Arial" w:hAnsi="Arial"/>
                <w:sz w:val="15"/>
                <w:szCs w:val="15"/>
                <w:color w:val="auto"/>
              </w:rPr>
              <w:t>—  $</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gridSpan w:val="3"/>
            <w:shd w:val="clear" w:color="auto" w:fill="CCEEFF"/>
          </w:tcPr>
          <w:p>
            <w:pPr>
              <w:ind w:left="600"/>
              <w:spacing w:after="0"/>
              <w:rPr>
                <w:sz w:val="20"/>
                <w:szCs w:val="20"/>
                <w:color w:val="auto"/>
              </w:rPr>
            </w:pPr>
            <w:r>
              <w:rPr>
                <w:rFonts w:ascii="Arial" w:cs="Arial" w:eastAsia="Arial" w:hAnsi="Arial"/>
                <w:sz w:val="15"/>
                <w:szCs w:val="15"/>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80" w:hanging="172"/>
        <w:spacing w:after="0" w:line="273" w:lineRule="auto"/>
        <w:tabs>
          <w:tab w:leader="none" w:pos="150" w:val="left"/>
        </w:tabs>
        <w:numPr>
          <w:ilvl w:val="0"/>
          <w:numId w:val="9"/>
        </w:numPr>
        <w:rPr>
          <w:rFonts w:ascii="Arial" w:cs="Arial" w:eastAsia="Arial" w:hAnsi="Arial"/>
          <w:sz w:val="9"/>
          <w:szCs w:val="9"/>
          <w:color w:val="auto"/>
        </w:rPr>
      </w:pPr>
      <w:r>
        <w:rPr>
          <w:rFonts w:ascii="Arial" w:cs="Arial" w:eastAsia="Arial" w:hAnsi="Arial"/>
          <w:sz w:val="14"/>
          <w:szCs w:val="14"/>
          <w:color w:val="auto"/>
        </w:rPr>
        <w:t>The purchase price allocation is preliminary, subject to revision based on the final purchase price allocation to be finalized within one year from the acquisition date. As of December 31, 2021, the purchase price of $23.0 million was recognized within Other assets, net in the Consolidated Balance Sheets.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2, 2021, we sold two MH communities located in Indiana and Missouri, containing a combined 677 sites, for $67.5 million. The gain from the sale of the property was $49.4 million.</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August 26, 2021, we sold four MH communities located in Arizona, Illinois and Missouri, containing a combined 1,137 sites, for $94.6 million. The gain from the sale of the property was $58.7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19, "Subsequent Events," for information regarding acquisitions completed after March 31, 2022.</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7"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Notes and Other Receivables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notes and other receivables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March 31, 2022</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w w:val="97"/>
              </w:rPr>
              <w:t>December 31, 2021</w:t>
            </w:r>
          </w:p>
        </w:tc>
      </w:tr>
      <w:tr>
        <w:trPr>
          <w:trHeight w:val="200"/>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Installment notes receivable on manufactured homes, net</w:t>
            </w:r>
          </w:p>
        </w:tc>
        <w:tc>
          <w:tcPr>
            <w:tcW w:w="1460" w:type="dxa"/>
            <w:vAlign w:val="bottom"/>
            <w:shd w:val="clear" w:color="auto" w:fill="CCEEFF"/>
          </w:tcPr>
          <w:p>
            <w:pPr>
              <w:jc w:val="right"/>
              <w:ind w:right="1284"/>
              <w:spacing w:after="0"/>
              <w:rPr>
                <w:sz w:val="20"/>
                <w:szCs w:val="20"/>
                <w:color w:val="auto"/>
              </w:rPr>
            </w:pPr>
            <w:r>
              <w:rPr>
                <w:rFonts w:ascii="Arial" w:cs="Arial" w:eastAsia="Arial" w:hAnsi="Arial"/>
                <w:sz w:val="15"/>
                <w:szCs w:val="15"/>
                <w:color w:val="auto"/>
                <w:w w:val="9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79.1</w:t>
            </w:r>
          </w:p>
        </w:tc>
      </w:tr>
      <w:tr>
        <w:trPr>
          <w:trHeight w:val="198"/>
        </w:trPr>
        <w:tc>
          <w:tcPr>
            <w:tcW w:w="7400" w:type="dxa"/>
            <w:vAlign w:val="bottom"/>
          </w:tcPr>
          <w:p>
            <w:pPr>
              <w:ind w:left="20"/>
              <w:spacing w:after="0"/>
              <w:rPr>
                <w:sz w:val="20"/>
                <w:szCs w:val="20"/>
                <w:color w:val="auto"/>
              </w:rPr>
            </w:pPr>
            <w:r>
              <w:rPr>
                <w:rFonts w:ascii="Arial" w:cs="Arial" w:eastAsia="Arial" w:hAnsi="Arial"/>
                <w:sz w:val="15"/>
                <w:szCs w:val="15"/>
                <w:color w:val="auto"/>
              </w:rPr>
              <w:t>Notes receivable from real estate developers and operators</w:t>
            </w:r>
          </w:p>
        </w:tc>
        <w:tc>
          <w:tcPr>
            <w:tcW w:w="14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85"/>
              </w:rPr>
              <w:t>304.4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284.0</w:t>
            </w: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receivables, net</w:t>
            </w:r>
          </w:p>
        </w:tc>
        <w:tc>
          <w:tcPr>
            <w:tcW w:w="14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5"/>
              </w:rPr>
              <w:t>132.0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106.5</w:t>
            </w:r>
          </w:p>
        </w:tc>
      </w:tr>
      <w:tr>
        <w:trPr>
          <w:trHeight w:val="200"/>
        </w:trPr>
        <w:tc>
          <w:tcPr>
            <w:tcW w:w="7400" w:type="dxa"/>
            <w:vAlign w:val="bottom"/>
          </w:tcPr>
          <w:p>
            <w:pPr>
              <w:ind w:left="240"/>
              <w:spacing w:after="0"/>
              <w:rPr>
                <w:sz w:val="20"/>
                <w:szCs w:val="20"/>
                <w:color w:val="auto"/>
              </w:rPr>
            </w:pPr>
            <w:r>
              <w:rPr>
                <w:rFonts w:ascii="Arial" w:cs="Arial" w:eastAsia="Arial" w:hAnsi="Arial"/>
                <w:sz w:val="15"/>
                <w:szCs w:val="15"/>
                <w:b w:val="1"/>
                <w:bCs w:val="1"/>
                <w:color w:val="auto"/>
              </w:rPr>
              <w:t>Total Notes and Other Receivables, net</w:t>
            </w:r>
          </w:p>
        </w:tc>
        <w:tc>
          <w:tcPr>
            <w:tcW w:w="1460" w:type="dxa"/>
            <w:vAlign w:val="bottom"/>
            <w:tcBorders>
              <w:bottom w:val="single" w:sz="8" w:color="auto"/>
            </w:tcBorders>
          </w:tcPr>
          <w:p>
            <w:pPr>
              <w:jc w:val="right"/>
              <w:ind w:right="1284"/>
              <w:spacing w:after="0"/>
              <w:rPr>
                <w:sz w:val="20"/>
                <w:szCs w:val="20"/>
                <w:color w:val="auto"/>
              </w:rPr>
            </w:pPr>
            <w:r>
              <w:rPr>
                <w:rFonts w:ascii="Arial" w:cs="Arial" w:eastAsia="Arial" w:hAnsi="Arial"/>
                <w:sz w:val="15"/>
                <w:szCs w:val="15"/>
                <w:color w:val="auto"/>
                <w:w w:val="95"/>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5"/>
              </w:rPr>
              <w:t>513.6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469.6</w:t>
            </w:r>
          </w:p>
        </w:tc>
      </w:tr>
      <w:tr>
        <w:trPr>
          <w:trHeight w:val="21"/>
        </w:trPr>
        <w:tc>
          <w:tcPr>
            <w:tcW w:w="74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Installment Notes Receivable on Manufactured Homes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Installment notes receivable are measured at fair value, using indicative pricing models from third party valuation specialists, in accordance with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The balances of installment notes receivable of $77.2 million (net of fair value adjustment of $0.4 million) and $79.1 million (net of fair value adjustment of $0.6 million) as of March 31, 2022 and December 31, 2021, respectively, are secured by manufactured homes. The notes represent financing to purchasers of manufactured homes located in our communities and require monthly principal and interest payments. The notes had a net weighted average interest rate (net of servicing costs) and maturity of 7.6 percent and 14.5 years as of March 31, 2022, and 7.6 percent and 14.7 years as of December 31, 2021, respectively. Refer to Note 15, "Fair Value of Financial Instruments," for additional detail.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aggregate balance of the installment notes receivable is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4"/>
              </w:rPr>
              <w:t>Three Months Ended</w:t>
            </w:r>
          </w:p>
        </w:tc>
        <w:tc>
          <w:tcPr>
            <w:tcW w:w="200" w:type="dxa"/>
            <w:vAlign w:val="bottom"/>
          </w:tcPr>
          <w:p>
            <w:pPr>
              <w:spacing w:after="0"/>
              <w:rPr>
                <w:sz w:val="17"/>
                <w:szCs w:val="17"/>
                <w:color w:val="auto"/>
              </w:rPr>
            </w:pPr>
          </w:p>
        </w:tc>
        <w:tc>
          <w:tcPr>
            <w:tcW w:w="1660" w:type="dxa"/>
            <w:vAlign w:val="bottom"/>
          </w:tcPr>
          <w:p>
            <w:pPr>
              <w:jc w:val="right"/>
              <w:ind w:right="464"/>
              <w:spacing w:after="0"/>
              <w:rPr>
                <w:sz w:val="20"/>
                <w:szCs w:val="20"/>
                <w:color w:val="auto"/>
              </w:rPr>
            </w:pPr>
            <w:r>
              <w:rPr>
                <w:rFonts w:ascii="Arial" w:cs="Arial" w:eastAsia="Arial" w:hAnsi="Arial"/>
                <w:sz w:val="15"/>
                <w:szCs w:val="15"/>
                <w:b w:val="1"/>
                <w:bCs w:val="1"/>
                <w:color w:val="auto"/>
              </w:rPr>
              <w:t>Year Ended</w:t>
            </w:r>
          </w:p>
        </w:tc>
      </w:tr>
      <w:tr>
        <w:trPr>
          <w:trHeight w:val="207"/>
        </w:trPr>
        <w:tc>
          <w:tcPr>
            <w:tcW w:w="7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5"/>
              </w:rPr>
              <w:t>March 31, 2022</w:t>
            </w:r>
          </w:p>
        </w:tc>
        <w:tc>
          <w:tcPr>
            <w:tcW w:w="20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Arial" w:cs="Arial" w:eastAsia="Arial" w:hAnsi="Arial"/>
                <w:sz w:val="15"/>
                <w:szCs w:val="15"/>
                <w:b w:val="1"/>
                <w:bCs w:val="1"/>
                <w:color w:val="auto"/>
                <w:w w:val="97"/>
              </w:rPr>
              <w:t>December 31, 2021</w:t>
            </w:r>
          </w:p>
        </w:tc>
      </w:tr>
      <w:tr>
        <w:trPr>
          <w:trHeight w:val="200"/>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Beginning balance of gross installment notes receivable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79.7</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87.2</w:t>
            </w:r>
          </w:p>
        </w:tc>
      </w:tr>
      <w:tr>
        <w:trPr>
          <w:trHeight w:val="198"/>
        </w:trPr>
        <w:tc>
          <w:tcPr>
            <w:tcW w:w="7280" w:type="dxa"/>
            <w:vAlign w:val="bottom"/>
          </w:tcPr>
          <w:p>
            <w:pPr>
              <w:ind w:left="20"/>
              <w:spacing w:after="0"/>
              <w:rPr>
                <w:sz w:val="20"/>
                <w:szCs w:val="20"/>
                <w:color w:val="auto"/>
              </w:rPr>
            </w:pPr>
            <w:r>
              <w:rPr>
                <w:rFonts w:ascii="Arial" w:cs="Arial" w:eastAsia="Arial" w:hAnsi="Arial"/>
                <w:sz w:val="15"/>
                <w:szCs w:val="15"/>
                <w:color w:val="auto"/>
              </w:rPr>
              <w:t>Financed sale of manufactured homes</w:t>
            </w:r>
          </w:p>
        </w:tc>
        <w:tc>
          <w:tcPr>
            <w:tcW w:w="1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0.9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8.6</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 for notes receivable related to assets held for sale</w:t>
            </w:r>
          </w:p>
        </w:tc>
        <w:tc>
          <w:tcPr>
            <w:tcW w:w="16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r>
      <w:tr>
        <w:trPr>
          <w:trHeight w:val="198"/>
        </w:trPr>
        <w:tc>
          <w:tcPr>
            <w:tcW w:w="7280" w:type="dxa"/>
            <w:vAlign w:val="bottom"/>
          </w:tcPr>
          <w:p>
            <w:pPr>
              <w:ind w:left="20"/>
              <w:spacing w:after="0"/>
              <w:rPr>
                <w:sz w:val="20"/>
                <w:szCs w:val="20"/>
                <w:color w:val="auto"/>
              </w:rPr>
            </w:pPr>
            <w:r>
              <w:rPr>
                <w:rFonts w:ascii="Arial" w:cs="Arial" w:eastAsia="Arial" w:hAnsi="Arial"/>
                <w:sz w:val="15"/>
                <w:szCs w:val="15"/>
                <w:color w:val="auto"/>
              </w:rPr>
              <w:t>Principal payments and payoffs from our customers</w:t>
            </w:r>
          </w:p>
        </w:tc>
        <w:tc>
          <w:tcPr>
            <w:tcW w:w="1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(2.3)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(11.7)</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Principal reduction from repossessed homes</w:t>
            </w: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r>
      <w:tr>
        <w:trPr>
          <w:trHeight w:val="198"/>
        </w:trPr>
        <w:tc>
          <w:tcPr>
            <w:tcW w:w="7280" w:type="dxa"/>
            <w:vAlign w:val="bottom"/>
          </w:tcPr>
          <w:p>
            <w:pPr>
              <w:ind w:left="20"/>
              <w:spacing w:after="0"/>
              <w:rPr>
                <w:sz w:val="20"/>
                <w:szCs w:val="20"/>
                <w:color w:val="auto"/>
              </w:rPr>
            </w:pPr>
            <w:r>
              <w:rPr>
                <w:rFonts w:ascii="Arial" w:cs="Arial" w:eastAsia="Arial" w:hAnsi="Arial"/>
                <w:sz w:val="15"/>
                <w:szCs w:val="15"/>
                <w:color w:val="auto"/>
              </w:rPr>
              <w:t>Dispositions of properties</w:t>
            </w:r>
          </w:p>
        </w:tc>
        <w:tc>
          <w:tcPr>
            <w:tcW w:w="160" w:type="dxa"/>
            <w:vAlign w:val="bottom"/>
          </w:tcPr>
          <w:p>
            <w:pPr>
              <w:spacing w:after="0"/>
              <w:rPr>
                <w:sz w:val="17"/>
                <w:szCs w:val="17"/>
                <w:color w:val="auto"/>
              </w:rPr>
            </w:pPr>
          </w:p>
        </w:tc>
        <w:tc>
          <w:tcPr>
            <w:tcW w:w="19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200"/>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Ending balance of gross installment notes receivable</w:t>
            </w:r>
          </w:p>
        </w:tc>
        <w:tc>
          <w:tcPr>
            <w:tcW w:w="16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77.6</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79.7</w:t>
            </w:r>
          </w:p>
        </w:tc>
      </w:tr>
      <w:tr>
        <w:trPr>
          <w:trHeight w:val="216"/>
        </w:trPr>
        <w:tc>
          <w:tcPr>
            <w:tcW w:w="7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3"/>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Beginning balance of fair value adjustments on gross installment notes receivable</w:t>
            </w: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r>
      <w:tr>
        <w:trPr>
          <w:trHeight w:val="198"/>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Fair value adjustment</w:t>
            </w: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w:t>
            </w:r>
          </w:p>
        </w:tc>
      </w:tr>
      <w:tr>
        <w:trPr>
          <w:trHeight w:val="200"/>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Fair value adjustments on gross installment notes receivable</w:t>
            </w: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r>
      <w:tr>
        <w:trPr>
          <w:trHeight w:val="216"/>
        </w:trPr>
        <w:tc>
          <w:tcPr>
            <w:tcW w:w="7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r>
      <w:tr>
        <w:trPr>
          <w:trHeight w:val="221"/>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Ending balance of installment notes receivable,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77.2</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79.1</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 from Real Estate Developers and Operators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aggregate balance of notes receivable from real estate developers and operators is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4"/>
              </w:rPr>
              <w:t>Three Months Ended</w:t>
            </w:r>
          </w:p>
        </w:tc>
        <w:tc>
          <w:tcPr>
            <w:tcW w:w="200" w:type="dxa"/>
            <w:vAlign w:val="bottom"/>
          </w:tcPr>
          <w:p>
            <w:pPr>
              <w:spacing w:after="0"/>
              <w:rPr>
                <w:sz w:val="17"/>
                <w:szCs w:val="17"/>
                <w:color w:val="auto"/>
              </w:rPr>
            </w:pPr>
          </w:p>
        </w:tc>
        <w:tc>
          <w:tcPr>
            <w:tcW w:w="1660" w:type="dxa"/>
            <w:vAlign w:val="bottom"/>
          </w:tcPr>
          <w:p>
            <w:pPr>
              <w:jc w:val="right"/>
              <w:ind w:right="464"/>
              <w:spacing w:after="0"/>
              <w:rPr>
                <w:sz w:val="20"/>
                <w:szCs w:val="20"/>
                <w:color w:val="auto"/>
              </w:rPr>
            </w:pPr>
            <w:r>
              <w:rPr>
                <w:rFonts w:ascii="Arial" w:cs="Arial" w:eastAsia="Arial" w:hAnsi="Arial"/>
                <w:sz w:val="15"/>
                <w:szCs w:val="15"/>
                <w:b w:val="1"/>
                <w:bCs w:val="1"/>
                <w:color w:val="auto"/>
              </w:rPr>
              <w:t>Year Ended</w:t>
            </w:r>
          </w:p>
        </w:tc>
      </w:tr>
      <w:tr>
        <w:trPr>
          <w:trHeight w:val="206"/>
        </w:trPr>
        <w:tc>
          <w:tcPr>
            <w:tcW w:w="7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5"/>
              </w:rPr>
              <w:t>March 31, 2022</w:t>
            </w:r>
          </w:p>
        </w:tc>
        <w:tc>
          <w:tcPr>
            <w:tcW w:w="20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Arial" w:cs="Arial" w:eastAsia="Arial" w:hAnsi="Arial"/>
                <w:sz w:val="15"/>
                <w:szCs w:val="15"/>
                <w:b w:val="1"/>
                <w:bCs w:val="1"/>
                <w:color w:val="auto"/>
                <w:w w:val="97"/>
              </w:rPr>
              <w:t>December 31, 2021</w:t>
            </w:r>
          </w:p>
        </w:tc>
      </w:tr>
      <w:tr>
        <w:trPr>
          <w:trHeight w:val="200"/>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Beginning balance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284.0</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52.6</w:t>
            </w:r>
          </w:p>
        </w:tc>
      </w:tr>
      <w:tr>
        <w:trPr>
          <w:trHeight w:val="198"/>
        </w:trPr>
        <w:tc>
          <w:tcPr>
            <w:tcW w:w="7280" w:type="dxa"/>
            <w:vAlign w:val="bottom"/>
          </w:tcPr>
          <w:p>
            <w:pPr>
              <w:ind w:left="20"/>
              <w:spacing w:after="0"/>
              <w:rPr>
                <w:sz w:val="20"/>
                <w:szCs w:val="20"/>
                <w:color w:val="auto"/>
              </w:rPr>
            </w:pPr>
            <w:r>
              <w:rPr>
                <w:rFonts w:ascii="Arial" w:cs="Arial" w:eastAsia="Arial" w:hAnsi="Arial"/>
                <w:sz w:val="15"/>
                <w:szCs w:val="15"/>
                <w:color w:val="auto"/>
              </w:rPr>
              <w:t>Additions</w:t>
            </w:r>
          </w:p>
        </w:tc>
        <w:tc>
          <w:tcPr>
            <w:tcW w:w="1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30.5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239.7</w:t>
            </w: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Payments</w:t>
            </w: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w:t>
            </w:r>
          </w:p>
        </w:tc>
      </w:tr>
      <w:tr>
        <w:trPr>
          <w:trHeight w:val="19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adjustments</w:t>
            </w: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w:t>
            </w:r>
          </w:p>
        </w:tc>
      </w:tr>
      <w:tr>
        <w:trPr>
          <w:trHeight w:val="225"/>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304.4</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284.0</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Notes receivable from real estate developers and operators are measured at fair value, using indicative pricing models from third party valuation specialists, in accordance with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As of March 31, 2022 and December 31, 2021, the notes receivable balances are primarily comprised of a loan provided to a real estate operator to finance its acquisition and development costs, and construction loans provided to real estate developers. The notes receivable from real estate developers and operators have a net weighted average interest rate and maturity of 7.5 percent and 0.9 years as of March 31, 2022, and 7.2 percent and 0.9 years as of December 31, 2021, respectively. As of March 31, 2022, real estate developers and operators collectively have $49.0 million of undrawn funds on their loans. There were no adjustments to the fair value of notes receivable from real estate developers and operators for the three months ended March 31, 2022 and 2021. Refer to Note 15, "Fair Value of Financial Instruments," for additional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Receivables,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receivables, net were comprised of amounts due from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March 31, 2022</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w w:val="97"/>
              </w:rPr>
              <w:t>December 31, 2021</w:t>
            </w:r>
          </w:p>
        </w:tc>
      </w:tr>
      <w:tr>
        <w:trPr>
          <w:trHeight w:val="200"/>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Home sale proceeds</w:t>
            </w:r>
          </w:p>
        </w:tc>
        <w:tc>
          <w:tcPr>
            <w:tcW w:w="1460" w:type="dxa"/>
            <w:vAlign w:val="bottom"/>
            <w:shd w:val="clear" w:color="auto" w:fill="CCEEFF"/>
          </w:tcPr>
          <w:p>
            <w:pPr>
              <w:jc w:val="right"/>
              <w:ind w:right="1284"/>
              <w:spacing w:after="0"/>
              <w:rPr>
                <w:sz w:val="20"/>
                <w:szCs w:val="20"/>
                <w:color w:val="auto"/>
              </w:rPr>
            </w:pPr>
            <w:r>
              <w:rPr>
                <w:rFonts w:ascii="Arial" w:cs="Arial" w:eastAsia="Arial" w:hAnsi="Arial"/>
                <w:sz w:val="15"/>
                <w:szCs w:val="15"/>
                <w:color w:val="auto"/>
                <w:w w:val="9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w:t>
            </w:r>
          </w:p>
        </w:tc>
      </w:tr>
      <w:tr>
        <w:trPr>
          <w:trHeight w:val="203"/>
        </w:trPr>
        <w:tc>
          <w:tcPr>
            <w:tcW w:w="7400" w:type="dxa"/>
            <w:vAlign w:val="bottom"/>
          </w:tcPr>
          <w:p>
            <w:pPr>
              <w:ind w:left="20"/>
              <w:spacing w:after="0" w:line="203" w:lineRule="exact"/>
              <w:rPr>
                <w:sz w:val="20"/>
                <w:szCs w:val="20"/>
                <w:color w:val="auto"/>
              </w:rPr>
            </w:pPr>
            <w:r>
              <w:rPr>
                <w:rFonts w:ascii="Arial" w:cs="Arial" w:eastAsia="Arial" w:hAnsi="Arial"/>
                <w:sz w:val="15"/>
                <w:szCs w:val="15"/>
                <w:color w:val="auto"/>
              </w:rPr>
              <w:t>Marina customers for storage, service and lease payments, net</w:t>
            </w:r>
            <w:r>
              <w:rPr>
                <w:rFonts w:ascii="Arial" w:cs="Arial" w:eastAsia="Arial" w:hAnsi="Arial"/>
                <w:sz w:val="19"/>
                <w:szCs w:val="19"/>
                <w:color w:val="auto"/>
                <w:vertAlign w:val="superscript"/>
              </w:rPr>
              <w:t>(1)</w:t>
            </w:r>
          </w:p>
        </w:tc>
        <w:tc>
          <w:tcPr>
            <w:tcW w:w="14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40.5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29.3</w:t>
            </w:r>
          </w:p>
        </w:tc>
      </w:tr>
      <w:tr>
        <w:trPr>
          <w:trHeight w:val="203"/>
        </w:trPr>
        <w:tc>
          <w:tcPr>
            <w:tcW w:w="7400" w:type="dxa"/>
            <w:vAlign w:val="bottom"/>
            <w:shd w:val="clear" w:color="auto" w:fill="CCEEFF"/>
          </w:tcPr>
          <w:p>
            <w:pPr>
              <w:ind w:left="20"/>
              <w:spacing w:after="0" w:line="203" w:lineRule="exact"/>
              <w:rPr>
                <w:sz w:val="20"/>
                <w:szCs w:val="20"/>
                <w:color w:val="auto"/>
              </w:rPr>
            </w:pPr>
            <w:r>
              <w:rPr>
                <w:rFonts w:ascii="Arial" w:cs="Arial" w:eastAsia="Arial" w:hAnsi="Arial"/>
                <w:sz w:val="15"/>
                <w:szCs w:val="15"/>
                <w:color w:val="auto"/>
              </w:rPr>
              <w:t>MH and annual RV residents for rent, utility charges, fees and other pass through charges, net</w:t>
            </w:r>
            <w:r>
              <w:rPr>
                <w:rFonts w:ascii="Arial" w:cs="Arial" w:eastAsia="Arial" w:hAnsi="Arial"/>
                <w:sz w:val="19"/>
                <w:szCs w:val="19"/>
                <w:color w:val="auto"/>
                <w:vertAlign w:val="superscript"/>
              </w:rPr>
              <w:t>(2)</w:t>
            </w:r>
          </w:p>
        </w:tc>
        <w:tc>
          <w:tcPr>
            <w:tcW w:w="14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w:t>
            </w:r>
          </w:p>
        </w:tc>
      </w:tr>
      <w:tr>
        <w:trPr>
          <w:trHeight w:val="198"/>
        </w:trPr>
        <w:tc>
          <w:tcPr>
            <w:tcW w:w="7400" w:type="dxa"/>
            <w:vAlign w:val="bottom"/>
          </w:tcPr>
          <w:p>
            <w:pPr>
              <w:ind w:left="20"/>
              <w:spacing w:after="0"/>
              <w:rPr>
                <w:sz w:val="20"/>
                <w:szCs w:val="20"/>
                <w:color w:val="auto"/>
              </w:rPr>
            </w:pPr>
            <w:r>
              <w:rPr>
                <w:rFonts w:ascii="Arial" w:cs="Arial" w:eastAsia="Arial" w:hAnsi="Arial"/>
                <w:sz w:val="15"/>
                <w:szCs w:val="15"/>
                <w:color w:val="auto"/>
              </w:rPr>
              <w:t>Insurance receivables</w:t>
            </w:r>
          </w:p>
        </w:tc>
        <w:tc>
          <w:tcPr>
            <w:tcW w:w="14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7.2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9.0</w:t>
            </w:r>
          </w:p>
        </w:tc>
      </w:tr>
      <w:tr>
        <w:trPr>
          <w:trHeight w:val="207"/>
        </w:trPr>
        <w:tc>
          <w:tcPr>
            <w:tcW w:w="7400" w:type="dxa"/>
            <w:vAlign w:val="bottom"/>
            <w:shd w:val="clear" w:color="auto" w:fill="CCEEFF"/>
          </w:tcPr>
          <w:p>
            <w:pPr>
              <w:ind w:left="20"/>
              <w:spacing w:after="0" w:line="206" w:lineRule="exact"/>
              <w:rPr>
                <w:sz w:val="20"/>
                <w:szCs w:val="20"/>
                <w:color w:val="auto"/>
              </w:rPr>
            </w:pPr>
            <w:r>
              <w:rPr>
                <w:rFonts w:ascii="Arial" w:cs="Arial" w:eastAsia="Arial" w:hAnsi="Arial"/>
                <w:sz w:val="15"/>
                <w:szCs w:val="15"/>
                <w:color w:val="auto"/>
              </w:rPr>
              <w:t>Other receivables</w:t>
            </w:r>
            <w:r>
              <w:rPr>
                <w:rFonts w:ascii="Arial" w:cs="Arial" w:eastAsia="Arial" w:hAnsi="Arial"/>
                <w:sz w:val="19"/>
                <w:szCs w:val="19"/>
                <w:color w:val="auto"/>
                <w:vertAlign w:val="superscript"/>
              </w:rPr>
              <w:t>(3)</w:t>
            </w:r>
          </w:p>
        </w:tc>
        <w:tc>
          <w:tcPr>
            <w:tcW w:w="14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29.2</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w:t>
            </w:r>
          </w:p>
        </w:tc>
      </w:tr>
      <w:tr>
        <w:trPr>
          <w:trHeight w:val="196"/>
        </w:trPr>
        <w:tc>
          <w:tcPr>
            <w:tcW w:w="7400" w:type="dxa"/>
            <w:vAlign w:val="bottom"/>
          </w:tcPr>
          <w:p>
            <w:pPr>
              <w:ind w:left="240"/>
              <w:spacing w:after="0"/>
              <w:rPr>
                <w:sz w:val="20"/>
                <w:szCs w:val="20"/>
                <w:color w:val="auto"/>
              </w:rPr>
            </w:pPr>
            <w:r>
              <w:rPr>
                <w:rFonts w:ascii="Arial" w:cs="Arial" w:eastAsia="Arial" w:hAnsi="Arial"/>
                <w:sz w:val="15"/>
                <w:szCs w:val="15"/>
                <w:b w:val="1"/>
                <w:bCs w:val="1"/>
                <w:color w:val="auto"/>
              </w:rPr>
              <w:t>Total Other Receivables, net</w:t>
            </w:r>
          </w:p>
        </w:tc>
        <w:tc>
          <w:tcPr>
            <w:tcW w:w="1460" w:type="dxa"/>
            <w:vAlign w:val="bottom"/>
            <w:tcBorders>
              <w:bottom w:val="single" w:sz="8" w:color="auto"/>
            </w:tcBorders>
          </w:tcPr>
          <w:p>
            <w:pPr>
              <w:jc w:val="right"/>
              <w:ind w:right="1284"/>
              <w:spacing w:after="0"/>
              <w:rPr>
                <w:sz w:val="20"/>
                <w:szCs w:val="20"/>
                <w:color w:val="auto"/>
              </w:rPr>
            </w:pPr>
            <w:r>
              <w:rPr>
                <w:rFonts w:ascii="Arial" w:cs="Arial" w:eastAsia="Arial" w:hAnsi="Arial"/>
                <w:sz w:val="15"/>
                <w:szCs w:val="15"/>
                <w:color w:val="auto"/>
                <w:w w:val="95"/>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5"/>
              </w:rPr>
              <w:t>132.0</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106.5</w:t>
            </w:r>
          </w:p>
        </w:tc>
      </w:tr>
      <w:tr>
        <w:trPr>
          <w:trHeight w:val="21"/>
        </w:trPr>
        <w:tc>
          <w:tcPr>
            <w:tcW w:w="74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Net of allowance of $1.8 million and $1.5 million as of March 31, 2022 and December 31, 2021, respectively.</w:t>
      </w:r>
    </w:p>
    <w:p>
      <w:pPr>
        <w:spacing w:after="0" w:line="45"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Net of allowance of $5.0 million and $5.5 million as of March 31, 2022 and December 31, 2021, respectively.</w:t>
      </w:r>
    </w:p>
    <w:p>
      <w:pPr>
        <w:spacing w:after="0" w:line="46" w:lineRule="exact"/>
        <w:rPr>
          <w:rFonts w:ascii="Arial" w:cs="Arial" w:eastAsia="Arial" w:hAnsi="Arial"/>
          <w:sz w:val="18"/>
          <w:szCs w:val="18"/>
          <w:color w:val="auto"/>
          <w:vertAlign w:val="superscript"/>
        </w:rPr>
      </w:pPr>
    </w:p>
    <w:p>
      <w:pPr>
        <w:jc w:val="both"/>
        <w:ind w:left="180" w:hanging="172"/>
        <w:spacing w:after="0" w:line="227" w:lineRule="auto"/>
        <w:tabs>
          <w:tab w:leader="none" w:pos="167"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Includes receivable from Rezplot Systems LLC, a nonconsolidated affiliate in which we have a 49.2 percent ownership interest. In June 2020, we made a convertible secured loan to Rezplot Systems LLC. The note allows for a principal amount of up to $10.0 million to be drawn down over a period of three years, bears an interest rate of 3.0 percent and is secured by all the assets of Rezplot Systems LLC. In January 2022, we made an additional loan to Rezplot Systems LLC that allows for a principal amount of up to $5.0 million to be drawn over a period of three years and bears an interest rate of 3.0 percent. The outstanding balances were $11.1 million and $10.2 million as of March 31, 2022 and December 31, 2021, respectively. Refer to Note 6, "Investments in Nonconsolidated Affiliates," for additional information on Rezplot Systems LLC.</w:t>
      </w:r>
    </w:p>
    <w:p>
      <w:pPr>
        <w:spacing w:after="0" w:line="2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Goodwill and Other Intangibles Assets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intangible assets include goodwill, in-place leases, non-competition agreements, trademarks and trade names, customer relationships, and franchise agreements and other intangible assets. These intangible assets are recorded in Goodwill and Other intangible assets, net on the Consolidated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goodwill during the three months ended March 31, 2022 is as follows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ind w:left="20"/>
              <w:spacing w:after="0"/>
              <w:rPr>
                <w:sz w:val="20"/>
                <w:szCs w:val="20"/>
                <w:color w:val="auto"/>
              </w:rPr>
            </w:pPr>
            <w:r>
              <w:rPr>
                <w:rFonts w:ascii="Arial" w:cs="Arial" w:eastAsia="Arial" w:hAnsi="Arial"/>
                <w:sz w:val="15"/>
                <w:szCs w:val="15"/>
                <w:b w:val="1"/>
                <w:bCs w:val="1"/>
                <w:color w:val="auto"/>
              </w:rPr>
              <w:t>Segment</w:t>
            </w:r>
            <w:r>
              <w:rPr>
                <w:rFonts w:ascii="Arial" w:cs="Arial" w:eastAsia="Arial" w:hAnsi="Arial"/>
                <w:sz w:val="18"/>
                <w:szCs w:val="18"/>
                <w:color w:val="auto"/>
                <w:vertAlign w:val="superscript"/>
              </w:rPr>
              <w:t>(1)</w:t>
            </w: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5"/>
                <w:szCs w:val="15"/>
                <w:b w:val="1"/>
                <w:bCs w:val="1"/>
                <w:color w:val="auto"/>
              </w:rPr>
              <w:t>December 31, 2021</w:t>
            </w: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Acquisitions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64"/>
              <w:spacing w:after="0"/>
              <w:rPr>
                <w:sz w:val="20"/>
                <w:szCs w:val="20"/>
                <w:color w:val="auto"/>
              </w:rPr>
            </w:pPr>
            <w:r>
              <w:rPr>
                <w:rFonts w:ascii="Arial" w:cs="Arial" w:eastAsia="Arial" w:hAnsi="Arial"/>
                <w:sz w:val="15"/>
                <w:szCs w:val="15"/>
                <w:b w:val="1"/>
                <w:bCs w:val="1"/>
                <w:color w:val="auto"/>
              </w:rPr>
              <w:t>Other</w:t>
            </w:r>
            <w:r>
              <w:rPr>
                <w:rFonts w:ascii="Arial" w:cs="Arial" w:eastAsia="Arial" w:hAnsi="Arial"/>
                <w:sz w:val="18"/>
                <w:szCs w:val="18"/>
                <w:color w:val="auto"/>
                <w:vertAlign w:val="superscript"/>
              </w:rPr>
              <w:t>(2)</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244"/>
              <w:spacing w:after="0"/>
              <w:rPr>
                <w:sz w:val="20"/>
                <w:szCs w:val="20"/>
                <w:color w:val="auto"/>
              </w:rPr>
            </w:pPr>
            <w:r>
              <w:rPr>
                <w:rFonts w:ascii="Arial" w:cs="Arial" w:eastAsia="Arial" w:hAnsi="Arial"/>
                <w:sz w:val="15"/>
                <w:szCs w:val="15"/>
                <w:b w:val="1"/>
                <w:bCs w:val="1"/>
                <w:color w:val="auto"/>
              </w:rPr>
              <w:t>March 31, 2022</w:t>
            </w:r>
          </w:p>
        </w:tc>
      </w:tr>
      <w:tr>
        <w:trPr>
          <w:trHeight w:val="196"/>
        </w:trPr>
        <w:tc>
          <w:tcPr>
            <w:tcW w:w="39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Marina</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495.4</w:t>
            </w:r>
          </w:p>
        </w:tc>
        <w:tc>
          <w:tcPr>
            <w:tcW w:w="2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1104"/>
              <w:spacing w:after="0"/>
              <w:rPr>
                <w:sz w:val="20"/>
                <w:szCs w:val="20"/>
                <w:color w:val="auto"/>
              </w:rPr>
            </w:pPr>
            <w:r>
              <w:rPr>
                <w:rFonts w:ascii="Arial" w:cs="Arial" w:eastAsia="Arial" w:hAnsi="Arial"/>
                <w:sz w:val="15"/>
                <w:szCs w:val="15"/>
                <w:color w:val="auto"/>
                <w:w w:val="95"/>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044"/>
              <w:spacing w:after="0"/>
              <w:rPr>
                <w:sz w:val="20"/>
                <w:szCs w:val="20"/>
                <w:color w:val="auto"/>
              </w:rPr>
            </w:pPr>
            <w:r>
              <w:rPr>
                <w:rFonts w:ascii="Arial" w:cs="Arial" w:eastAsia="Arial" w:hAnsi="Arial"/>
                <w:sz w:val="15"/>
                <w:szCs w:val="15"/>
                <w:color w:val="auto"/>
                <w:w w:val="95"/>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503.2</w:t>
            </w:r>
          </w:p>
        </w:tc>
      </w:tr>
      <w:tr>
        <w:trPr>
          <w:trHeight w:val="198"/>
        </w:trPr>
        <w:tc>
          <w:tcPr>
            <w:tcW w:w="3900" w:type="dxa"/>
            <w:vAlign w:val="bottom"/>
          </w:tcPr>
          <w:p>
            <w:pPr>
              <w:ind w:left="140"/>
              <w:spacing w:after="0"/>
              <w:rPr>
                <w:sz w:val="20"/>
                <w:szCs w:val="20"/>
                <w:color w:val="auto"/>
              </w:rPr>
            </w:pPr>
            <w:r>
              <w:rPr>
                <w:rFonts w:ascii="Arial" w:cs="Arial" w:eastAsia="Arial" w:hAnsi="Arial"/>
                <w:sz w:val="15"/>
                <w:szCs w:val="15"/>
                <w:color w:val="auto"/>
              </w:rPr>
              <w:t>RV</w:t>
            </w:r>
          </w:p>
        </w:tc>
        <w:tc>
          <w:tcPr>
            <w:tcW w:w="160" w:type="dxa"/>
            <w:vAlign w:val="bottom"/>
          </w:tcPr>
          <w:p>
            <w:pPr>
              <w:spacing w:after="0"/>
              <w:rPr>
                <w:sz w:val="17"/>
                <w:szCs w:val="17"/>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9.5</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9.5</w:t>
            </w:r>
          </w:p>
        </w:tc>
      </w:tr>
      <w:tr>
        <w:trPr>
          <w:trHeight w:val="225"/>
        </w:trPr>
        <w:tc>
          <w:tcPr>
            <w:tcW w:w="39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5"/>
                <w:szCs w:val="15"/>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495.4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104"/>
              <w:spacing w:after="0"/>
              <w:rPr>
                <w:sz w:val="20"/>
                <w:szCs w:val="20"/>
                <w:color w:val="auto"/>
              </w:rPr>
            </w:pPr>
            <w:r>
              <w:rPr>
                <w:rFonts w:ascii="Arial" w:cs="Arial" w:eastAsia="Arial" w:hAnsi="Arial"/>
                <w:sz w:val="15"/>
                <w:szCs w:val="15"/>
                <w:color w:val="auto"/>
                <w:w w:val="9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44"/>
              <w:spacing w:after="0"/>
              <w:rPr>
                <w:sz w:val="20"/>
                <w:szCs w:val="20"/>
                <w:color w:val="auto"/>
              </w:rPr>
            </w:pPr>
            <w:r>
              <w:rPr>
                <w:rFonts w:ascii="Arial" w:cs="Arial" w:eastAsia="Arial" w:hAnsi="Arial"/>
                <w:sz w:val="15"/>
                <w:szCs w:val="15"/>
                <w:color w:val="auto"/>
                <w:w w:val="95"/>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512.7</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There was no Goodwill allocated to the MH segment as of March 31, 2022 and December 31, 2021.</w:t>
      </w:r>
    </w:p>
    <w:p>
      <w:pPr>
        <w:spacing w:after="0" w:line="45" w:lineRule="exact"/>
        <w:rPr>
          <w:rFonts w:ascii="Arial" w:cs="Arial" w:eastAsia="Arial" w:hAnsi="Arial"/>
          <w:sz w:val="18"/>
          <w:szCs w:val="18"/>
          <w:color w:val="auto"/>
          <w:vertAlign w:val="superscript"/>
        </w:rPr>
      </w:pPr>
    </w:p>
    <w:p>
      <w:pPr>
        <w:jc w:val="both"/>
        <w:ind w:left="180" w:hanging="172"/>
        <w:spacing w:after="0" w:line="219" w:lineRule="auto"/>
        <w:tabs>
          <w:tab w:leader="none" w:pos="166"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The measurement periods for the valuation of assets acquired and liabilities assumed end as soon as information on the facts and circumstances that existed as of the acquisition dates becomes available but not to exceed 12 months. Adjustments in purchase price allocations may require a change in the amounts allocated to goodwill during the periods in which the adjustments are determined. These purchase accounting adjustments are presented under Other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amounts and accumulated amortization of our intangible assets are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gridSpan w:val="5"/>
          </w:tcPr>
          <w:p>
            <w:pPr>
              <w:ind w:left="720"/>
              <w:spacing w:after="0"/>
              <w:rPr>
                <w:sz w:val="20"/>
                <w:szCs w:val="20"/>
                <w:color w:val="auto"/>
              </w:rPr>
            </w:pPr>
            <w:r>
              <w:rPr>
                <w:rFonts w:ascii="Arial" w:cs="Arial" w:eastAsia="Arial" w:hAnsi="Arial"/>
                <w:sz w:val="15"/>
                <w:szCs w:val="15"/>
                <w:b w:val="1"/>
                <w:bCs w:val="1"/>
                <w:color w:val="auto"/>
              </w:rPr>
              <w:t>March 31, 2022</w:t>
            </w:r>
          </w:p>
        </w:tc>
        <w:tc>
          <w:tcPr>
            <w:tcW w:w="100" w:type="dxa"/>
            <w:vAlign w:val="bottom"/>
          </w:tcPr>
          <w:p>
            <w:pPr>
              <w:spacing w:after="0"/>
              <w:rPr>
                <w:sz w:val="17"/>
                <w:szCs w:val="17"/>
                <w:color w:val="auto"/>
              </w:rPr>
            </w:pPr>
          </w:p>
        </w:tc>
        <w:tc>
          <w:tcPr>
            <w:tcW w:w="2580" w:type="dxa"/>
            <w:vAlign w:val="bottom"/>
            <w:gridSpan w:val="4"/>
          </w:tcPr>
          <w:p>
            <w:pPr>
              <w:jc w:val="right"/>
              <w:ind w:right="644"/>
              <w:spacing w:after="0"/>
              <w:rPr>
                <w:sz w:val="20"/>
                <w:szCs w:val="20"/>
                <w:color w:val="auto"/>
              </w:rPr>
            </w:pPr>
            <w:r>
              <w:rPr>
                <w:rFonts w:ascii="Arial" w:cs="Arial" w:eastAsia="Arial" w:hAnsi="Arial"/>
                <w:sz w:val="15"/>
                <w:szCs w:val="15"/>
                <w:b w:val="1"/>
                <w:bCs w:val="1"/>
                <w:color w:val="auto"/>
              </w:rPr>
              <w:t>December 31, 2021</w:t>
            </w:r>
          </w:p>
        </w:tc>
        <w:tc>
          <w:tcPr>
            <w:tcW w:w="0" w:type="dxa"/>
            <w:vAlign w:val="bottom"/>
          </w:tcPr>
          <w:p>
            <w:pPr>
              <w:spacing w:after="0"/>
              <w:rPr>
                <w:sz w:val="1"/>
                <w:szCs w:val="1"/>
                <w:color w:val="auto"/>
              </w:rPr>
            </w:pPr>
          </w:p>
        </w:tc>
      </w:tr>
      <w:tr>
        <w:trPr>
          <w:trHeight w:val="146"/>
        </w:trPr>
        <w:tc>
          <w:tcPr>
            <w:tcW w:w="40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Other Intangible Asset</w:t>
            </w:r>
          </w:p>
        </w:tc>
        <w:tc>
          <w:tcPr>
            <w:tcW w:w="15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Useful Life</w:t>
            </w:r>
          </w:p>
        </w:tc>
        <w:tc>
          <w:tcPr>
            <w:tcW w:w="120" w:type="dxa"/>
            <w:vAlign w:val="bottom"/>
            <w:vMerge w:val="restart"/>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spacing w:after="0" w:line="146" w:lineRule="exact"/>
              <w:rPr>
                <w:sz w:val="20"/>
                <w:szCs w:val="20"/>
                <w:color w:val="auto"/>
              </w:rPr>
            </w:pPr>
            <w:r>
              <w:rPr>
                <w:rFonts w:ascii="Arial" w:cs="Arial" w:eastAsia="Arial" w:hAnsi="Arial"/>
                <w:sz w:val="15"/>
                <w:szCs w:val="15"/>
                <w:b w:val="1"/>
                <w:bCs w:val="1"/>
                <w:color w:val="auto"/>
              </w:rPr>
              <w:t>Gross Carrying</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44"/>
              <w:spacing w:after="0" w:line="146" w:lineRule="exact"/>
              <w:rPr>
                <w:sz w:val="20"/>
                <w:szCs w:val="20"/>
                <w:color w:val="auto"/>
              </w:rPr>
            </w:pPr>
            <w:r>
              <w:rPr>
                <w:rFonts w:ascii="Arial" w:cs="Arial" w:eastAsia="Arial" w:hAnsi="Arial"/>
                <w:sz w:val="15"/>
                <w:szCs w:val="15"/>
                <w:b w:val="1"/>
                <w:bCs w:val="1"/>
                <w:color w:val="auto"/>
                <w:w w:val="95"/>
              </w:rPr>
              <w:t>Accumulated</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ind w:left="20"/>
              <w:spacing w:after="0" w:line="146" w:lineRule="exact"/>
              <w:rPr>
                <w:sz w:val="20"/>
                <w:szCs w:val="20"/>
                <w:color w:val="auto"/>
              </w:rPr>
            </w:pPr>
            <w:r>
              <w:rPr>
                <w:rFonts w:ascii="Arial" w:cs="Arial" w:eastAsia="Arial" w:hAnsi="Arial"/>
                <w:sz w:val="15"/>
                <w:szCs w:val="15"/>
                <w:b w:val="1"/>
                <w:bCs w:val="1"/>
                <w:color w:val="auto"/>
              </w:rPr>
              <w:t>Gross Carrying</w:t>
            </w: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44"/>
              <w:spacing w:after="0" w:line="146" w:lineRule="exact"/>
              <w:rPr>
                <w:sz w:val="20"/>
                <w:szCs w:val="20"/>
                <w:color w:val="auto"/>
              </w:rPr>
            </w:pPr>
            <w:r>
              <w:rPr>
                <w:rFonts w:ascii="Arial" w:cs="Arial" w:eastAsia="Arial" w:hAnsi="Arial"/>
                <w:sz w:val="15"/>
                <w:szCs w:val="15"/>
                <w:b w:val="1"/>
                <w:bCs w:val="1"/>
                <w:color w:val="auto"/>
                <w:w w:val="95"/>
              </w:rPr>
              <w:t>Accumulated</w:t>
            </w:r>
          </w:p>
        </w:tc>
        <w:tc>
          <w:tcPr>
            <w:tcW w:w="0" w:type="dxa"/>
            <w:vAlign w:val="bottom"/>
          </w:tcPr>
          <w:p>
            <w:pPr>
              <w:spacing w:after="0"/>
              <w:rPr>
                <w:sz w:val="1"/>
                <w:szCs w:val="1"/>
                <w:color w:val="auto"/>
              </w:rPr>
            </w:pPr>
          </w:p>
        </w:tc>
      </w:tr>
      <w:tr>
        <w:trPr>
          <w:trHeight w:val="200"/>
        </w:trPr>
        <w:tc>
          <w:tcPr>
            <w:tcW w:w="4000" w:type="dxa"/>
            <w:vAlign w:val="bottom"/>
            <w:tcBorders>
              <w:bottom w:val="single" w:sz="8" w:color="CCEEFF"/>
            </w:tcBorders>
            <w:vMerge w:val="continue"/>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Amortization</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w w:val="98"/>
              </w:rPr>
              <w:t>Amortization</w:t>
            </w: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In-place leases</w:t>
            </w:r>
          </w:p>
        </w:tc>
        <w:tc>
          <w:tcPr>
            <w:tcW w:w="164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0"/>
              </w:rPr>
              <w:t>2 months - 13 years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(120.8)</w:t>
            </w:r>
          </w:p>
        </w:tc>
        <w:tc>
          <w:tcPr>
            <w:tcW w:w="0" w:type="dxa"/>
            <w:vAlign w:val="bottom"/>
          </w:tcPr>
          <w:p>
            <w:pPr>
              <w:spacing w:after="0"/>
              <w:rPr>
                <w:sz w:val="1"/>
                <w:szCs w:val="1"/>
                <w:color w:val="auto"/>
              </w:rPr>
            </w:pPr>
          </w:p>
        </w:tc>
      </w:tr>
      <w:tr>
        <w:trPr>
          <w:trHeight w:val="198"/>
        </w:trPr>
        <w:tc>
          <w:tcPr>
            <w:tcW w:w="4000" w:type="dxa"/>
            <w:vAlign w:val="bottom"/>
          </w:tcPr>
          <w:p>
            <w:pPr>
              <w:ind w:left="140"/>
              <w:spacing w:after="0"/>
              <w:rPr>
                <w:sz w:val="20"/>
                <w:szCs w:val="20"/>
                <w:color w:val="auto"/>
              </w:rPr>
            </w:pPr>
            <w:r>
              <w:rPr>
                <w:rFonts w:ascii="Arial" w:cs="Arial" w:eastAsia="Arial" w:hAnsi="Arial"/>
                <w:sz w:val="15"/>
                <w:szCs w:val="15"/>
                <w:color w:val="auto"/>
              </w:rPr>
              <w:t>Non-competition agreements</w:t>
            </w:r>
          </w:p>
        </w:tc>
        <w:tc>
          <w:tcPr>
            <w:tcW w:w="1640" w:type="dxa"/>
            <w:vAlign w:val="bottom"/>
            <w:gridSpan w:val="2"/>
          </w:tcPr>
          <w:p>
            <w:pPr>
              <w:jc w:val="center"/>
              <w:ind w:right="120"/>
              <w:spacing w:after="0"/>
              <w:rPr>
                <w:sz w:val="20"/>
                <w:szCs w:val="20"/>
                <w:color w:val="auto"/>
              </w:rPr>
            </w:pPr>
            <w:r>
              <w:rPr>
                <w:rFonts w:ascii="Arial" w:cs="Arial" w:eastAsia="Arial" w:hAnsi="Arial"/>
                <w:sz w:val="15"/>
                <w:szCs w:val="15"/>
                <w:color w:val="auto"/>
                <w:w w:val="89"/>
              </w:rPr>
              <w:t>5 years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207"/>
        </w:trPr>
        <w:tc>
          <w:tcPr>
            <w:tcW w:w="4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Trademarks and trade names</w:t>
            </w:r>
          </w:p>
        </w:tc>
        <w:tc>
          <w:tcPr>
            <w:tcW w:w="164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89"/>
              </w:rPr>
              <w:t>3 years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198"/>
        </w:trPr>
        <w:tc>
          <w:tcPr>
            <w:tcW w:w="4000" w:type="dxa"/>
            <w:vAlign w:val="bottom"/>
          </w:tcPr>
          <w:p>
            <w:pPr>
              <w:ind w:left="140"/>
              <w:spacing w:after="0"/>
              <w:rPr>
                <w:sz w:val="20"/>
                <w:szCs w:val="20"/>
                <w:color w:val="auto"/>
              </w:rPr>
            </w:pPr>
            <w:r>
              <w:rPr>
                <w:rFonts w:ascii="Arial" w:cs="Arial" w:eastAsia="Arial" w:hAnsi="Arial"/>
                <w:sz w:val="15"/>
                <w:szCs w:val="15"/>
                <w:color w:val="auto"/>
              </w:rPr>
              <w:t>Customer relationships</w:t>
            </w:r>
          </w:p>
        </w:tc>
        <w:tc>
          <w:tcPr>
            <w:tcW w:w="1640" w:type="dxa"/>
            <w:vAlign w:val="bottom"/>
            <w:gridSpan w:val="2"/>
          </w:tcPr>
          <w:p>
            <w:pPr>
              <w:jc w:val="center"/>
              <w:ind w:right="120"/>
              <w:spacing w:after="0"/>
              <w:rPr>
                <w:sz w:val="20"/>
                <w:szCs w:val="20"/>
                <w:color w:val="auto"/>
              </w:rPr>
            </w:pPr>
            <w:r>
              <w:rPr>
                <w:rFonts w:ascii="Arial" w:cs="Arial" w:eastAsia="Arial" w:hAnsi="Arial"/>
                <w:sz w:val="15"/>
                <w:szCs w:val="15"/>
                <w:color w:val="auto"/>
                <w:w w:val="90"/>
              </w:rPr>
              <w:t>7 - 17 years</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207"/>
        </w:trPr>
        <w:tc>
          <w:tcPr>
            <w:tcW w:w="4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Franchise agreements and other intangible assets</w:t>
            </w:r>
          </w:p>
        </w:tc>
        <w:tc>
          <w:tcPr>
            <w:tcW w:w="164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0"/>
              </w:rPr>
              <w:t>3 - 27 years</w:t>
            </w: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92"/>
        </w:trPr>
        <w:tc>
          <w:tcPr>
            <w:tcW w:w="4000" w:type="dxa"/>
            <w:vAlign w:val="bottom"/>
          </w:tcPr>
          <w:p>
            <w:pPr>
              <w:ind w:left="240"/>
              <w:spacing w:after="0"/>
              <w:rPr>
                <w:sz w:val="20"/>
                <w:szCs w:val="20"/>
                <w:color w:val="auto"/>
              </w:rPr>
            </w:pPr>
            <w:r>
              <w:rPr>
                <w:rFonts w:ascii="Arial" w:cs="Arial" w:eastAsia="Arial" w:hAnsi="Arial"/>
                <w:sz w:val="15"/>
                <w:szCs w:val="15"/>
                <w:b w:val="1"/>
                <w:bCs w:val="1"/>
                <w:color w:val="auto"/>
              </w:rPr>
              <w:t>Total finite-lived assets</w:t>
            </w: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345.6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(150.4)</w:t>
            </w:r>
          </w:p>
        </w:tc>
        <w:tc>
          <w:tcPr>
            <w:tcW w:w="2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331.9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(141.8)</w:t>
            </w:r>
          </w:p>
        </w:tc>
        <w:tc>
          <w:tcPr>
            <w:tcW w:w="0" w:type="dxa"/>
            <w:vAlign w:val="bottom"/>
          </w:tcPr>
          <w:p>
            <w:pPr>
              <w:spacing w:after="0"/>
              <w:rPr>
                <w:sz w:val="1"/>
                <w:szCs w:val="1"/>
                <w:color w:val="auto"/>
              </w:rPr>
            </w:pPr>
          </w:p>
        </w:tc>
      </w:tr>
      <w:tr>
        <w:trPr>
          <w:trHeight w:val="207"/>
        </w:trPr>
        <w:tc>
          <w:tcPr>
            <w:tcW w:w="4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Indefinite-lived assets - Trademarks and trade names</w:t>
            </w:r>
          </w:p>
        </w:tc>
        <w:tc>
          <w:tcPr>
            <w:tcW w:w="164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rPr>
              <w:t>N/A</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40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Indefinite-lived assets - Other</w:t>
            </w:r>
          </w:p>
        </w:tc>
        <w:tc>
          <w:tcPr>
            <w:tcW w:w="16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5"/>
                <w:szCs w:val="15"/>
                <w:color w:val="auto"/>
              </w:rPr>
              <w:t>N/A</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92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000" w:type="dxa"/>
            <w:vAlign w:val="bottom"/>
            <w:shd w:val="clear" w:color="auto" w:fill="CCEEFF"/>
          </w:tcPr>
          <w:p>
            <w:pPr>
              <w:ind w:left="240"/>
              <w:spacing w:after="0"/>
              <w:rPr>
                <w:sz w:val="20"/>
                <w:szCs w:val="20"/>
                <w:color w:val="auto"/>
              </w:rPr>
            </w:pPr>
            <w:r>
              <w:rPr>
                <w:rFonts w:ascii="Arial" w:cs="Arial" w:eastAsia="Arial" w:hAnsi="Arial"/>
                <w:sz w:val="15"/>
                <w:szCs w:val="15"/>
                <w:b w:val="1"/>
                <w:bCs w:val="1"/>
                <w:color w:val="auto"/>
              </w:rPr>
              <w:t>Total indefinite-lived assets</w:t>
            </w: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4000" w:type="dxa"/>
            <w:vAlign w:val="bottom"/>
          </w:tcPr>
          <w:p>
            <w:pPr>
              <w:ind w:left="240"/>
              <w:spacing w:after="0"/>
              <w:rPr>
                <w:sz w:val="20"/>
                <w:szCs w:val="20"/>
                <w:color w:val="auto"/>
              </w:rPr>
            </w:pPr>
            <w:r>
              <w:rPr>
                <w:rFonts w:ascii="Arial" w:cs="Arial" w:eastAsia="Arial" w:hAnsi="Arial"/>
                <w:sz w:val="15"/>
                <w:szCs w:val="15"/>
                <w:b w:val="1"/>
                <w:bCs w:val="1"/>
                <w:color w:val="auto"/>
              </w:rPr>
              <w:t>Total</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484.6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(150.4)</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448.6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(141.8)</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expenses related to our Other intangible assets are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964"/>
              <w:spacing w:after="0"/>
              <w:rPr>
                <w:sz w:val="20"/>
                <w:szCs w:val="20"/>
                <w:color w:val="auto"/>
              </w:rPr>
            </w:pPr>
            <w:r>
              <w:rPr>
                <w:rFonts w:ascii="Arial" w:cs="Arial" w:eastAsia="Arial" w:hAnsi="Arial"/>
                <w:sz w:val="15"/>
                <w:szCs w:val="15"/>
                <w:b w:val="1"/>
                <w:bCs w:val="1"/>
                <w:color w:val="auto"/>
              </w:rPr>
              <w:t>Three Months Ended</w:t>
            </w:r>
          </w:p>
        </w:tc>
      </w:tr>
      <w:tr>
        <w:trPr>
          <w:trHeight w:val="200"/>
        </w:trPr>
        <w:tc>
          <w:tcPr>
            <w:tcW w:w="7780" w:type="dxa"/>
            <w:vAlign w:val="bottom"/>
          </w:tcPr>
          <w:p>
            <w:pPr>
              <w:ind w:left="20"/>
              <w:spacing w:after="0"/>
              <w:rPr>
                <w:sz w:val="20"/>
                <w:szCs w:val="20"/>
                <w:color w:val="auto"/>
              </w:rPr>
            </w:pPr>
            <w:r>
              <w:rPr>
                <w:rFonts w:ascii="Arial" w:cs="Arial" w:eastAsia="Arial" w:hAnsi="Arial"/>
                <w:sz w:val="15"/>
                <w:szCs w:val="15"/>
                <w:b w:val="1"/>
                <w:bCs w:val="1"/>
                <w:color w:val="auto"/>
              </w:rPr>
              <w:t>Other Intangible Asset Amortization Expense</w:t>
            </w:r>
          </w:p>
        </w:tc>
        <w:tc>
          <w:tcPr>
            <w:tcW w:w="220" w:type="dxa"/>
            <w:vAlign w:val="bottom"/>
          </w:tcPr>
          <w:p>
            <w:pPr>
              <w:spacing w:after="0"/>
              <w:rPr>
                <w:sz w:val="17"/>
                <w:szCs w:val="17"/>
                <w:color w:val="auto"/>
              </w:rPr>
            </w:pPr>
          </w:p>
        </w:tc>
        <w:tc>
          <w:tcPr>
            <w:tcW w:w="1560" w:type="dxa"/>
            <w:vAlign w:val="bottom"/>
            <w:gridSpan w:val="2"/>
          </w:tcPr>
          <w:p>
            <w:pPr>
              <w:ind w:left="120"/>
              <w:spacing w:after="0"/>
              <w:rPr>
                <w:sz w:val="20"/>
                <w:szCs w:val="20"/>
                <w:color w:val="auto"/>
              </w:rPr>
            </w:pPr>
            <w:r>
              <w:rPr>
                <w:rFonts w:ascii="Arial" w:cs="Arial" w:eastAsia="Arial" w:hAnsi="Arial"/>
                <w:sz w:val="15"/>
                <w:szCs w:val="15"/>
                <w:b w:val="1"/>
                <w:bCs w:val="1"/>
                <w:color w:val="auto"/>
              </w:rPr>
              <w:t>March 31, 2022</w:t>
            </w:r>
          </w:p>
        </w:tc>
        <w:tc>
          <w:tcPr>
            <w:tcW w:w="220" w:type="dxa"/>
            <w:vAlign w:val="bottom"/>
          </w:tcPr>
          <w:p>
            <w:pPr>
              <w:spacing w:after="0"/>
              <w:rPr>
                <w:sz w:val="17"/>
                <w:szCs w:val="17"/>
                <w:color w:val="auto"/>
              </w:rPr>
            </w:pPr>
          </w:p>
        </w:tc>
        <w:tc>
          <w:tcPr>
            <w:tcW w:w="1460" w:type="dxa"/>
            <w:vAlign w:val="bottom"/>
          </w:tcPr>
          <w:p>
            <w:pPr>
              <w:jc w:val="right"/>
              <w:ind w:right="264"/>
              <w:spacing w:after="0"/>
              <w:rPr>
                <w:sz w:val="20"/>
                <w:szCs w:val="20"/>
                <w:color w:val="auto"/>
              </w:rPr>
            </w:pPr>
            <w:r>
              <w:rPr>
                <w:rFonts w:ascii="Arial" w:cs="Arial" w:eastAsia="Arial" w:hAnsi="Arial"/>
                <w:sz w:val="15"/>
                <w:szCs w:val="15"/>
                <w:b w:val="1"/>
                <w:bCs w:val="1"/>
                <w:color w:val="auto"/>
              </w:rPr>
              <w:t>March 31, 2021</w:t>
            </w:r>
          </w:p>
        </w:tc>
      </w:tr>
      <w:tr>
        <w:trPr>
          <w:trHeight w:val="198"/>
        </w:trPr>
        <w:tc>
          <w:tcPr>
            <w:tcW w:w="77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In-place leases</w:t>
            </w: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w:t>
            </w:r>
          </w:p>
        </w:tc>
      </w:tr>
      <w:tr>
        <w:trPr>
          <w:trHeight w:val="198"/>
        </w:trPr>
        <w:tc>
          <w:tcPr>
            <w:tcW w:w="7780" w:type="dxa"/>
            <w:vAlign w:val="bottom"/>
          </w:tcPr>
          <w:p>
            <w:pPr>
              <w:ind w:left="140"/>
              <w:spacing w:after="0"/>
              <w:rPr>
                <w:sz w:val="20"/>
                <w:szCs w:val="20"/>
                <w:color w:val="auto"/>
              </w:rPr>
            </w:pPr>
            <w:r>
              <w:rPr>
                <w:rFonts w:ascii="Arial" w:cs="Arial" w:eastAsia="Arial" w:hAnsi="Arial"/>
                <w:sz w:val="15"/>
                <w:szCs w:val="15"/>
                <w:color w:val="auto"/>
              </w:rPr>
              <w:t>Non-competition agreements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0.5</w:t>
            </w:r>
          </w:p>
        </w:tc>
      </w:tr>
      <w:tr>
        <w:trPr>
          <w:trHeight w:val="207"/>
        </w:trPr>
        <w:tc>
          <w:tcPr>
            <w:tcW w:w="77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Trademarks and trade names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r>
      <w:tr>
        <w:trPr>
          <w:trHeight w:val="198"/>
        </w:trPr>
        <w:tc>
          <w:tcPr>
            <w:tcW w:w="7780" w:type="dxa"/>
            <w:vAlign w:val="bottom"/>
          </w:tcPr>
          <w:p>
            <w:pPr>
              <w:ind w:left="140"/>
              <w:spacing w:after="0"/>
              <w:rPr>
                <w:sz w:val="20"/>
                <w:szCs w:val="20"/>
                <w:color w:val="auto"/>
              </w:rPr>
            </w:pPr>
            <w:r>
              <w:rPr>
                <w:rFonts w:ascii="Arial" w:cs="Arial" w:eastAsia="Arial" w:hAnsi="Arial"/>
                <w:sz w:val="15"/>
                <w:szCs w:val="15"/>
                <w:color w:val="auto"/>
              </w:rPr>
              <w:t>Customer relationships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1.6</w:t>
            </w:r>
          </w:p>
        </w:tc>
      </w:tr>
      <w:tr>
        <w:trPr>
          <w:trHeight w:val="203"/>
        </w:trPr>
        <w:tc>
          <w:tcPr>
            <w:tcW w:w="77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Franchise fees and other intangible assets</w:t>
            </w:r>
          </w:p>
        </w:tc>
        <w:tc>
          <w:tcPr>
            <w:tcW w:w="2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w:t>
            </w:r>
          </w:p>
        </w:tc>
      </w:tr>
      <w:tr>
        <w:trPr>
          <w:trHeight w:val="200"/>
        </w:trPr>
        <w:tc>
          <w:tcPr>
            <w:tcW w:w="7780" w:type="dxa"/>
            <w:vAlign w:val="bottom"/>
          </w:tcPr>
          <w:p>
            <w:pPr>
              <w:ind w:left="140"/>
              <w:spacing w:after="0"/>
              <w:rPr>
                <w:sz w:val="20"/>
                <w:szCs w:val="20"/>
                <w:color w:val="auto"/>
              </w:rPr>
            </w:pPr>
            <w:r>
              <w:rPr>
                <w:rFonts w:ascii="Arial" w:cs="Arial" w:eastAsia="Arial" w:hAnsi="Arial"/>
                <w:sz w:val="15"/>
                <w:szCs w:val="15"/>
                <w:b w:val="1"/>
                <w:bCs w:val="1"/>
                <w:color w:val="auto"/>
              </w:rPr>
              <w:t>Total</w:t>
            </w: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w:t>
            </w: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 anticipate amortization expense for Other intangible assets to be as follows for the next five years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5"/>
                <w:szCs w:val="15"/>
                <w:b w:val="1"/>
                <w:bCs w:val="1"/>
                <w:color w:val="auto"/>
              </w:rPr>
              <w:t>Remainder 2022</w:t>
            </w:r>
          </w:p>
        </w:tc>
        <w:tc>
          <w:tcPr>
            <w:tcW w:w="380" w:type="dxa"/>
            <w:vAlign w:val="bottom"/>
          </w:tcPr>
          <w:p>
            <w:pPr>
              <w:spacing w:after="0"/>
              <w:rPr>
                <w:sz w:val="17"/>
                <w:szCs w:val="17"/>
                <w:color w:val="auto"/>
              </w:rPr>
            </w:pPr>
          </w:p>
        </w:tc>
        <w:tc>
          <w:tcPr>
            <w:tcW w:w="1260" w:type="dxa"/>
            <w:vAlign w:val="bottom"/>
          </w:tcPr>
          <w:p>
            <w:pPr>
              <w:jc w:val="right"/>
              <w:ind w:right="584"/>
              <w:spacing w:after="0"/>
              <w:rPr>
                <w:sz w:val="20"/>
                <w:szCs w:val="20"/>
                <w:color w:val="auto"/>
              </w:rPr>
            </w:pPr>
            <w:r>
              <w:rPr>
                <w:rFonts w:ascii="Arial" w:cs="Arial" w:eastAsia="Arial" w:hAnsi="Arial"/>
                <w:sz w:val="15"/>
                <w:szCs w:val="15"/>
                <w:b w:val="1"/>
                <w:bCs w:val="1"/>
                <w:color w:val="auto"/>
              </w:rPr>
              <w:t>2023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84"/>
              <w:spacing w:after="0"/>
              <w:rPr>
                <w:sz w:val="20"/>
                <w:szCs w:val="20"/>
                <w:color w:val="auto"/>
              </w:rPr>
            </w:pPr>
            <w:r>
              <w:rPr>
                <w:rFonts w:ascii="Arial" w:cs="Arial" w:eastAsia="Arial" w:hAnsi="Arial"/>
                <w:sz w:val="15"/>
                <w:szCs w:val="15"/>
                <w:b w:val="1"/>
                <w:bCs w:val="1"/>
                <w:color w:val="auto"/>
              </w:rPr>
              <w:t>2024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604"/>
              <w:spacing w:after="0"/>
              <w:rPr>
                <w:sz w:val="20"/>
                <w:szCs w:val="20"/>
                <w:color w:val="auto"/>
              </w:rPr>
            </w:pPr>
            <w:r>
              <w:rPr>
                <w:rFonts w:ascii="Arial" w:cs="Arial" w:eastAsia="Arial" w:hAnsi="Arial"/>
                <w:sz w:val="15"/>
                <w:szCs w:val="15"/>
                <w:b w:val="1"/>
                <w:bCs w:val="1"/>
                <w:color w:val="auto"/>
              </w:rPr>
              <w:t>2025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604"/>
              <w:spacing w:after="0"/>
              <w:rPr>
                <w:sz w:val="20"/>
                <w:szCs w:val="20"/>
                <w:color w:val="auto"/>
              </w:rPr>
            </w:pPr>
            <w:r>
              <w:rPr>
                <w:rFonts w:ascii="Arial" w:cs="Arial" w:eastAsia="Arial" w:hAnsi="Arial"/>
                <w:sz w:val="15"/>
                <w:szCs w:val="15"/>
                <w:b w:val="1"/>
                <w:bCs w:val="1"/>
                <w:color w:val="auto"/>
              </w:rPr>
              <w:t>2026</w:t>
            </w:r>
          </w:p>
        </w:tc>
        <w:tc>
          <w:tcPr>
            <w:tcW w:w="0" w:type="dxa"/>
            <w:vAlign w:val="bottom"/>
          </w:tcPr>
          <w:p>
            <w:pPr>
              <w:spacing w:after="0"/>
              <w:rPr>
                <w:sz w:val="1"/>
                <w:szCs w:val="1"/>
                <w:color w:val="auto"/>
              </w:rPr>
            </w:pPr>
          </w:p>
        </w:tc>
      </w:tr>
      <w:tr>
        <w:trPr>
          <w:trHeight w:val="200"/>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In-place leases</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10.1</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6.0</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98"/>
        </w:trPr>
        <w:tc>
          <w:tcPr>
            <w:tcW w:w="2540" w:type="dxa"/>
            <w:vAlign w:val="bottom"/>
          </w:tcPr>
          <w:p>
            <w:pPr>
              <w:ind w:left="20"/>
              <w:spacing w:after="0"/>
              <w:rPr>
                <w:sz w:val="20"/>
                <w:szCs w:val="20"/>
                <w:color w:val="auto"/>
              </w:rPr>
            </w:pPr>
            <w:r>
              <w:rPr>
                <w:rFonts w:ascii="Arial" w:cs="Arial" w:eastAsia="Arial" w:hAnsi="Arial"/>
                <w:sz w:val="15"/>
                <w:szCs w:val="15"/>
                <w:color w:val="auto"/>
              </w:rPr>
              <w:t>Non-competition agreements</w:t>
            </w:r>
          </w:p>
        </w:tc>
        <w:tc>
          <w:tcPr>
            <w:tcW w:w="18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Trademarks and trade names</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2540" w:type="dxa"/>
            <w:vAlign w:val="bottom"/>
          </w:tcPr>
          <w:p>
            <w:pPr>
              <w:ind w:left="20"/>
              <w:spacing w:after="0"/>
              <w:rPr>
                <w:sz w:val="20"/>
                <w:szCs w:val="20"/>
                <w:color w:val="auto"/>
              </w:rPr>
            </w:pPr>
            <w:r>
              <w:rPr>
                <w:rFonts w:ascii="Arial" w:cs="Arial" w:eastAsia="Arial" w:hAnsi="Arial"/>
                <w:sz w:val="15"/>
                <w:szCs w:val="15"/>
                <w:color w:val="auto"/>
              </w:rPr>
              <w:t>Customer relationships</w:t>
            </w:r>
          </w:p>
        </w:tc>
        <w:tc>
          <w:tcPr>
            <w:tcW w:w="18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11.7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11.7</w:t>
            </w:r>
          </w:p>
        </w:tc>
        <w:tc>
          <w:tcPr>
            <w:tcW w:w="0" w:type="dxa"/>
            <w:vAlign w:val="bottom"/>
          </w:tcPr>
          <w:p>
            <w:pPr>
              <w:spacing w:after="0"/>
              <w:rPr>
                <w:sz w:val="1"/>
                <w:szCs w:val="1"/>
                <w:color w:val="auto"/>
              </w:rPr>
            </w:pPr>
          </w:p>
        </w:tc>
      </w:tr>
      <w:tr>
        <w:trPr>
          <w:trHeight w:val="153"/>
        </w:trPr>
        <w:tc>
          <w:tcPr>
            <w:tcW w:w="254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rPr>
              <w:t>Franchise agreements and other</w:t>
            </w:r>
          </w:p>
        </w:tc>
        <w:tc>
          <w:tcPr>
            <w:tcW w:w="18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2.4</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w:t>
            </w: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540" w:type="dxa"/>
            <w:vAlign w:val="bottom"/>
          </w:tcPr>
          <w:p>
            <w:pPr>
              <w:ind w:left="20"/>
              <w:spacing w:after="0"/>
              <w:rPr>
                <w:sz w:val="20"/>
                <w:szCs w:val="20"/>
                <w:color w:val="auto"/>
              </w:rPr>
            </w:pPr>
            <w:r>
              <w:rPr>
                <w:rFonts w:ascii="Arial" w:cs="Arial" w:eastAsia="Arial" w:hAnsi="Arial"/>
                <w:sz w:val="15"/>
                <w:szCs w:val="15"/>
                <w:b w:val="1"/>
                <w:bCs w:val="1"/>
                <w:color w:val="auto"/>
              </w:rPr>
              <w:t>Total</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23.4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27.4</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22.7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Nonconsolidated Affiliates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Investments in joint ventures that are not consolidated, nor recorded at cost, are accounted for using the equity method of accounting as prescribed in ASC Topic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Investments in nonconsolidated affiliates are recorded within Other assets, net on the Consolidated Balance Sheets. Equity income and loss are recorded in the Income from nonconsolidated affiliates line item on the Consolidated Statements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RezPlot Systems LLC ("Rezplot")</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At March 31, 2022 and December 31, 2021, we had a 49.2 percent ownership interest in RezPlot, a RV reservation software technology company, which interest we acquired in January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Sungenia Joint Venture ("Sungenia JV")</w:t>
      </w:r>
    </w:p>
    <w:p>
      <w:pPr>
        <w:spacing w:after="0" w:line="23"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At March 31, 2022 and December 31, 2021, we had a 50 percent ownership interest in Sungenia JV, a joint venture formed between us and Ingenia Communities Group in November 2018, to establish and grow a manufactured housing community development program in Australia.</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GTSC LLC </w:t>
      </w:r>
      <w:r>
        <w:rPr>
          <w:rFonts w:ascii="Arial" w:cs="Arial" w:eastAsia="Arial" w:hAnsi="Arial"/>
          <w:sz w:val="18"/>
          <w:szCs w:val="18"/>
          <w:color w:val="auto"/>
        </w:rPr>
        <w:t>(</w:t>
      </w:r>
      <w:r>
        <w:rPr>
          <w:rFonts w:ascii="Arial" w:cs="Arial" w:eastAsia="Arial" w:hAnsi="Arial"/>
          <w:sz w:val="18"/>
          <w:szCs w:val="18"/>
          <w:i w:val="1"/>
          <w:iCs w:val="1"/>
          <w:color w:val="auto"/>
        </w:rPr>
        <w:t>"GTSC"</w:t>
      </w:r>
      <w:r>
        <w:rPr>
          <w:rFonts w:ascii="Arial" w:cs="Arial" w:eastAsia="Arial" w:hAnsi="Arial"/>
          <w:sz w:val="18"/>
          <w:szCs w:val="18"/>
          <w:color w:val="auto"/>
        </w:rPr>
        <w:t>)</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At March 31, 2022 and December 31, 2021, we had a 40 percent ownership interest in GTSC, which engages in acquiring, holding and selling loans secured, directly or indirectly, by manufactured homes located in our communities.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Origen Financial Services, LLC ("OFS")</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At March 31, 2022 and December 31, 2021, we had a 22.9 percent ownership interest in OFS, an end-to-end online resident screening and document management suite.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SV Lift, LLC ("SV Lift")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2022 and December 31, 2021, we had a 50 percent ownership interest in SV Lift, which owns, operates and leases an aircraft.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balance in each nonconsolidated affiliate is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Investment</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March 31, 2022</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w w:val="96"/>
              </w:rPr>
              <w:t>December 31, 2021</w:t>
            </w:r>
          </w:p>
        </w:tc>
      </w:tr>
      <w:tr>
        <w:trPr>
          <w:trHeight w:val="200"/>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Investment in RezPlot</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198"/>
        </w:trPr>
        <w:tc>
          <w:tcPr>
            <w:tcW w:w="7480" w:type="dxa"/>
            <w:vAlign w:val="bottom"/>
            <w:gridSpan w:val="2"/>
          </w:tcPr>
          <w:p>
            <w:pPr>
              <w:ind w:left="20"/>
              <w:spacing w:after="0"/>
              <w:rPr>
                <w:sz w:val="20"/>
                <w:szCs w:val="20"/>
                <w:color w:val="auto"/>
              </w:rPr>
            </w:pPr>
            <w:r>
              <w:rPr>
                <w:rFonts w:ascii="Arial" w:cs="Arial" w:eastAsia="Arial" w:hAnsi="Arial"/>
                <w:sz w:val="15"/>
                <w:szCs w:val="15"/>
                <w:color w:val="auto"/>
              </w:rPr>
              <w:t>Investment in Sungenia JV</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36.6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36.2</w:t>
            </w:r>
          </w:p>
        </w:tc>
      </w:tr>
      <w:tr>
        <w:trPr>
          <w:trHeight w:val="207"/>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Investment in GTSC</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w:t>
            </w:r>
          </w:p>
        </w:tc>
      </w:tr>
      <w:tr>
        <w:trPr>
          <w:trHeight w:val="198"/>
        </w:trPr>
        <w:tc>
          <w:tcPr>
            <w:tcW w:w="7480" w:type="dxa"/>
            <w:vAlign w:val="bottom"/>
            <w:gridSpan w:val="2"/>
          </w:tcPr>
          <w:p>
            <w:pPr>
              <w:ind w:left="20"/>
              <w:spacing w:after="0"/>
              <w:rPr>
                <w:sz w:val="20"/>
                <w:szCs w:val="20"/>
                <w:color w:val="auto"/>
              </w:rPr>
            </w:pPr>
            <w:r>
              <w:rPr>
                <w:rFonts w:ascii="Arial" w:cs="Arial" w:eastAsia="Arial" w:hAnsi="Arial"/>
                <w:sz w:val="15"/>
                <w:szCs w:val="15"/>
                <w:color w:val="auto"/>
              </w:rPr>
              <w:t>Investment in OFS</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0.3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0.2</w:t>
            </w:r>
          </w:p>
        </w:tc>
      </w:tr>
      <w:tr>
        <w:trPr>
          <w:trHeight w:val="203"/>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Investment in SV Lift</w:t>
            </w:r>
          </w:p>
        </w:tc>
        <w:tc>
          <w:tcPr>
            <w:tcW w:w="2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r>
      <w:tr>
        <w:trPr>
          <w:trHeight w:val="200"/>
        </w:trPr>
        <w:tc>
          <w:tcPr>
            <w:tcW w:w="7480" w:type="dxa"/>
            <w:vAlign w:val="bottom"/>
            <w:gridSpan w:val="2"/>
          </w:tcPr>
          <w:p>
            <w:pPr>
              <w:ind w:left="120"/>
              <w:spacing w:after="0"/>
              <w:rPr>
                <w:sz w:val="20"/>
                <w:szCs w:val="20"/>
                <w:color w:val="auto"/>
              </w:rPr>
            </w:pPr>
            <w:r>
              <w:rPr>
                <w:rFonts w:ascii="Arial" w:cs="Arial" w:eastAsia="Arial" w:hAnsi="Arial"/>
                <w:sz w:val="15"/>
                <w:szCs w:val="15"/>
                <w:b w:val="1"/>
                <w:bCs w:val="1"/>
                <w:color w:val="auto"/>
              </w:rPr>
              <w:t>Total</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77.5</w:t>
            </w: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75.1</w:t>
            </w:r>
          </w:p>
        </w:tc>
      </w:tr>
      <w:tr>
        <w:trPr>
          <w:trHeight w:val="21"/>
        </w:trPr>
        <w:tc>
          <w:tcPr>
            <w:tcW w:w="7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income / (loss) from each nonconsolidated affiliate is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4"/>
          </w:tcPr>
          <w:p>
            <w:pPr>
              <w:ind w:left="960"/>
              <w:spacing w:after="0"/>
              <w:rPr>
                <w:sz w:val="20"/>
                <w:szCs w:val="20"/>
                <w:color w:val="auto"/>
              </w:rPr>
            </w:pPr>
            <w:r>
              <w:rPr>
                <w:rFonts w:ascii="Arial" w:cs="Arial" w:eastAsia="Arial" w:hAnsi="Arial"/>
                <w:sz w:val="15"/>
                <w:szCs w:val="15"/>
                <w:b w:val="1"/>
                <w:bCs w:val="1"/>
                <w:color w:val="auto"/>
              </w:rPr>
              <w:t>Three Months Ended</w:t>
            </w:r>
          </w:p>
        </w:tc>
      </w:tr>
      <w:tr>
        <w:trPr>
          <w:trHeight w:val="203"/>
        </w:trPr>
        <w:tc>
          <w:tcPr>
            <w:tcW w:w="740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5"/>
                <w:szCs w:val="15"/>
                <w:b w:val="1"/>
                <w:bCs w:val="1"/>
                <w:color w:val="auto"/>
              </w:rPr>
              <w:t>Income / (Loss) from Nonconsolidated Affiliates</w:t>
            </w:r>
            <w:r>
              <w:rPr>
                <w:rFonts w:ascii="Arial" w:cs="Arial" w:eastAsia="Arial" w:hAnsi="Arial"/>
                <w:sz w:val="19"/>
                <w:szCs w:val="19"/>
                <w:color w:val="auto"/>
                <w:vertAlign w:val="superscript"/>
              </w:rPr>
              <w:t>(1)</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March 31, 2022</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March 31, 2021</w:t>
            </w:r>
          </w:p>
        </w:tc>
      </w:tr>
      <w:tr>
        <w:trPr>
          <w:trHeight w:val="196"/>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RezPlot equity loss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center"/>
              <w:ind w:left="1124"/>
              <w:spacing w:after="0"/>
              <w:rPr>
                <w:sz w:val="20"/>
                <w:szCs w:val="20"/>
                <w:color w:val="auto"/>
              </w:rPr>
            </w:pPr>
            <w:r>
              <w:rPr>
                <w:rFonts w:ascii="Arial" w:cs="Arial" w:eastAsia="Arial" w:hAnsi="Arial"/>
                <w:sz w:val="15"/>
                <w:szCs w:val="15"/>
                <w:color w:val="auto"/>
                <w:w w:val="97"/>
              </w:rPr>
              <w:t>(0.7)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center"/>
              <w:ind w:left="1124"/>
              <w:spacing w:after="0"/>
              <w:rPr>
                <w:sz w:val="20"/>
                <w:szCs w:val="20"/>
                <w:color w:val="auto"/>
              </w:rPr>
            </w:pPr>
            <w:r>
              <w:rPr>
                <w:rFonts w:ascii="Arial" w:cs="Arial" w:eastAsia="Arial" w:hAnsi="Arial"/>
                <w:sz w:val="15"/>
                <w:szCs w:val="15"/>
                <w:color w:val="auto"/>
                <w:w w:val="97"/>
              </w:rPr>
              <w:t>(0.5)</w:t>
            </w:r>
          </w:p>
        </w:tc>
      </w:tr>
      <w:tr>
        <w:trPr>
          <w:trHeight w:val="198"/>
        </w:trPr>
        <w:tc>
          <w:tcPr>
            <w:tcW w:w="7480" w:type="dxa"/>
            <w:vAlign w:val="bottom"/>
            <w:gridSpan w:val="2"/>
          </w:tcPr>
          <w:p>
            <w:pPr>
              <w:ind w:left="20"/>
              <w:spacing w:after="0"/>
              <w:rPr>
                <w:sz w:val="20"/>
                <w:szCs w:val="20"/>
                <w:color w:val="auto"/>
              </w:rPr>
            </w:pPr>
            <w:r>
              <w:rPr>
                <w:rFonts w:ascii="Arial" w:cs="Arial" w:eastAsia="Arial" w:hAnsi="Arial"/>
                <w:sz w:val="15"/>
                <w:szCs w:val="15"/>
                <w:color w:val="auto"/>
              </w:rPr>
              <w:t>Sungenia JV equity income</w:t>
            </w:r>
          </w:p>
        </w:tc>
        <w:tc>
          <w:tcPr>
            <w:tcW w:w="220" w:type="dxa"/>
            <w:vAlign w:val="bottom"/>
          </w:tcPr>
          <w:p>
            <w:pPr>
              <w:spacing w:after="0"/>
              <w:rPr>
                <w:sz w:val="17"/>
                <w:szCs w:val="17"/>
                <w:color w:val="auto"/>
              </w:rPr>
            </w:pPr>
          </w:p>
        </w:tc>
        <w:tc>
          <w:tcPr>
            <w:tcW w:w="1540" w:type="dxa"/>
            <w:vAlign w:val="bottom"/>
          </w:tcPr>
          <w:p>
            <w:pPr>
              <w:jc w:val="center"/>
              <w:ind w:left="1144"/>
              <w:spacing w:after="0"/>
              <w:rPr>
                <w:sz w:val="20"/>
                <w:szCs w:val="20"/>
                <w:color w:val="auto"/>
              </w:rPr>
            </w:pPr>
            <w:r>
              <w:rPr>
                <w:rFonts w:ascii="Arial" w:cs="Arial" w:eastAsia="Arial" w:hAnsi="Arial"/>
                <w:sz w:val="15"/>
                <w:szCs w:val="15"/>
                <w:color w:val="auto"/>
                <w:w w:val="95"/>
              </w:rPr>
              <w:t>0.6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center"/>
              <w:ind w:left="1144"/>
              <w:spacing w:after="0"/>
              <w:rPr>
                <w:sz w:val="20"/>
                <w:szCs w:val="20"/>
                <w:color w:val="auto"/>
              </w:rPr>
            </w:pPr>
            <w:r>
              <w:rPr>
                <w:rFonts w:ascii="Arial" w:cs="Arial" w:eastAsia="Arial" w:hAnsi="Arial"/>
                <w:sz w:val="15"/>
                <w:szCs w:val="15"/>
                <w:color w:val="auto"/>
                <w:w w:val="95"/>
              </w:rPr>
              <w:t>0.8</w:t>
            </w:r>
          </w:p>
        </w:tc>
      </w:tr>
      <w:tr>
        <w:trPr>
          <w:trHeight w:val="207"/>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GTSC equity income</w:t>
            </w: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center"/>
              <w:ind w:left="1144"/>
              <w:spacing w:after="0"/>
              <w:rPr>
                <w:sz w:val="20"/>
                <w:szCs w:val="20"/>
                <w:color w:val="auto"/>
              </w:rPr>
            </w:pPr>
            <w:r>
              <w:rPr>
                <w:rFonts w:ascii="Arial" w:cs="Arial" w:eastAsia="Arial" w:hAnsi="Arial"/>
                <w:sz w:val="15"/>
                <w:szCs w:val="15"/>
                <w:color w:val="auto"/>
                <w:w w:val="95"/>
              </w:rPr>
              <w:t>1.2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jc w:val="center"/>
              <w:ind w:left="1144"/>
              <w:spacing w:after="0"/>
              <w:rPr>
                <w:sz w:val="20"/>
                <w:szCs w:val="20"/>
                <w:color w:val="auto"/>
              </w:rPr>
            </w:pPr>
            <w:r>
              <w:rPr>
                <w:rFonts w:ascii="Arial" w:cs="Arial" w:eastAsia="Arial" w:hAnsi="Arial"/>
                <w:sz w:val="15"/>
                <w:szCs w:val="15"/>
                <w:color w:val="auto"/>
                <w:w w:val="95"/>
              </w:rPr>
              <w:t>1.2</w:t>
            </w:r>
          </w:p>
        </w:tc>
      </w:tr>
      <w:tr>
        <w:trPr>
          <w:trHeight w:val="198"/>
        </w:trPr>
        <w:tc>
          <w:tcPr>
            <w:tcW w:w="74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SV Lift equity loss</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left="1124"/>
              <w:spacing w:after="0"/>
              <w:rPr>
                <w:sz w:val="20"/>
                <w:szCs w:val="20"/>
                <w:color w:val="auto"/>
              </w:rPr>
            </w:pPr>
            <w:r>
              <w:rPr>
                <w:rFonts w:ascii="Arial" w:cs="Arial" w:eastAsia="Arial" w:hAnsi="Arial"/>
                <w:sz w:val="15"/>
                <w:szCs w:val="15"/>
                <w:color w:val="auto"/>
                <w:w w:val="97"/>
              </w:rPr>
              <w:t>(0.2)</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left="1124"/>
              <w:spacing w:after="0"/>
              <w:rPr>
                <w:sz w:val="20"/>
                <w:szCs w:val="20"/>
                <w:color w:val="auto"/>
              </w:rPr>
            </w:pPr>
            <w:r>
              <w:rPr>
                <w:rFonts w:ascii="Arial" w:cs="Arial" w:eastAsia="Arial" w:hAnsi="Arial"/>
                <w:sz w:val="15"/>
                <w:szCs w:val="15"/>
                <w:color w:val="auto"/>
                <w:w w:val="97"/>
              </w:rPr>
              <w:t>(0.3)</w:t>
            </w:r>
          </w:p>
        </w:tc>
      </w:tr>
      <w:tr>
        <w:trPr>
          <w:trHeight w:val="225"/>
        </w:trPr>
        <w:tc>
          <w:tcPr>
            <w:tcW w:w="7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b w:val="1"/>
                <w:bCs w:val="1"/>
                <w:color w:val="auto"/>
              </w:rPr>
              <w:t>Total Income from Nonconsolidated Affiliates</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center"/>
              <w:ind w:left="1144"/>
              <w:spacing w:after="0"/>
              <w:rPr>
                <w:sz w:val="20"/>
                <w:szCs w:val="20"/>
                <w:color w:val="auto"/>
              </w:rPr>
            </w:pPr>
            <w:r>
              <w:rPr>
                <w:rFonts w:ascii="Arial" w:cs="Arial" w:eastAsia="Arial" w:hAnsi="Arial"/>
                <w:sz w:val="15"/>
                <w:szCs w:val="15"/>
                <w:color w:val="auto"/>
                <w:w w:val="95"/>
              </w:rPr>
              <w:t>0.9</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center"/>
              <w:ind w:left="1144"/>
              <w:spacing w:after="0"/>
              <w:rPr>
                <w:sz w:val="20"/>
                <w:szCs w:val="20"/>
                <w:color w:val="auto"/>
              </w:rPr>
            </w:pPr>
            <w:r>
              <w:rPr>
                <w:rFonts w:ascii="Arial" w:cs="Arial" w:eastAsia="Arial" w:hAnsi="Arial"/>
                <w:sz w:val="15"/>
                <w:szCs w:val="15"/>
                <w:color w:val="auto"/>
                <w:w w:val="95"/>
              </w:rPr>
              <w:t>1.2</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Our Equity income in OFS for the three months ended March 31, 2022, and 2021 was immaterial to disclose.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GTSC investment balance is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4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ind w:right="684"/>
              <w:spacing w:after="0"/>
              <w:rPr>
                <w:sz w:val="20"/>
                <w:szCs w:val="20"/>
                <w:color w:val="auto"/>
              </w:rPr>
            </w:pPr>
            <w:r>
              <w:rPr>
                <w:rFonts w:ascii="Arial" w:cs="Arial" w:eastAsia="Arial" w:hAnsi="Arial"/>
                <w:sz w:val="15"/>
                <w:szCs w:val="15"/>
                <w:b w:val="1"/>
                <w:bCs w:val="1"/>
                <w:color w:val="auto"/>
              </w:rPr>
              <w:t>Year Ended</w:t>
            </w:r>
          </w:p>
        </w:tc>
      </w:tr>
      <w:tr>
        <w:trPr>
          <w:trHeight w:val="207"/>
        </w:trPr>
        <w:tc>
          <w:tcPr>
            <w:tcW w:w="640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March 31, 2022</w:t>
            </w:r>
          </w:p>
        </w:tc>
        <w:tc>
          <w:tcPr>
            <w:tcW w:w="40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December 31, 2021</w:t>
            </w:r>
          </w:p>
        </w:tc>
      </w:tr>
      <w:tr>
        <w:trPr>
          <w:trHeight w:val="200"/>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Beginning balance</w:t>
            </w:r>
          </w:p>
        </w:tc>
        <w:tc>
          <w:tcPr>
            <w:tcW w:w="1900" w:type="dxa"/>
            <w:vAlign w:val="bottom"/>
            <w:shd w:val="clear" w:color="auto" w:fill="CCEEFF"/>
          </w:tcPr>
          <w:p>
            <w:pPr>
              <w:jc w:val="right"/>
              <w:ind w:right="1744"/>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w:t>
            </w:r>
          </w:p>
        </w:tc>
      </w:tr>
      <w:tr>
        <w:trPr>
          <w:trHeight w:val="198"/>
        </w:trPr>
        <w:tc>
          <w:tcPr>
            <w:tcW w:w="6400" w:type="dxa"/>
            <w:vAlign w:val="bottom"/>
          </w:tcPr>
          <w:p>
            <w:pPr>
              <w:ind w:left="20"/>
              <w:spacing w:after="0"/>
              <w:rPr>
                <w:sz w:val="20"/>
                <w:szCs w:val="20"/>
                <w:color w:val="auto"/>
              </w:rPr>
            </w:pPr>
            <w:r>
              <w:rPr>
                <w:rFonts w:ascii="Arial" w:cs="Arial" w:eastAsia="Arial" w:hAnsi="Arial"/>
                <w:sz w:val="15"/>
                <w:szCs w:val="15"/>
                <w:color w:val="auto"/>
              </w:rPr>
              <w:t>Contributions</w:t>
            </w:r>
          </w:p>
        </w:tc>
        <w:tc>
          <w:tcPr>
            <w:tcW w:w="19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5.1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5"/>
                <w:szCs w:val="15"/>
                <w:color w:val="auto"/>
              </w:rPr>
              <w:t>27.3</w:t>
            </w:r>
          </w:p>
        </w:tc>
      </w:tr>
      <w:tr>
        <w:trPr>
          <w:trHeight w:val="207"/>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Distributions</w:t>
            </w:r>
          </w:p>
        </w:tc>
        <w:tc>
          <w:tcPr>
            <w:tcW w:w="19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r>
      <w:tr>
        <w:trPr>
          <w:trHeight w:val="198"/>
        </w:trPr>
        <w:tc>
          <w:tcPr>
            <w:tcW w:w="6400" w:type="dxa"/>
            <w:vAlign w:val="bottom"/>
          </w:tcPr>
          <w:p>
            <w:pPr>
              <w:ind w:left="20"/>
              <w:spacing w:after="0"/>
              <w:rPr>
                <w:sz w:val="20"/>
                <w:szCs w:val="20"/>
                <w:color w:val="auto"/>
              </w:rPr>
            </w:pPr>
            <w:r>
              <w:rPr>
                <w:rFonts w:ascii="Arial" w:cs="Arial" w:eastAsia="Arial" w:hAnsi="Arial"/>
                <w:sz w:val="15"/>
                <w:szCs w:val="15"/>
                <w:color w:val="auto"/>
              </w:rPr>
              <w:t>Equity earnings</w:t>
            </w:r>
          </w:p>
        </w:tc>
        <w:tc>
          <w:tcPr>
            <w:tcW w:w="19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203"/>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Fair value adjustment</w:t>
            </w:r>
          </w:p>
        </w:tc>
        <w:tc>
          <w:tcPr>
            <w:tcW w:w="19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w:t>
            </w:r>
          </w:p>
        </w:tc>
      </w:tr>
      <w:tr>
        <w:trPr>
          <w:trHeight w:val="200"/>
        </w:trPr>
        <w:tc>
          <w:tcPr>
            <w:tcW w:w="6400" w:type="dxa"/>
            <w:vAlign w:val="bottom"/>
          </w:tcPr>
          <w:p>
            <w:pPr>
              <w:ind w:left="120"/>
              <w:spacing w:after="0"/>
              <w:rPr>
                <w:sz w:val="20"/>
                <w:szCs w:val="20"/>
                <w:color w:val="auto"/>
              </w:rPr>
            </w:pPr>
            <w:r>
              <w:rPr>
                <w:rFonts w:ascii="Arial" w:cs="Arial" w:eastAsia="Arial" w:hAnsi="Arial"/>
                <w:sz w:val="15"/>
                <w:szCs w:val="15"/>
                <w:b w:val="1"/>
                <w:bCs w:val="1"/>
                <w:color w:val="auto"/>
              </w:rPr>
              <w:t>Ending Balance</w:t>
            </w:r>
          </w:p>
        </w:tc>
        <w:tc>
          <w:tcPr>
            <w:tcW w:w="1900" w:type="dxa"/>
            <w:vAlign w:val="bottom"/>
            <w:tcBorders>
              <w:bottom w:val="single" w:sz="8" w:color="auto"/>
            </w:tcBorders>
          </w:tcPr>
          <w:p>
            <w:pPr>
              <w:jc w:val="right"/>
              <w:ind w:right="1744"/>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37.3</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35.7</w:t>
            </w:r>
          </w:p>
        </w:tc>
      </w:tr>
      <w:tr>
        <w:trPr>
          <w:trHeight w:val="20"/>
        </w:trPr>
        <w:tc>
          <w:tcPr>
            <w:tcW w:w="64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Sungenia JV investment balance is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4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ind w:right="684"/>
              <w:spacing w:after="0"/>
              <w:rPr>
                <w:sz w:val="20"/>
                <w:szCs w:val="20"/>
                <w:color w:val="auto"/>
              </w:rPr>
            </w:pPr>
            <w:r>
              <w:rPr>
                <w:rFonts w:ascii="Arial" w:cs="Arial" w:eastAsia="Arial" w:hAnsi="Arial"/>
                <w:sz w:val="15"/>
                <w:szCs w:val="15"/>
                <w:b w:val="1"/>
                <w:bCs w:val="1"/>
                <w:color w:val="auto"/>
              </w:rPr>
              <w:t>Year Ended</w:t>
            </w:r>
          </w:p>
        </w:tc>
      </w:tr>
      <w:tr>
        <w:trPr>
          <w:trHeight w:val="206"/>
        </w:trPr>
        <w:tc>
          <w:tcPr>
            <w:tcW w:w="640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March 31, 2022</w:t>
            </w:r>
          </w:p>
        </w:tc>
        <w:tc>
          <w:tcPr>
            <w:tcW w:w="40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December 31, 2021</w:t>
            </w:r>
          </w:p>
        </w:tc>
      </w:tr>
      <w:tr>
        <w:trPr>
          <w:trHeight w:val="200"/>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Beginning balance</w:t>
            </w:r>
          </w:p>
        </w:tc>
        <w:tc>
          <w:tcPr>
            <w:tcW w:w="1900" w:type="dxa"/>
            <w:vAlign w:val="bottom"/>
            <w:shd w:val="clear" w:color="auto" w:fill="CCEEFF"/>
          </w:tcPr>
          <w:p>
            <w:pPr>
              <w:jc w:val="right"/>
              <w:ind w:right="1744"/>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36.2</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w:t>
            </w:r>
          </w:p>
        </w:tc>
      </w:tr>
      <w:tr>
        <w:trPr>
          <w:trHeight w:val="199"/>
        </w:trPr>
        <w:tc>
          <w:tcPr>
            <w:tcW w:w="6400" w:type="dxa"/>
            <w:vAlign w:val="bottom"/>
          </w:tcPr>
          <w:p>
            <w:pPr>
              <w:ind w:left="20"/>
              <w:spacing w:after="0"/>
              <w:rPr>
                <w:sz w:val="20"/>
                <w:szCs w:val="20"/>
                <w:color w:val="auto"/>
              </w:rPr>
            </w:pPr>
            <w:r>
              <w:rPr>
                <w:rFonts w:ascii="Arial" w:cs="Arial" w:eastAsia="Arial" w:hAnsi="Arial"/>
                <w:sz w:val="15"/>
                <w:szCs w:val="15"/>
                <w:color w:val="auto"/>
              </w:rPr>
              <w:t>Cumulative translation adjustment</w:t>
            </w:r>
          </w:p>
        </w:tc>
        <w:tc>
          <w:tcPr>
            <w:tcW w:w="19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(0.2)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06"/>
        </w:trPr>
        <w:tc>
          <w:tcPr>
            <w:tcW w:w="6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Contributions</w:t>
            </w:r>
          </w:p>
        </w:tc>
        <w:tc>
          <w:tcPr>
            <w:tcW w:w="19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r>
      <w:tr>
        <w:trPr>
          <w:trHeight w:val="19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Equity earnings</w:t>
            </w:r>
          </w:p>
        </w:tc>
        <w:tc>
          <w:tcPr>
            <w:tcW w:w="19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w:t>
            </w:r>
          </w:p>
        </w:tc>
      </w:tr>
      <w:tr>
        <w:trPr>
          <w:trHeight w:val="225"/>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b w:val="1"/>
                <w:bCs w:val="1"/>
                <w:color w:val="auto"/>
              </w:rPr>
              <w:t>Ending Balance</w:t>
            </w:r>
          </w:p>
        </w:tc>
        <w:tc>
          <w:tcPr>
            <w:tcW w:w="1900" w:type="dxa"/>
            <w:vAlign w:val="bottom"/>
            <w:tcBorders>
              <w:bottom w:val="single" w:sz="8" w:color="auto"/>
            </w:tcBorders>
            <w:shd w:val="clear" w:color="auto" w:fill="CCEEFF"/>
          </w:tcPr>
          <w:p>
            <w:pPr>
              <w:jc w:val="right"/>
              <w:ind w:right="1744"/>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36.6</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Variable Interest Entities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Operating Partnership</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consolidate the Operating Partnership under the guidance set forth in ASC 810 "</w:t>
      </w:r>
      <w:r>
        <w:rPr>
          <w:rFonts w:ascii="Arial" w:cs="Arial" w:eastAsia="Arial" w:hAnsi="Arial"/>
          <w:sz w:val="17"/>
          <w:szCs w:val="17"/>
          <w:i w:val="1"/>
          <w:iCs w:val="1"/>
          <w:color w:val="auto"/>
        </w:rPr>
        <w:t>Consolidation</w:t>
      </w:r>
      <w:r>
        <w:rPr>
          <w:rFonts w:ascii="Arial" w:cs="Arial" w:eastAsia="Arial" w:hAnsi="Arial"/>
          <w:sz w:val="17"/>
          <w:szCs w:val="17"/>
          <w:color w:val="auto"/>
        </w:rPr>
        <w:t>." We evaluated whether the Operating Partnership met the criteria for classification as a variable interest entity ("VIE") or, alternatively, as a voting interest entity and concluded that the Operating Partnership met the criteria of a VIE. Our significant asset is our investment in the Operating Partnership, and consequently, substantially all of our assets and liabilities represent those assets and liabilities of the Operating Partnership. We are the sole general partner and generally have the power to manage and have complete control over the Operating Partnership and the obligation to absorb its losses or the right to receive its benefits.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Consolidated VIEs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consolidate Sun NG RV Resorts LLC ("Sun NG Resorts"); Rudgate Village SPE, LLC, Rudgate Clinton SPE, LLC, and Rudgate Clinton Estates SPE, LLC; Sun NG Whitewater RV Resorts LLC; FPG Sun Menifee 80 LLC, SHM South Fork JV, LLC; Sun Solar Energy Project LLC, Sun Solar Energy Project CA II, and FPG Sun Moreno Valley 66 LLC under the guidance set forth in ASC Topic 810 "</w:t>
      </w:r>
      <w:r>
        <w:rPr>
          <w:rFonts w:ascii="Arial" w:cs="Arial" w:eastAsia="Arial" w:hAnsi="Arial"/>
          <w:sz w:val="17"/>
          <w:szCs w:val="17"/>
          <w:i w:val="1"/>
          <w:iCs w:val="1"/>
          <w:color w:val="auto"/>
        </w:rPr>
        <w:t>Consolidation</w:t>
      </w:r>
      <w:r>
        <w:rPr>
          <w:rFonts w:ascii="Arial" w:cs="Arial" w:eastAsia="Arial" w:hAnsi="Arial"/>
          <w:sz w:val="17"/>
          <w:szCs w:val="17"/>
          <w:color w:val="auto"/>
        </w:rPr>
        <w:t>." We concluded that each entity is a VIE where we are the primary beneficiary, as we have the power to direct the significant activities of, and absorb the significant losses and receive the significant benefits from each entity. Refer to Note 8, "Debt and Line of Credit," for additional information on Sun NG Resorts.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assets and liabilities of our consolidated VIEs, with the exception of the Operating Partnership, included in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after eliminations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26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March 31, 2022</w:t>
            </w:r>
          </w:p>
        </w:tc>
        <w:tc>
          <w:tcPr>
            <w:tcW w:w="4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w w:val="97"/>
              </w:rPr>
              <w:t>December 31, 2021</w:t>
            </w:r>
          </w:p>
        </w:tc>
      </w:tr>
      <w:tr>
        <w:trPr>
          <w:trHeight w:val="185"/>
        </w:trPr>
        <w:tc>
          <w:tcPr>
            <w:tcW w:w="726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1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07"/>
        </w:trPr>
        <w:tc>
          <w:tcPr>
            <w:tcW w:w="7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Investment property, net</w:t>
            </w:r>
          </w:p>
        </w:tc>
        <w:tc>
          <w:tcPr>
            <w:tcW w:w="1460" w:type="dxa"/>
            <w:vAlign w:val="bottom"/>
            <w:shd w:val="clear" w:color="auto" w:fill="CCEEFF"/>
          </w:tcPr>
          <w:p>
            <w:pPr>
              <w:jc w:val="right"/>
              <w:ind w:right="1284"/>
              <w:spacing w:after="0"/>
              <w:rPr>
                <w:sz w:val="20"/>
                <w:szCs w:val="20"/>
                <w:color w:val="auto"/>
              </w:rPr>
            </w:pPr>
            <w:r>
              <w:rPr>
                <w:rFonts w:ascii="Arial" w:cs="Arial" w:eastAsia="Arial" w:hAnsi="Arial"/>
                <w:sz w:val="15"/>
                <w:szCs w:val="15"/>
                <w:color w:val="auto"/>
                <w:w w:val="9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699.4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623.5</w:t>
            </w:r>
          </w:p>
        </w:tc>
      </w:tr>
      <w:tr>
        <w:trPr>
          <w:trHeight w:val="198"/>
        </w:trPr>
        <w:tc>
          <w:tcPr>
            <w:tcW w:w="726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w:t>
            </w:r>
          </w:p>
        </w:tc>
        <w:tc>
          <w:tcPr>
            <w:tcW w:w="14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15.5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13.6</w:t>
            </w:r>
          </w:p>
        </w:tc>
      </w:tr>
      <w:tr>
        <w:trPr>
          <w:trHeight w:val="207"/>
        </w:trPr>
        <w:tc>
          <w:tcPr>
            <w:tcW w:w="7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intangible assets, net</w:t>
            </w: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w:t>
            </w:r>
          </w:p>
        </w:tc>
      </w:tr>
      <w:tr>
        <w:trPr>
          <w:trHeight w:val="198"/>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assets, net</w:t>
            </w:r>
          </w:p>
        </w:tc>
        <w:tc>
          <w:tcPr>
            <w:tcW w:w="14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w:t>
            </w:r>
          </w:p>
        </w:tc>
      </w:tr>
      <w:tr>
        <w:trPr>
          <w:trHeight w:val="225"/>
        </w:trPr>
        <w:tc>
          <w:tcPr>
            <w:tcW w:w="7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Total Assets</w:t>
            </w:r>
          </w:p>
        </w:tc>
        <w:tc>
          <w:tcPr>
            <w:tcW w:w="1460" w:type="dxa"/>
            <w:vAlign w:val="bottom"/>
            <w:tcBorders>
              <w:bottom w:val="single" w:sz="8" w:color="auto"/>
            </w:tcBorders>
            <w:shd w:val="clear" w:color="auto" w:fill="CCEEFF"/>
          </w:tcPr>
          <w:p>
            <w:pPr>
              <w:jc w:val="right"/>
              <w:ind w:right="1284"/>
              <w:spacing w:after="0"/>
              <w:rPr>
                <w:sz w:val="20"/>
                <w:szCs w:val="20"/>
                <w:color w:val="auto"/>
              </w:rPr>
            </w:pPr>
            <w:r>
              <w:rPr>
                <w:rFonts w:ascii="Arial" w:cs="Arial" w:eastAsia="Arial" w:hAnsi="Arial"/>
                <w:sz w:val="15"/>
                <w:szCs w:val="15"/>
                <w:color w:val="auto"/>
                <w:w w:val="9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0"/>
              </w:rPr>
              <w:t>735.4</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655.8</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03"/>
        </w:trPr>
        <w:tc>
          <w:tcPr>
            <w:tcW w:w="7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Other Equity</w:t>
            </w: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198"/>
        </w:trPr>
        <w:tc>
          <w:tcPr>
            <w:tcW w:w="7260" w:type="dxa"/>
            <w:vAlign w:val="bottom"/>
          </w:tcPr>
          <w:p>
            <w:pPr>
              <w:ind w:left="20"/>
              <w:spacing w:after="0"/>
              <w:rPr>
                <w:sz w:val="20"/>
                <w:szCs w:val="20"/>
                <w:color w:val="auto"/>
              </w:rPr>
            </w:pPr>
            <w:r>
              <w:rPr>
                <w:rFonts w:ascii="Arial" w:cs="Arial" w:eastAsia="Arial" w:hAnsi="Arial"/>
                <w:sz w:val="15"/>
                <w:szCs w:val="15"/>
                <w:color w:val="auto"/>
              </w:rPr>
              <w:t>Secured debt</w:t>
            </w:r>
          </w:p>
        </w:tc>
        <w:tc>
          <w:tcPr>
            <w:tcW w:w="1460" w:type="dxa"/>
            <w:vAlign w:val="bottom"/>
          </w:tcPr>
          <w:p>
            <w:pPr>
              <w:jc w:val="right"/>
              <w:ind w:right="1284"/>
              <w:spacing w:after="0"/>
              <w:rPr>
                <w:sz w:val="20"/>
                <w:szCs w:val="20"/>
                <w:color w:val="auto"/>
              </w:rPr>
            </w:pPr>
            <w:r>
              <w:rPr>
                <w:rFonts w:ascii="Arial" w:cs="Arial" w:eastAsia="Arial" w:hAnsi="Arial"/>
                <w:sz w:val="15"/>
                <w:szCs w:val="15"/>
                <w:color w:val="auto"/>
                <w:w w:val="95"/>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53.1</w:t>
            </w:r>
          </w:p>
        </w:tc>
        <w:tc>
          <w:tcPr>
            <w:tcW w:w="24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52.6</w:t>
            </w:r>
          </w:p>
        </w:tc>
      </w:tr>
      <w:tr>
        <w:trPr>
          <w:trHeight w:val="207"/>
        </w:trPr>
        <w:tc>
          <w:tcPr>
            <w:tcW w:w="7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Unsecured debt</w:t>
            </w: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w:t>
            </w:r>
          </w:p>
        </w:tc>
      </w:tr>
      <w:tr>
        <w:trPr>
          <w:trHeight w:val="198"/>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liabilities</w:t>
            </w:r>
          </w:p>
        </w:tc>
        <w:tc>
          <w:tcPr>
            <w:tcW w:w="14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0"/>
              </w:rPr>
              <w:t>123.2</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94.0</w:t>
            </w:r>
          </w:p>
        </w:tc>
      </w:tr>
      <w:tr>
        <w:trPr>
          <w:trHeight w:val="200"/>
        </w:trPr>
        <w:tc>
          <w:tcPr>
            <w:tcW w:w="726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 Liabilities</w:t>
            </w: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211.5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181.8</w:t>
            </w:r>
          </w:p>
        </w:tc>
      </w:tr>
      <w:tr>
        <w:trPr>
          <w:trHeight w:val="198"/>
        </w:trPr>
        <w:tc>
          <w:tcPr>
            <w:tcW w:w="7260" w:type="dxa"/>
            <w:vAlign w:val="bottom"/>
          </w:tcPr>
          <w:p>
            <w:pPr>
              <w:ind w:left="20"/>
              <w:spacing w:after="0"/>
              <w:rPr>
                <w:sz w:val="20"/>
                <w:szCs w:val="20"/>
                <w:color w:val="auto"/>
              </w:rPr>
            </w:pPr>
            <w:r>
              <w:rPr>
                <w:rFonts w:ascii="Arial" w:cs="Arial" w:eastAsia="Arial" w:hAnsi="Arial"/>
                <w:sz w:val="15"/>
                <w:szCs w:val="15"/>
                <w:color w:val="auto"/>
              </w:rPr>
              <w:t>Temporary equity</w:t>
            </w:r>
          </w:p>
        </w:tc>
        <w:tc>
          <w:tcPr>
            <w:tcW w:w="14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32.3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35.4</w:t>
            </w:r>
          </w:p>
        </w:tc>
      </w:tr>
      <w:tr>
        <w:trPr>
          <w:trHeight w:val="203"/>
        </w:trPr>
        <w:tc>
          <w:tcPr>
            <w:tcW w:w="7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Noncontrolling interests</w:t>
            </w:r>
          </w:p>
        </w:tc>
        <w:tc>
          <w:tcPr>
            <w:tcW w:w="14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w:t>
            </w:r>
          </w:p>
        </w:tc>
      </w:tr>
      <w:tr>
        <w:trPr>
          <w:trHeight w:val="200"/>
        </w:trPr>
        <w:tc>
          <w:tcPr>
            <w:tcW w:w="7260" w:type="dxa"/>
            <w:vAlign w:val="bottom"/>
          </w:tcPr>
          <w:p>
            <w:pPr>
              <w:ind w:left="20"/>
              <w:spacing w:after="0"/>
              <w:rPr>
                <w:sz w:val="20"/>
                <w:szCs w:val="20"/>
                <w:color w:val="auto"/>
              </w:rPr>
            </w:pPr>
            <w:r>
              <w:rPr>
                <w:rFonts w:ascii="Arial" w:cs="Arial" w:eastAsia="Arial" w:hAnsi="Arial"/>
                <w:sz w:val="15"/>
                <w:szCs w:val="15"/>
                <w:b w:val="1"/>
                <w:bCs w:val="1"/>
                <w:color w:val="auto"/>
              </w:rPr>
              <w:t>Total Liabilities and Other Equity</w:t>
            </w:r>
          </w:p>
        </w:tc>
        <w:tc>
          <w:tcPr>
            <w:tcW w:w="1460" w:type="dxa"/>
            <w:vAlign w:val="bottom"/>
            <w:tcBorders>
              <w:bottom w:val="single" w:sz="8" w:color="auto"/>
            </w:tcBorders>
          </w:tcPr>
          <w:p>
            <w:pPr>
              <w:jc w:val="right"/>
              <w:ind w:right="1284"/>
              <w:spacing w:after="0"/>
              <w:rPr>
                <w:sz w:val="20"/>
                <w:szCs w:val="20"/>
                <w:color w:val="auto"/>
              </w:rPr>
            </w:pPr>
            <w:r>
              <w:rPr>
                <w:rFonts w:ascii="Arial" w:cs="Arial" w:eastAsia="Arial" w:hAnsi="Arial"/>
                <w:sz w:val="15"/>
                <w:szCs w:val="15"/>
                <w:color w:val="auto"/>
                <w:w w:val="95"/>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0"/>
              </w:rPr>
              <w:t>264.1</w:t>
            </w:r>
          </w:p>
        </w:tc>
        <w:tc>
          <w:tcPr>
            <w:tcW w:w="24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236.6</w:t>
            </w:r>
          </w:p>
        </w:tc>
      </w:tr>
      <w:tr>
        <w:trPr>
          <w:trHeight w:val="20"/>
        </w:trPr>
        <w:tc>
          <w:tcPr>
            <w:tcW w:w="72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Total assets related to the consolidated VIEs, with the exception of the Operating Partnership, comprised 5.3 percent and 4.9 percent of our consolidated total assets at March 31, 2022 and December 31, 2021, respectively. Total liabilities comprised 3.0 percent and 2.8 percent of our consolidated total liabilities at March 31, 2022 and December 31, 2021, respectively. Equity Interests and Noncontrolling interests related to the consolidated VIEs, on an absolute basis, comprised less than 1.0 percent of our consolidated total equity at March 31,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20" w:hanging="412"/>
        <w:spacing w:after="0"/>
        <w:tabs>
          <w:tab w:leader="none" w:pos="4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Debt and Line of Credit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certain information regarding debt including premiums, discounts and deferred financing costs (in millions, except for statistical information):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4"/>
            <w:vMerge w:val="restart"/>
          </w:tcPr>
          <w:p>
            <w:pPr>
              <w:jc w:val="right"/>
              <w:ind w:right="544"/>
              <w:spacing w:after="0"/>
              <w:rPr>
                <w:sz w:val="20"/>
                <w:szCs w:val="20"/>
                <w:color w:val="auto"/>
              </w:rPr>
            </w:pPr>
            <w:r>
              <w:rPr>
                <w:rFonts w:ascii="Arial" w:cs="Arial" w:eastAsia="Arial" w:hAnsi="Arial"/>
                <w:sz w:val="15"/>
                <w:szCs w:val="15"/>
                <w:b w:val="1"/>
                <w:bCs w:val="1"/>
                <w:color w:val="auto"/>
              </w:rPr>
              <w:t>Carrying Amount</w:t>
            </w:r>
          </w:p>
        </w:tc>
        <w:tc>
          <w:tcPr>
            <w:tcW w:w="100" w:type="dxa"/>
            <w:vAlign w:val="bottom"/>
          </w:tcPr>
          <w:p>
            <w:pPr>
              <w:spacing w:after="0"/>
              <w:rPr>
                <w:sz w:val="14"/>
                <w:szCs w:val="14"/>
                <w:color w:val="auto"/>
              </w:rPr>
            </w:pPr>
          </w:p>
        </w:tc>
        <w:tc>
          <w:tcPr>
            <w:tcW w:w="2540" w:type="dxa"/>
            <w:vAlign w:val="bottom"/>
            <w:gridSpan w:val="4"/>
          </w:tcPr>
          <w:p>
            <w:pPr>
              <w:ind w:left="620"/>
              <w:spacing w:after="0"/>
              <w:rPr>
                <w:sz w:val="20"/>
                <w:szCs w:val="20"/>
                <w:color w:val="auto"/>
              </w:rPr>
            </w:pPr>
            <w:r>
              <w:rPr>
                <w:rFonts w:ascii="Arial" w:cs="Arial" w:eastAsia="Arial" w:hAnsi="Arial"/>
                <w:sz w:val="15"/>
                <w:szCs w:val="15"/>
                <w:b w:val="1"/>
                <w:bCs w:val="1"/>
                <w:color w:val="auto"/>
              </w:rPr>
              <w:t>Weighted Average</w:t>
            </w:r>
          </w:p>
        </w:tc>
        <w:tc>
          <w:tcPr>
            <w:tcW w:w="2680" w:type="dxa"/>
            <w:vAlign w:val="bottom"/>
            <w:gridSpan w:val="3"/>
          </w:tcPr>
          <w:p>
            <w:pPr>
              <w:jc w:val="right"/>
              <w:ind w:right="664"/>
              <w:spacing w:after="0"/>
              <w:rPr>
                <w:sz w:val="20"/>
                <w:szCs w:val="20"/>
                <w:color w:val="auto"/>
              </w:rPr>
            </w:pPr>
            <w:r>
              <w:rPr>
                <w:rFonts w:ascii="Arial" w:cs="Arial" w:eastAsia="Arial" w:hAnsi="Arial"/>
                <w:sz w:val="15"/>
                <w:szCs w:val="15"/>
                <w:b w:val="1"/>
                <w:bCs w:val="1"/>
                <w:color w:val="auto"/>
              </w:rPr>
              <w:t>Weighted Average</w:t>
            </w:r>
          </w:p>
        </w:tc>
        <w:tc>
          <w:tcPr>
            <w:tcW w:w="0" w:type="dxa"/>
            <w:vAlign w:val="bottom"/>
          </w:tcPr>
          <w:p>
            <w:pPr>
              <w:spacing w:after="0"/>
              <w:rPr>
                <w:sz w:val="1"/>
                <w:szCs w:val="1"/>
                <w:color w:val="auto"/>
              </w:rPr>
            </w:pPr>
          </w:p>
        </w:tc>
      </w:tr>
      <w:tr>
        <w:trPr>
          <w:trHeight w:val="200"/>
        </w:trPr>
        <w:tc>
          <w:tcPr>
            <w:tcW w:w="3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4"/>
          </w:tcPr>
          <w:p>
            <w:pPr>
              <w:ind w:left="640"/>
              <w:spacing w:after="0"/>
              <w:rPr>
                <w:sz w:val="20"/>
                <w:szCs w:val="20"/>
                <w:color w:val="auto"/>
              </w:rPr>
            </w:pPr>
            <w:r>
              <w:rPr>
                <w:rFonts w:ascii="Arial" w:cs="Arial" w:eastAsia="Arial" w:hAnsi="Arial"/>
                <w:sz w:val="15"/>
                <w:szCs w:val="15"/>
                <w:b w:val="1"/>
                <w:bCs w:val="1"/>
                <w:color w:val="auto"/>
              </w:rPr>
              <w:t>Years to Maturity</w:t>
            </w:r>
          </w:p>
        </w:tc>
        <w:tc>
          <w:tcPr>
            <w:tcW w:w="2680" w:type="dxa"/>
            <w:vAlign w:val="bottom"/>
            <w:gridSpan w:val="3"/>
          </w:tcPr>
          <w:p>
            <w:pPr>
              <w:jc w:val="right"/>
              <w:ind w:right="804"/>
              <w:spacing w:after="0"/>
              <w:rPr>
                <w:sz w:val="20"/>
                <w:szCs w:val="20"/>
                <w:color w:val="auto"/>
              </w:rPr>
            </w:pPr>
            <w:r>
              <w:rPr>
                <w:rFonts w:ascii="Arial" w:cs="Arial" w:eastAsia="Arial" w:hAnsi="Arial"/>
                <w:sz w:val="15"/>
                <w:szCs w:val="15"/>
                <w:b w:val="1"/>
                <w:bCs w:val="1"/>
                <w:color w:val="auto"/>
              </w:rPr>
              <w:t>Interest Rates</w:t>
            </w: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1160" w:type="dxa"/>
            <w:vAlign w:val="bottom"/>
            <w:tcBorders>
              <w:top w:val="single" w:sz="8" w:color="auto"/>
            </w:tcBorders>
            <w:gridSpan w:val="2"/>
            <w:vMerge w:val="restart"/>
          </w:tcPr>
          <w:p>
            <w:pPr>
              <w:jc w:val="right"/>
              <w:ind w:right="4"/>
              <w:spacing w:after="0"/>
              <w:rPr>
                <w:sz w:val="20"/>
                <w:szCs w:val="20"/>
                <w:color w:val="auto"/>
              </w:rPr>
            </w:pPr>
            <w:r>
              <w:rPr>
                <w:rFonts w:ascii="Arial" w:cs="Arial" w:eastAsia="Arial" w:hAnsi="Arial"/>
                <w:sz w:val="15"/>
                <w:szCs w:val="15"/>
                <w:b w:val="1"/>
                <w:bCs w:val="1"/>
                <w:color w:val="auto"/>
                <w:w w:val="99"/>
              </w:rPr>
              <w:t>March 31, 2022</w:t>
            </w:r>
          </w:p>
        </w:tc>
        <w:tc>
          <w:tcPr>
            <w:tcW w:w="80" w:type="dxa"/>
            <w:vAlign w:val="bottom"/>
            <w:tcBorders>
              <w:top w:val="single" w:sz="8" w:color="auto"/>
            </w:tcBorders>
            <w:vMerge w:val="restart"/>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64"/>
              <w:spacing w:after="0" w:line="144" w:lineRule="exact"/>
              <w:rPr>
                <w:sz w:val="20"/>
                <w:szCs w:val="20"/>
                <w:color w:val="auto"/>
              </w:rPr>
            </w:pPr>
            <w:r>
              <w:rPr>
                <w:rFonts w:ascii="Arial" w:cs="Arial" w:eastAsia="Arial" w:hAnsi="Arial"/>
                <w:sz w:val="15"/>
                <w:szCs w:val="15"/>
                <w:b w:val="1"/>
                <w:bCs w:val="1"/>
                <w:color w:val="auto"/>
                <w:w w:val="92"/>
              </w:rPr>
              <w:t>December 31,</w:t>
            </w:r>
          </w:p>
        </w:tc>
        <w:tc>
          <w:tcPr>
            <w:tcW w:w="100" w:type="dxa"/>
            <w:vAlign w:val="bottom"/>
          </w:tcPr>
          <w:p>
            <w:pPr>
              <w:spacing w:after="0"/>
              <w:rPr>
                <w:sz w:val="12"/>
                <w:szCs w:val="12"/>
                <w:color w:val="auto"/>
              </w:rPr>
            </w:pPr>
          </w:p>
        </w:tc>
        <w:tc>
          <w:tcPr>
            <w:tcW w:w="118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5"/>
                <w:szCs w:val="15"/>
                <w:b w:val="1"/>
                <w:bCs w:val="1"/>
                <w:color w:val="auto"/>
              </w:rPr>
              <w:t>March 31, 2022</w:t>
            </w:r>
          </w:p>
        </w:tc>
        <w:tc>
          <w:tcPr>
            <w:tcW w:w="80" w:type="dxa"/>
            <w:vAlign w:val="bottom"/>
            <w:tcBorders>
              <w:top w:val="single" w:sz="8" w:color="auto"/>
            </w:tcBorders>
            <w:vMerge w:val="restart"/>
          </w:tcPr>
          <w:p>
            <w:pPr>
              <w:spacing w:after="0"/>
              <w:rPr>
                <w:sz w:val="12"/>
                <w:szCs w:val="12"/>
                <w:color w:val="auto"/>
              </w:rPr>
            </w:pPr>
          </w:p>
        </w:tc>
        <w:tc>
          <w:tcPr>
            <w:tcW w:w="1180" w:type="dxa"/>
            <w:vAlign w:val="bottom"/>
            <w:tcBorders>
              <w:top w:val="single" w:sz="8" w:color="auto"/>
            </w:tcBorders>
          </w:tcPr>
          <w:p>
            <w:pPr>
              <w:jc w:val="right"/>
              <w:ind w:right="64"/>
              <w:spacing w:after="0" w:line="144" w:lineRule="exact"/>
              <w:rPr>
                <w:sz w:val="20"/>
                <w:szCs w:val="20"/>
                <w:color w:val="auto"/>
              </w:rPr>
            </w:pPr>
            <w:r>
              <w:rPr>
                <w:rFonts w:ascii="Arial" w:cs="Arial" w:eastAsia="Arial" w:hAnsi="Arial"/>
                <w:sz w:val="15"/>
                <w:szCs w:val="15"/>
                <w:b w:val="1"/>
                <w:bCs w:val="1"/>
                <w:color w:val="auto"/>
              </w:rPr>
              <w:t>December 31,</w:t>
            </w:r>
          </w:p>
        </w:tc>
        <w:tc>
          <w:tcPr>
            <w:tcW w:w="100" w:type="dxa"/>
            <w:vAlign w:val="bottom"/>
          </w:tcPr>
          <w:p>
            <w:pPr>
              <w:spacing w:after="0"/>
              <w:rPr>
                <w:sz w:val="12"/>
                <w:szCs w:val="12"/>
                <w:color w:val="auto"/>
              </w:rPr>
            </w:pPr>
          </w:p>
        </w:tc>
        <w:tc>
          <w:tcPr>
            <w:tcW w:w="128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5"/>
                <w:szCs w:val="15"/>
                <w:b w:val="1"/>
                <w:bCs w:val="1"/>
                <w:color w:val="auto"/>
              </w:rPr>
              <w:t>March 31, 2022</w:t>
            </w:r>
          </w:p>
        </w:tc>
        <w:tc>
          <w:tcPr>
            <w:tcW w:w="100" w:type="dxa"/>
            <w:vAlign w:val="bottom"/>
            <w:tcBorders>
              <w:top w:val="single" w:sz="8" w:color="auto"/>
            </w:tcBorders>
            <w:vMerge w:val="restart"/>
          </w:tcPr>
          <w:p>
            <w:pPr>
              <w:spacing w:after="0"/>
              <w:rPr>
                <w:sz w:val="12"/>
                <w:szCs w:val="12"/>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w w:val="91"/>
              </w:rPr>
              <w:t>December 31, 2021</w:t>
            </w:r>
          </w:p>
        </w:tc>
        <w:tc>
          <w:tcPr>
            <w:tcW w:w="0" w:type="dxa"/>
            <w:vAlign w:val="bottom"/>
          </w:tcPr>
          <w:p>
            <w:pPr>
              <w:spacing w:after="0"/>
              <w:rPr>
                <w:sz w:val="1"/>
                <w:szCs w:val="1"/>
                <w:color w:val="auto"/>
              </w:rPr>
            </w:pPr>
          </w:p>
        </w:tc>
      </w:tr>
      <w:tr>
        <w:trPr>
          <w:trHeight w:val="200"/>
        </w:trPr>
        <w:tc>
          <w:tcPr>
            <w:tcW w:w="35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18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Secured Debt</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3,380.7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3.778 %</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3.779 %</w:t>
            </w:r>
          </w:p>
        </w:tc>
        <w:tc>
          <w:tcPr>
            <w:tcW w:w="0" w:type="dxa"/>
            <w:vAlign w:val="bottom"/>
          </w:tcPr>
          <w:p>
            <w:pPr>
              <w:spacing w:after="0"/>
              <w:rPr>
                <w:sz w:val="1"/>
                <w:szCs w:val="1"/>
                <w:color w:val="auto"/>
              </w:rPr>
            </w:pPr>
          </w:p>
        </w:tc>
      </w:tr>
      <w:tr>
        <w:trPr>
          <w:trHeight w:val="198"/>
        </w:trPr>
        <w:tc>
          <w:tcPr>
            <w:tcW w:w="3500" w:type="dxa"/>
            <w:vAlign w:val="bottom"/>
          </w:tcPr>
          <w:p>
            <w:pPr>
              <w:ind w:left="20"/>
              <w:spacing w:after="0"/>
              <w:rPr>
                <w:sz w:val="20"/>
                <w:szCs w:val="20"/>
                <w:color w:val="auto"/>
              </w:rPr>
            </w:pPr>
            <w:r>
              <w:rPr>
                <w:rFonts w:ascii="Arial" w:cs="Arial" w:eastAsia="Arial" w:hAnsi="Arial"/>
                <w:sz w:val="15"/>
                <w:szCs w:val="15"/>
                <w:color w:val="auto"/>
              </w:rPr>
              <w:t>Unsecured Debt</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Senior unsecured notes</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1,186.7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1,186.4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2.55 %</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2.55 %</w:t>
            </w:r>
          </w:p>
        </w:tc>
        <w:tc>
          <w:tcPr>
            <w:tcW w:w="0" w:type="dxa"/>
            <w:vAlign w:val="bottom"/>
          </w:tcPr>
          <w:p>
            <w:pPr>
              <w:spacing w:after="0"/>
              <w:rPr>
                <w:sz w:val="1"/>
                <w:szCs w:val="1"/>
                <w:color w:val="auto"/>
              </w:rPr>
            </w:pPr>
          </w:p>
        </w:tc>
      </w:tr>
      <w:tr>
        <w:trPr>
          <w:trHeight w:val="198"/>
        </w:trPr>
        <w:tc>
          <w:tcPr>
            <w:tcW w:w="3500" w:type="dxa"/>
            <w:vAlign w:val="bottom"/>
          </w:tcPr>
          <w:p>
            <w:pPr>
              <w:ind w:left="140"/>
              <w:spacing w:after="0"/>
              <w:rPr>
                <w:sz w:val="20"/>
                <w:szCs w:val="20"/>
                <w:color w:val="auto"/>
              </w:rPr>
            </w:pPr>
            <w:r>
              <w:rPr>
                <w:rFonts w:ascii="Arial" w:cs="Arial" w:eastAsia="Arial" w:hAnsi="Arial"/>
                <w:sz w:val="15"/>
                <w:szCs w:val="15"/>
                <w:color w:val="auto"/>
              </w:rPr>
              <w:t>Line of credit and other debt</w:t>
            </w: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1,453.3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1,034.8</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3.5</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1.25 %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0.978 %</w:t>
            </w:r>
          </w:p>
        </w:tc>
        <w:tc>
          <w:tcPr>
            <w:tcW w:w="0" w:type="dxa"/>
            <w:vAlign w:val="bottom"/>
          </w:tcPr>
          <w:p>
            <w:pPr>
              <w:spacing w:after="0"/>
              <w:rPr>
                <w:sz w:val="1"/>
                <w:szCs w:val="1"/>
                <w:color w:val="auto"/>
              </w:rPr>
            </w:pPr>
          </w:p>
        </w:tc>
      </w:tr>
      <w:tr>
        <w:trPr>
          <w:trHeight w:val="153"/>
        </w:trPr>
        <w:tc>
          <w:tcPr>
            <w:tcW w:w="350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Preferred equity - Sun NG Resorts - mandatorily</w:t>
            </w:r>
          </w:p>
        </w:tc>
        <w:tc>
          <w:tcPr>
            <w:tcW w:w="3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35.2</w:t>
            </w: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0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6.0 %</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6.0 %</w:t>
            </w:r>
          </w:p>
        </w:tc>
        <w:tc>
          <w:tcPr>
            <w:tcW w:w="0" w:type="dxa"/>
            <w:vAlign w:val="bottom"/>
          </w:tcPr>
          <w:p>
            <w:pPr>
              <w:spacing w:after="0"/>
              <w:rPr>
                <w:sz w:val="1"/>
                <w:szCs w:val="1"/>
                <w:color w:val="auto"/>
              </w:rPr>
            </w:pPr>
          </w:p>
        </w:tc>
      </w:tr>
      <w:tr>
        <w:trPr>
          <w:trHeight w:val="202"/>
        </w:trPr>
        <w:tc>
          <w:tcPr>
            <w:tcW w:w="3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redeemable</w:t>
            </w:r>
          </w:p>
        </w:tc>
        <w:tc>
          <w:tcPr>
            <w:tcW w:w="3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Preferred OP units - mandatorily redeemable</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34.7</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3.9</w:t>
            </w: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4.1</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5.932 %</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5.932 %</w:t>
            </w: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Unsecured Debt</w:t>
            </w:r>
          </w:p>
        </w:tc>
        <w:tc>
          <w:tcPr>
            <w:tcW w:w="3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2,709.9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2,291.1</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00" w:type="dxa"/>
            <w:vAlign w:val="bottom"/>
          </w:tcPr>
          <w:p>
            <w:pPr>
              <w:ind w:left="220"/>
              <w:spacing w:after="0"/>
              <w:rPr>
                <w:sz w:val="20"/>
                <w:szCs w:val="20"/>
                <w:color w:val="auto"/>
              </w:rPr>
            </w:pPr>
            <w:r>
              <w:rPr>
                <w:rFonts w:ascii="Arial" w:cs="Arial" w:eastAsia="Arial" w:hAnsi="Arial"/>
                <w:sz w:val="15"/>
                <w:szCs w:val="15"/>
                <w:color w:val="auto"/>
              </w:rPr>
              <w:t>Total Debt</w:t>
            </w: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6,076.5</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5,671.8</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8.1</w:t>
            </w:r>
          </w:p>
        </w:tc>
        <w:tc>
          <w:tcPr>
            <w:tcW w:w="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2.958 %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3.038 %</w:t>
            </w: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Secured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Secured debt consists of mortgage term loans.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2022, no mortgage term loans were paid off. During the year ended December 31, 2021, we paid off the following mortgage term loans (in millions, except for statistical information):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center"/>
              <w:ind w:right="44"/>
              <w:spacing w:after="0"/>
              <w:rPr>
                <w:sz w:val="20"/>
                <w:szCs w:val="20"/>
                <w:color w:val="auto"/>
              </w:rPr>
            </w:pPr>
            <w:r>
              <w:rPr>
                <w:rFonts w:ascii="Arial" w:cs="Arial" w:eastAsia="Arial" w:hAnsi="Arial"/>
                <w:sz w:val="15"/>
                <w:szCs w:val="15"/>
                <w:b w:val="1"/>
                <w:bCs w:val="1"/>
                <w:color w:val="auto"/>
                <w:w w:val="86"/>
              </w:rPr>
              <w:t>Loss on</w:t>
            </w:r>
          </w:p>
        </w:tc>
        <w:tc>
          <w:tcPr>
            <w:tcW w:w="0" w:type="dxa"/>
            <w:vAlign w:val="bottom"/>
          </w:tcPr>
          <w:p>
            <w:pPr>
              <w:spacing w:after="0"/>
              <w:rPr>
                <w:sz w:val="1"/>
                <w:szCs w:val="1"/>
                <w:color w:val="auto"/>
              </w:rPr>
            </w:pPr>
          </w:p>
        </w:tc>
      </w:tr>
      <w:tr>
        <w:trPr>
          <w:trHeight w:val="148"/>
        </w:trPr>
        <w:tc>
          <w:tcPr>
            <w:tcW w:w="3820" w:type="dxa"/>
            <w:vAlign w:val="bottom"/>
            <w:vMerge w:val="restart"/>
          </w:tcPr>
          <w:p>
            <w:pPr>
              <w:ind w:left="1700"/>
              <w:spacing w:after="0"/>
              <w:rPr>
                <w:sz w:val="20"/>
                <w:szCs w:val="20"/>
                <w:color w:val="auto"/>
              </w:rPr>
            </w:pPr>
            <w:r>
              <w:rPr>
                <w:rFonts w:ascii="Arial" w:cs="Arial" w:eastAsia="Arial" w:hAnsi="Arial"/>
                <w:sz w:val="15"/>
                <w:szCs w:val="15"/>
                <w:b w:val="1"/>
                <w:bCs w:val="1"/>
                <w:color w:val="auto"/>
              </w:rPr>
              <w:t>Period</w:t>
            </w:r>
          </w:p>
        </w:tc>
        <w:tc>
          <w:tcPr>
            <w:tcW w:w="280" w:type="dxa"/>
            <w:vAlign w:val="bottom"/>
            <w:vMerge w:val="restart"/>
          </w:tcPr>
          <w:p>
            <w:pPr>
              <w:spacing w:after="0"/>
              <w:rPr>
                <w:sz w:val="12"/>
                <w:szCs w:val="12"/>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w w:val="95"/>
              </w:rPr>
              <w:t>Repayment Amount</w:t>
            </w:r>
          </w:p>
        </w:tc>
        <w:tc>
          <w:tcPr>
            <w:tcW w:w="280" w:type="dxa"/>
            <w:vAlign w:val="bottom"/>
          </w:tcPr>
          <w:p>
            <w:pPr>
              <w:spacing w:after="0"/>
              <w:rPr>
                <w:sz w:val="12"/>
                <w:szCs w:val="12"/>
                <w:color w:val="auto"/>
              </w:rPr>
            </w:pPr>
          </w:p>
        </w:tc>
        <w:tc>
          <w:tcPr>
            <w:tcW w:w="154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Fixed Interest Rate</w:t>
            </w:r>
          </w:p>
        </w:tc>
        <w:tc>
          <w:tcPr>
            <w:tcW w:w="280" w:type="dxa"/>
            <w:vAlign w:val="bottom"/>
            <w:vMerge w:val="restart"/>
          </w:tcPr>
          <w:p>
            <w:pPr>
              <w:spacing w:after="0"/>
              <w:rPr>
                <w:sz w:val="12"/>
                <w:szCs w:val="12"/>
                <w:color w:val="auto"/>
              </w:rPr>
            </w:pPr>
          </w:p>
        </w:tc>
        <w:tc>
          <w:tcPr>
            <w:tcW w:w="1880" w:type="dxa"/>
            <w:vAlign w:val="bottom"/>
            <w:vMerge w:val="restart"/>
          </w:tcPr>
          <w:p>
            <w:pPr>
              <w:ind w:left="460"/>
              <w:spacing w:after="0"/>
              <w:rPr>
                <w:sz w:val="20"/>
                <w:szCs w:val="20"/>
                <w:color w:val="auto"/>
              </w:rPr>
            </w:pPr>
            <w:r>
              <w:rPr>
                <w:rFonts w:ascii="Arial" w:cs="Arial" w:eastAsia="Arial" w:hAnsi="Arial"/>
                <w:sz w:val="15"/>
                <w:szCs w:val="15"/>
                <w:b w:val="1"/>
                <w:bCs w:val="1"/>
                <w:color w:val="auto"/>
              </w:rPr>
              <w:t>Maturity Date</w:t>
            </w:r>
          </w:p>
        </w:tc>
        <w:tc>
          <w:tcPr>
            <w:tcW w:w="2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44"/>
              <w:spacing w:after="0" w:line="149" w:lineRule="exact"/>
              <w:rPr>
                <w:sz w:val="20"/>
                <w:szCs w:val="20"/>
                <w:color w:val="auto"/>
              </w:rPr>
            </w:pPr>
            <w:r>
              <w:rPr>
                <w:rFonts w:ascii="Arial" w:cs="Arial" w:eastAsia="Arial" w:hAnsi="Arial"/>
                <w:sz w:val="15"/>
                <w:szCs w:val="15"/>
                <w:b w:val="1"/>
                <w:bCs w:val="1"/>
                <w:color w:val="auto"/>
                <w:w w:val="93"/>
              </w:rPr>
              <w:t>Extinguishment of</w:t>
            </w:r>
          </w:p>
        </w:tc>
        <w:tc>
          <w:tcPr>
            <w:tcW w:w="0" w:type="dxa"/>
            <w:vAlign w:val="bottom"/>
          </w:tcPr>
          <w:p>
            <w:pPr>
              <w:spacing w:after="0"/>
              <w:rPr>
                <w:sz w:val="1"/>
                <w:szCs w:val="1"/>
                <w:color w:val="auto"/>
              </w:rPr>
            </w:pPr>
          </w:p>
        </w:tc>
      </w:tr>
      <w:tr>
        <w:trPr>
          <w:trHeight w:val="200"/>
        </w:trPr>
        <w:tc>
          <w:tcPr>
            <w:tcW w:w="382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CCEEFF"/>
            </w:tcBorders>
            <w:vMerge w:val="continue"/>
          </w:tcPr>
          <w:p>
            <w:pPr>
              <w:spacing w:after="0"/>
              <w:rPr>
                <w:sz w:val="17"/>
                <w:szCs w:val="17"/>
                <w:color w:val="auto"/>
              </w:rPr>
            </w:pPr>
          </w:p>
        </w:tc>
        <w:tc>
          <w:tcPr>
            <w:tcW w:w="1440" w:type="dxa"/>
            <w:vAlign w:val="bottom"/>
            <w:tcBorders>
              <w:bottom w:val="single" w:sz="8" w:color="auto"/>
            </w:tcBorders>
            <w:gridSpan w:val="2"/>
            <w:vMerge w:val="continue"/>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CCEEFF"/>
            </w:tcBorders>
            <w:vMerge w:val="continue"/>
          </w:tcPr>
          <w:p>
            <w:pPr>
              <w:spacing w:after="0"/>
              <w:rPr>
                <w:sz w:val="17"/>
                <w:szCs w:val="17"/>
                <w:color w:val="auto"/>
              </w:rPr>
            </w:pPr>
          </w:p>
        </w:tc>
        <w:tc>
          <w:tcPr>
            <w:tcW w:w="18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89"/>
              </w:rPr>
              <w:t>Debt</w:t>
            </w:r>
          </w:p>
        </w:tc>
        <w:tc>
          <w:tcPr>
            <w:tcW w:w="0" w:type="dxa"/>
            <w:vAlign w:val="bottom"/>
          </w:tcPr>
          <w:p>
            <w:pPr>
              <w:spacing w:after="0"/>
              <w:rPr>
                <w:sz w:val="1"/>
                <w:szCs w:val="1"/>
                <w:color w:val="auto"/>
              </w:rPr>
            </w:pPr>
          </w:p>
        </w:tc>
      </w:tr>
      <w:tr>
        <w:trPr>
          <w:trHeight w:val="198"/>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Three months ended December 31, 2021</w:t>
            </w:r>
          </w:p>
        </w:tc>
        <w:tc>
          <w:tcPr>
            <w:tcW w:w="600" w:type="dxa"/>
            <w:vAlign w:val="bottom"/>
            <w:shd w:val="clear" w:color="auto" w:fill="CCEEFF"/>
          </w:tcPr>
          <w:p>
            <w:pPr>
              <w:jc w:val="right"/>
              <w:ind w:right="42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97"/>
              </w:rPr>
              <w:t>(1)</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4.3 %</w:t>
            </w:r>
          </w:p>
        </w:tc>
        <w:tc>
          <w:tcPr>
            <w:tcW w:w="28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rPr>
              <w:t>February 1, 2022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ind w:left="1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two mortgage term loans which matured on February 1, 2022.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2022 and year ended December 31, 2021, we did not enter into any new mortgage term loans.</w:t>
      </w:r>
    </w:p>
    <w:p>
      <w:pPr>
        <w:spacing w:after="0" w:line="2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mortgage term loans, which total $3.4 billion as of March 31, 2022, are secured by 190 properties comprised of 75,378 sites representing approximately $3.1 billion of net book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Unsecured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October 2021, the Operating Partnership issued $450.0 million of senior unsecured notes with an interest rate of 2.3 percent and a seven-year term, due November 1, 2028 (the "2028 Notes"). Interest on the 2028 Notes is payable semi-annually in arrears on May 1 and November 1 of each year, beginning on May 1, 2022. In addition, the Operating Partnership issued $150.0 million of senior unsecured 2031 Notes (as defined below) with an interest rate of 2.7 percent and a ten-year term due July 15, 2031. The 2031 Notes are additional notes of the same series as the $600.0 million aggregate principal amount of senior unsecured notes that the Operating Partnership issued in June 2021. The net proceeds from the offering were approximately $595.5 million after deducting underwriters' discounts and estimated offering expenses. The proceeds were used to pay down borrowings under our Senior Credit Facility.</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2021, the Operating Partnership issued $600.0 million of senior unsecured notes with an interest rate of 2.7 percent and a ten-year term, due July 15, 2031 (the "2031 Notes"). Interest on the 2031 Notes is payable semi-annually in arrears on January 15 and July 15 of each year, beginning on January 15, 2022. The net proceeds from the offering were approximately $592.4 million, after deducting underwriters' discounts and estimated offering expenses. The proceeds were used to pay down borrowings under our Senior Credit Facility.</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outstanding balance of senior unsecured notes was $1.2 billion at March 31, 2022. This balance is recorded in the Unsecured debt line item on the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 of Credit</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2021, we entered into a senior credit agreement (the "Credit Agreement") with certain lenders. The Credit Agreement combined and replaced our prior $750.0 million credit facility, which was scheduled to mature on May 21, 2023, (the "A&amp;R Facility"), and the $1.8 billion credit facility between Safe Harbor and certain lenders, which was scheduled to mature on October 11, 2024 (the "Safe Harbor Facility"). The Safe Harbor Facility was terminated in connection with the execution of the Credit Agreement. We repaid all amounts due and outstanding under the Safe Harbor Facility on or prior to the effective date. We recognized a Loss on extinguishment of debt in our Consolidated Statement of Operations related to the termination of the A&amp;R Facility and the Safe Harbor Facility of $0.2 million and $7.9 million, respectively.</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Credit Agreement, we may borrow up to $2.0 billion under a revolving loan (the "Senior Credit Facility"). The Senior Credit Facility is available to fund all of the Company's business, including its marina business conducted by Safe Harbor. The Credit Agreement also permits, subject to the satisfaction of certain conditions, additional borrowings (with the consent of the lenders) in an amount not to exceed $1.0 billion with the option to treat all, or a portion, of such additional funds as an incremental term loan.</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Senior Credit Facility has a four-year term ending June 14, 2025, and, at our option, the maturity date may be extended for two additional six-month periods, subject to the satisfaction of certain conditions. However, the maturity date with respect to $500.0 million of available borrowing under the Senior Credit Facility is October 11, 2024, which, under the terms of the Credit Agreement, may not be extended. The Senior Credit Facility bears interest at a floating rate based on the Adjusted Eurocurrency Rate or BBSY rate, plus a margin that is determined based on the Company's credit ratings calculated in accordance with the Credit Agreement, which can range from 0.725 percent to 1.4 percent. As of March 31, 2022, the margin based on our credit ratings was 0.85 percent on the Senior Credit Facility.</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lenders' option, the Senior Credit Facility will become immediately due and payable upon an event of default under the Credit Agreement. We had $1.4 billion and $1.0 billion of borrowings on the Senior Credit Facility as of March 31, 2022 and December 31, 2021. Of the total amount borrowed as of March 31, 2022, $1.2 billion is scheduled to mature on June 14, 2025 and $203.0 million is scheduled to mature October 11, 2024. These balances are recorded in Unsecured debt on the Consolidated Balance Sheets.</w:t>
      </w:r>
    </w:p>
    <w:p>
      <w:pPr>
        <w:spacing w:after="0" w:line="21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Senior Credit Facility provides us with the ability to issue letters of credit. Our issuance of letters of credit does not increase our borrowings outstanding under the Senior Credit Facility, but does reduce the borrowing amount available. We had $2.2 million of outstanding letters of credit at March 31, 2022 and December 31, 2021,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Refer to Note 19, "Subsequent Events," for information regarding the amendment of our Senior Credit Facility completed after March 31, 2022.</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Bridge Loan Termination</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31, 2022, we terminated our commitment letter with Citigroup Global Markets, Inc. ("Citigroup"), pursuant to which, Citigroup (on behalf of its affiliates), committed to lend us up to £950.0 million, or approximately $1.2 billion converted at the March 31, 2022 exchange rate (the "Bridge Loan"). As of the date of termination, we did not have any borrowings outstanding under the Bridge Loan. During the three months ended March 31, 2022, we recognized a loss on extinguishment of debt in our Consolidated Statement of Operations of $0.3 million related to the termination of the Bridge Loan.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Unsecured Term Loan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October 2019, we assumed a term loan facility, in the amount of $58.0 million in relation to an acquisition. The term loan has a four-year term ending October 29, 2023, and bears interest at a floating rate based on the Eurodollar rate or Prime rate plus a margin ranging from 1.20 percent to 2.05 percent. Effective July 1, 2021, the agreement was amended to release the associated collateral. The amendment extended the term loan facility maturity date to October 29, 2025 and adjusted the interest rate margin to a range from 0.8 percent to 1.6 percent. As of March 31, 2022, the margin was 0.95 percent. The outstanding balance was $28.4 million at March 31, 2022 and $31.6 million at December 31, 2021. These balances are recorded in Unsecured debt and Secured debt on the Consolidated Balance Sheets, respectively.</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Equity - Sun NG Resorts - Mandatorily Redeemable</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connection with the investment in Sun NG Resorts, $35.3 million of mandatorily redeemable Preferred Equity ("Preferred Equity - Sun NG Resorts") was purchased by unrelated third parties. The Preferred Equity - Sun NG Resorts carries a preferred rate of return of 6.0 percent per annum. The Preferred Equity - Sun NG Resorts has a seven-year term ending June 1, 2025 and can be redeemed in the fourth quarter of 2024 at the holders' option. The Preferred Equity - Sun NG Resorts as of March 31, 2022 was $35.2 million. These balances are recorded within the Unsecured debt line item on the Consolidated Balance Sheets. Refer to Note 7, "Consolidated Variable Interest Entities," for additional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OP Units - mandatorily redeemable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Preferred OP units at March 31, 2022 and December 31, 2021 include $34.7 million of Aspen preferred OP units issued by the Operating Partnership. As of March 31, 2022, these units are convertible indirectly into 393,724 shares of our common stock.</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January 2020, we amended the Operating Partnership's partnership agreement. The amendment extended the automatic redemption date and reduced the annual distribution rate for 270,000 of the Aspen preferred OP units (the "Extended Units"). Subject to certain limitations, at any time prior to January 1, 2024 (or prior to January 1, 2034 with respect to the Extended Units), the holder of each Aspen preferred OP unit at its option may convert such Aspen preferred OP unit into: (a) if the average closing price of our common stock for the preceding ten trading days is $68.00 per share or less, 0.397 common OP units; or (b) if the ten-day average closing price is greater than $68.00 per share, the number of common OP units is determined by dividing (i) the sum of (A) $27.00 plus (B) 25.0 percent of the amount by which the ten-day average closing price exceeds $68.00 per share, by (ii) the ten-day average closing price. The current preferred distribution rate is 3.8 percent on the Extended Units and 6.5 percent on all other Aspen preferred OP units. On January 2, 2024 (or January 2, 2034 with respect to the Extended Units), we are required to redeem for cash all Aspen preferred OP units that have not been converted to common OP units. As of March 31, 2022, 270,000 of the Extended Units and 1,013,819 other Aspen preferred units were outstanding. These balances are recorded within the Unsecured debt line item on the Consolidated Balance Sheets.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mortgage term loans, senior unsecured notes and Senior Credit Facility are subject to various financial and other covenants. The most restrictive covenants are pursuant to (a) the terms of the Senior Credit Facility, which contains a minimum fixed charge coverage ratio, maximum leverage ratio, distribution ratio and variable rate indebtedness and (b) senior unsecured notes, which contain a total debt to total assets, secured debt to total assets, consolidated income available for debt service to debt service and unencumbered total asset value to unsecured debt covenants. At March 31, 2022, we were in compliance with all covenants.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certain of our subsidiary borrowers own properties that secure loans. These subsidiaries are consolidated within our accompanying Consolidated Financial Statements, however, each of these subsidiaries' assets and credit are not available to satisfy our debts and other obligations, and any of our other subsidiaries or any other person or entity.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19, "Subsequent Events," for information regarding Debt and line of credit activities completed after March 31, 2022.</w:t>
      </w:r>
    </w:p>
    <w:p>
      <w:pPr>
        <w:spacing w:after="0" w:line="248"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Equity and Temporary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Universal Shelf Registration Statement</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April 2021, we filed a new universal shelf registration statement on Form S-3 with the SEC. The shelf registration statement was deemed automatically effective and provides for the registration of unspecified amounts of equity and debt securities. We have the authority to issue 200,000,000 shares of capital stock, of which 180,000,000 shares are common stock and 20,000,000 are shares of preferred stock, par value $0.01 per share. As of March 31, 2022, we had 116,207,122 shares of common stock issued and outstanding and no shares of preferred stock were issued and outstanding.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Equity Offerings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2021, we entered into two forward sale agreements relating to an underwritten registered public offering of 4,025,000 shares of our common stock at a public offering price of $185.00 per share and completed the offering on November 18, 2021 (the "November 2021 Forward Sale Agreements"). We did not initially receive any proceeds from the sale of shares of our common stock by the forward purchaser or its affiliates. We intend to use the net proceeds, if any, received upon the future settlement of the forward sale agreements, to fund a portion of the purchase price for our acquisition of Tiger Topco 1 Limited (together with its subsidiaries, "Park Holidays,") to repay borrowings outstanding under our Senior Credit Facility, to fund possible future acquisitions of properties and / or for working capital and general corporate purposes. Refer to Note 19, "Subsequent Events," for information regarding the settlement of the November 2021 Forward Sales Agreements completed after March 31, 2022.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Offering Sales Agreement</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December 2021, we entered into an At the Market Offering Sales Agreement with certain sales agents and forward sellers pursuant to which we may sell, from time to time, up to an aggregate gross sales price of $1.25 billion of our common stock (the "December 2021 Sales Agreement"), through the sales agents, acting as our sales agents or, if applicable, as forward sellers, or directly to the sales agents as principals for their own accounts. The sales agents and forward sellers are entitled to compensation in an agreed amount not to exceed 2.0 percent of the gross price per share for any shares sold under the December 2021 Sales Agreement. We simultaneously terminated our prior sales agreement upon entering into the December 2021 Sales Agreement.</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entered into forward sales agreements with respect to 600,503 shares of common stock under our at the market offering program for $107.9 million during the three months ended March 31, 2022. These forward sale agreements were not settled as of March 31, 2022, but we expect to settle them by the end of March 2023. We also entered into forward sale agreements with respect to 1,820,109 shares of common stock under our at the market offering program for $356.5 million during the year ended December 31, 2021. These forward sale agreements were not settled as of March 31, 2022, but we expect to settle them by the end of September 2022. Refer to Note 19, "Subsequent Events," for information regarding the settlement of certain of the forward sale agreements outstanding under our at the market offering program after March 31, 2022.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of Common OP Units in Connection with the Acquisition of Certain Properties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of Common OP Units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40" w:type="dxa"/>
            <w:vAlign w:val="bottom"/>
            <w:tcBorders>
              <w:bottom w:val="single" w:sz="8" w:color="auto"/>
            </w:tcBorders>
          </w:tcPr>
          <w:p>
            <w:pPr>
              <w:ind w:left="1800"/>
              <w:spacing w:after="0"/>
              <w:rPr>
                <w:sz w:val="20"/>
                <w:szCs w:val="20"/>
                <w:color w:val="auto"/>
              </w:rPr>
            </w:pPr>
            <w:r>
              <w:rPr>
                <w:rFonts w:ascii="Arial" w:cs="Arial" w:eastAsia="Arial" w:hAnsi="Arial"/>
                <w:sz w:val="15"/>
                <w:szCs w:val="15"/>
                <w:b w:val="1"/>
                <w:bCs w:val="1"/>
                <w:color w:val="auto"/>
              </w:rPr>
              <w:t>Three Months Ended March 31, 2022</w:t>
            </w:r>
          </w:p>
        </w:tc>
        <w:tc>
          <w:tcPr>
            <w:tcW w:w="120" w:type="dxa"/>
            <w:vAlign w:val="bottom"/>
            <w:tcBorders>
              <w:bottom w:val="single" w:sz="8" w:color="CCEEFF"/>
            </w:tcBorders>
          </w:tcPr>
          <w:p>
            <w:pPr>
              <w:spacing w:after="0"/>
              <w:rPr>
                <w:sz w:val="17"/>
                <w:szCs w:val="17"/>
                <w:color w:val="auto"/>
              </w:rPr>
            </w:pPr>
          </w:p>
        </w:tc>
        <w:tc>
          <w:tcPr>
            <w:tcW w:w="24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Common OP Units Issued</w:t>
            </w:r>
          </w:p>
        </w:tc>
        <w:tc>
          <w:tcPr>
            <w:tcW w:w="100" w:type="dxa"/>
            <w:vAlign w:val="bottom"/>
            <w:tcBorders>
              <w:bottom w:val="single" w:sz="8" w:color="CCEEFF"/>
            </w:tcBorders>
          </w:tcPr>
          <w:p>
            <w:pPr>
              <w:spacing w:after="0"/>
              <w:rPr>
                <w:sz w:val="17"/>
                <w:szCs w:val="17"/>
                <w:color w:val="auto"/>
              </w:rPr>
            </w:pPr>
          </w:p>
        </w:tc>
        <w:tc>
          <w:tcPr>
            <w:tcW w:w="2500" w:type="dxa"/>
            <w:vAlign w:val="bottom"/>
            <w:tcBorders>
              <w:bottom w:val="single" w:sz="8" w:color="auto"/>
            </w:tcBorders>
          </w:tcPr>
          <w:p>
            <w:pPr>
              <w:ind w:left="600"/>
              <w:spacing w:after="0"/>
              <w:rPr>
                <w:sz w:val="20"/>
                <w:szCs w:val="20"/>
                <w:color w:val="auto"/>
              </w:rPr>
            </w:pPr>
            <w:r>
              <w:rPr>
                <w:rFonts w:ascii="Arial" w:cs="Arial" w:eastAsia="Arial" w:hAnsi="Arial"/>
                <w:sz w:val="15"/>
                <w:szCs w:val="15"/>
                <w:b w:val="1"/>
                <w:bCs w:val="1"/>
                <w:color w:val="auto"/>
              </w:rPr>
              <w:t>Related Acquisition</w:t>
            </w:r>
          </w:p>
        </w:tc>
      </w:tr>
      <w:tr>
        <w:trPr>
          <w:trHeight w:val="200"/>
        </w:trPr>
        <w:tc>
          <w:tcPr>
            <w:tcW w:w="6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February 2022</w:t>
            </w:r>
          </w:p>
        </w:tc>
        <w:tc>
          <w:tcPr>
            <w:tcW w:w="2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14,683</w:t>
            </w:r>
          </w:p>
        </w:tc>
        <w:tc>
          <w:tcPr>
            <w:tcW w:w="100" w:type="dxa"/>
            <w:vAlign w:val="bottom"/>
            <w:shd w:val="clear" w:color="auto" w:fill="CCEEFF"/>
          </w:tcPr>
          <w:p>
            <w:pPr>
              <w:spacing w:after="0"/>
              <w:rPr>
                <w:sz w:val="17"/>
                <w:szCs w:val="17"/>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Jarrett Bay Boatworks</w:t>
            </w:r>
          </w:p>
        </w:tc>
      </w:tr>
      <w:tr>
        <w:trPr>
          <w:trHeight w:val="553"/>
        </w:trPr>
        <w:tc>
          <w:tcPr>
            <w:tcW w:w="6160" w:type="dxa"/>
            <w:vAlign w:val="bottom"/>
            <w:gridSpan w:val="2"/>
          </w:tcPr>
          <w:p>
            <w:pPr>
              <w:spacing w:after="0"/>
              <w:rPr>
                <w:sz w:val="20"/>
                <w:szCs w:val="20"/>
                <w:color w:val="auto"/>
              </w:rPr>
            </w:pPr>
            <w:r>
              <w:rPr>
                <w:rFonts w:ascii="Arial" w:cs="Arial" w:eastAsia="Arial" w:hAnsi="Arial"/>
                <w:sz w:val="18"/>
                <w:szCs w:val="18"/>
                <w:i w:val="1"/>
                <w:iCs w:val="1"/>
                <w:color w:val="auto"/>
              </w:rPr>
              <w:t>Conversions</w:t>
            </w: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Conversions to Common Stock </w:t>
      </w:r>
      <w:r>
        <w:rPr>
          <w:rFonts w:ascii="Arial" w:cs="Arial" w:eastAsia="Arial" w:hAnsi="Arial"/>
          <w:sz w:val="16"/>
          <w:szCs w:val="16"/>
          <w:color w:val="auto"/>
        </w:rPr>
        <w:t>- Subject to certain limitations, holders can convert certain series of OP units to shares of our common stock at any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 is the activity of conversions during the three months ended March 31, 2022 and 2021: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gridSpan w:val="4"/>
          </w:tcPr>
          <w:p>
            <w:pPr>
              <w:ind w:left="680"/>
              <w:spacing w:after="0"/>
              <w:rPr>
                <w:sz w:val="20"/>
                <w:szCs w:val="20"/>
                <w:color w:val="auto"/>
              </w:rPr>
            </w:pPr>
            <w:r>
              <w:rPr>
                <w:rFonts w:ascii="Arial" w:cs="Arial" w:eastAsia="Arial" w:hAnsi="Arial"/>
                <w:sz w:val="15"/>
                <w:szCs w:val="15"/>
                <w:b w:val="1"/>
                <w:bCs w:val="1"/>
                <w:color w:val="auto"/>
              </w:rPr>
              <w:t>Three Months Ended</w:t>
            </w:r>
          </w:p>
        </w:tc>
        <w:tc>
          <w:tcPr>
            <w:tcW w:w="2760" w:type="dxa"/>
            <w:vAlign w:val="bottom"/>
            <w:gridSpan w:val="3"/>
          </w:tcPr>
          <w:p>
            <w:pPr>
              <w:jc w:val="right"/>
              <w:ind w:right="604"/>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207"/>
        </w:trPr>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tcBorders>
              <w:bottom w:val="single" w:sz="8" w:color="auto"/>
            </w:tcBorders>
            <w:gridSpan w:val="3"/>
          </w:tcPr>
          <w:p>
            <w:pPr>
              <w:jc w:val="right"/>
              <w:ind w:right="804"/>
              <w:spacing w:after="0"/>
              <w:rPr>
                <w:sz w:val="20"/>
                <w:szCs w:val="20"/>
                <w:color w:val="auto"/>
              </w:rPr>
            </w:pPr>
            <w:r>
              <w:rPr>
                <w:rFonts w:ascii="Arial" w:cs="Arial" w:eastAsia="Arial" w:hAnsi="Arial"/>
                <w:sz w:val="15"/>
                <w:szCs w:val="15"/>
                <w:b w:val="1"/>
                <w:bCs w:val="1"/>
                <w:color w:val="auto"/>
              </w:rPr>
              <w:t>March 31, 2022</w:t>
            </w:r>
          </w:p>
        </w:tc>
        <w:tc>
          <w:tcPr>
            <w:tcW w:w="100" w:type="dxa"/>
            <w:vAlign w:val="bottom"/>
          </w:tcPr>
          <w:p>
            <w:pPr>
              <w:spacing w:after="0"/>
              <w:rPr>
                <w:sz w:val="17"/>
                <w:szCs w:val="17"/>
                <w:color w:val="auto"/>
              </w:rPr>
            </w:pPr>
          </w:p>
        </w:tc>
        <w:tc>
          <w:tcPr>
            <w:tcW w:w="2760" w:type="dxa"/>
            <w:vAlign w:val="bottom"/>
            <w:tcBorders>
              <w:bottom w:val="single" w:sz="8" w:color="auto"/>
            </w:tcBorders>
            <w:gridSpan w:val="3"/>
          </w:tcPr>
          <w:p>
            <w:pPr>
              <w:jc w:val="right"/>
              <w:ind w:right="804"/>
              <w:spacing w:after="0"/>
              <w:rPr>
                <w:sz w:val="20"/>
                <w:szCs w:val="20"/>
                <w:color w:val="auto"/>
              </w:rPr>
            </w:pPr>
            <w:r>
              <w:rPr>
                <w:rFonts w:ascii="Arial" w:cs="Arial" w:eastAsia="Arial" w:hAnsi="Arial"/>
                <w:sz w:val="15"/>
                <w:szCs w:val="15"/>
                <w:b w:val="1"/>
                <w:bCs w:val="1"/>
                <w:color w:val="auto"/>
              </w:rPr>
              <w:t>March 31, 2021</w:t>
            </w:r>
          </w:p>
        </w:tc>
        <w:tc>
          <w:tcPr>
            <w:tcW w:w="0" w:type="dxa"/>
            <w:vAlign w:val="bottom"/>
          </w:tcPr>
          <w:p>
            <w:pPr>
              <w:spacing w:after="0"/>
              <w:rPr>
                <w:sz w:val="1"/>
                <w:szCs w:val="1"/>
                <w:color w:val="auto"/>
              </w:rPr>
            </w:pPr>
          </w:p>
        </w:tc>
      </w:tr>
      <w:tr>
        <w:trPr>
          <w:trHeight w:val="146"/>
        </w:trPr>
        <w:tc>
          <w:tcPr>
            <w:tcW w:w="40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Series</w:t>
            </w:r>
          </w:p>
        </w:tc>
        <w:tc>
          <w:tcPr>
            <w:tcW w:w="120" w:type="dxa"/>
            <w:vAlign w:val="bottom"/>
            <w:vMerge w:val="restart"/>
          </w:tcPr>
          <w:p>
            <w:pPr>
              <w:spacing w:after="0"/>
              <w:rPr>
                <w:sz w:val="12"/>
                <w:szCs w:val="12"/>
                <w:color w:val="auto"/>
              </w:rPr>
            </w:pPr>
          </w:p>
        </w:tc>
        <w:tc>
          <w:tcPr>
            <w:tcW w:w="132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w w:val="98"/>
              </w:rPr>
              <w:t>Conversion Rate</w:t>
            </w:r>
          </w:p>
        </w:tc>
        <w:tc>
          <w:tcPr>
            <w:tcW w:w="100" w:type="dxa"/>
            <w:vAlign w:val="bottom"/>
            <w:vMerge w:val="restart"/>
          </w:tcPr>
          <w:p>
            <w:pPr>
              <w:spacing w:after="0"/>
              <w:rPr>
                <w:sz w:val="12"/>
                <w:szCs w:val="12"/>
                <w:color w:val="auto"/>
              </w:rPr>
            </w:pPr>
          </w:p>
        </w:tc>
        <w:tc>
          <w:tcPr>
            <w:tcW w:w="1440" w:type="dxa"/>
            <w:vAlign w:val="bottom"/>
            <w:gridSpan w:val="2"/>
          </w:tcPr>
          <w:p>
            <w:pPr>
              <w:ind w:left="220"/>
              <w:spacing w:after="0" w:line="146" w:lineRule="exact"/>
              <w:rPr>
                <w:sz w:val="20"/>
                <w:szCs w:val="20"/>
                <w:color w:val="auto"/>
              </w:rPr>
            </w:pPr>
            <w:r>
              <w:rPr>
                <w:rFonts w:ascii="Arial" w:cs="Arial" w:eastAsia="Arial" w:hAnsi="Arial"/>
                <w:sz w:val="15"/>
                <w:szCs w:val="15"/>
                <w:b w:val="1"/>
                <w:bCs w:val="1"/>
                <w:color w:val="auto"/>
              </w:rPr>
              <w:t>Units / Shares</w:t>
            </w:r>
          </w:p>
        </w:tc>
        <w:tc>
          <w:tcPr>
            <w:tcW w:w="132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w w:val="95"/>
              </w:rPr>
              <w:t>Common Stock</w:t>
            </w:r>
            <w:r>
              <w:rPr>
                <w:rFonts w:ascii="Arial" w:cs="Arial" w:eastAsia="Arial" w:hAnsi="Arial"/>
                <w:sz w:val="19"/>
                <w:szCs w:val="19"/>
                <w:color w:val="auto"/>
                <w:w w:val="95"/>
                <w:vertAlign w:val="superscript"/>
              </w:rPr>
              <w:t>(1)</w:t>
            </w:r>
          </w:p>
        </w:tc>
        <w:tc>
          <w:tcPr>
            <w:tcW w:w="100" w:type="dxa"/>
            <w:vAlign w:val="bottom"/>
            <w:vMerge w:val="restart"/>
          </w:tcPr>
          <w:p>
            <w:pPr>
              <w:spacing w:after="0"/>
              <w:rPr>
                <w:sz w:val="12"/>
                <w:szCs w:val="12"/>
                <w:color w:val="auto"/>
              </w:rPr>
            </w:pPr>
          </w:p>
        </w:tc>
        <w:tc>
          <w:tcPr>
            <w:tcW w:w="1440" w:type="dxa"/>
            <w:vAlign w:val="bottom"/>
            <w:gridSpan w:val="2"/>
          </w:tcPr>
          <w:p>
            <w:pPr>
              <w:ind w:left="220"/>
              <w:spacing w:after="0" w:line="146" w:lineRule="exact"/>
              <w:rPr>
                <w:sz w:val="20"/>
                <w:szCs w:val="20"/>
                <w:color w:val="auto"/>
              </w:rPr>
            </w:pPr>
            <w:r>
              <w:rPr>
                <w:rFonts w:ascii="Arial" w:cs="Arial" w:eastAsia="Arial" w:hAnsi="Arial"/>
                <w:sz w:val="15"/>
                <w:szCs w:val="15"/>
                <w:b w:val="1"/>
                <w:bCs w:val="1"/>
                <w:color w:val="auto"/>
              </w:rPr>
              <w:t>Units / Shares</w:t>
            </w:r>
          </w:p>
        </w:tc>
        <w:tc>
          <w:tcPr>
            <w:tcW w:w="132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w w:val="95"/>
              </w:rPr>
              <w:t>Common Stock</w:t>
            </w:r>
            <w:r>
              <w:rPr>
                <w:rFonts w:ascii="Arial" w:cs="Arial" w:eastAsia="Arial" w:hAnsi="Arial"/>
                <w:sz w:val="19"/>
                <w:szCs w:val="19"/>
                <w:color w:val="auto"/>
                <w:w w:val="95"/>
                <w:vertAlign w:val="superscript"/>
              </w:rPr>
              <w:t>(1)</w:t>
            </w:r>
          </w:p>
        </w:tc>
        <w:tc>
          <w:tcPr>
            <w:tcW w:w="0" w:type="dxa"/>
            <w:vAlign w:val="bottom"/>
          </w:tcPr>
          <w:p>
            <w:pPr>
              <w:spacing w:after="0"/>
              <w:rPr>
                <w:sz w:val="1"/>
                <w:szCs w:val="1"/>
                <w:color w:val="auto"/>
              </w:rPr>
            </w:pPr>
          </w:p>
        </w:tc>
      </w:tr>
      <w:tr>
        <w:trPr>
          <w:trHeight w:val="203"/>
        </w:trPr>
        <w:tc>
          <w:tcPr>
            <w:tcW w:w="40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3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Converted</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3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Converted</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Common OP units</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1,260</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24,912</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24,912</w:t>
            </w:r>
          </w:p>
        </w:tc>
        <w:tc>
          <w:tcPr>
            <w:tcW w:w="0" w:type="dxa"/>
            <w:vAlign w:val="bottom"/>
          </w:tcPr>
          <w:p>
            <w:pPr>
              <w:spacing w:after="0"/>
              <w:rPr>
                <w:sz w:val="1"/>
                <w:szCs w:val="1"/>
                <w:color w:val="auto"/>
              </w:rPr>
            </w:pPr>
          </w:p>
        </w:tc>
      </w:tr>
      <w:tr>
        <w:trPr>
          <w:trHeight w:val="198"/>
        </w:trPr>
        <w:tc>
          <w:tcPr>
            <w:tcW w:w="4200" w:type="dxa"/>
            <w:vAlign w:val="bottom"/>
            <w:gridSpan w:val="2"/>
          </w:tcPr>
          <w:p>
            <w:pPr>
              <w:ind w:left="20"/>
              <w:spacing w:after="0"/>
              <w:rPr>
                <w:sz w:val="20"/>
                <w:szCs w:val="20"/>
                <w:color w:val="auto"/>
              </w:rPr>
            </w:pPr>
            <w:r>
              <w:rPr>
                <w:rFonts w:ascii="Arial" w:cs="Arial" w:eastAsia="Arial" w:hAnsi="Arial"/>
                <w:sz w:val="15"/>
                <w:szCs w:val="15"/>
                <w:color w:val="auto"/>
              </w:rPr>
              <w:t>Series A-1 preferred OP units</w:t>
            </w:r>
          </w:p>
        </w:tc>
        <w:tc>
          <w:tcPr>
            <w:tcW w:w="1320" w:type="dxa"/>
            <w:vAlign w:val="bottom"/>
          </w:tcPr>
          <w:p>
            <w:pPr>
              <w:jc w:val="right"/>
              <w:spacing w:after="0"/>
              <w:rPr>
                <w:sz w:val="20"/>
                <w:szCs w:val="20"/>
                <w:color w:val="auto"/>
              </w:rPr>
            </w:pPr>
            <w:r>
              <w:rPr>
                <w:rFonts w:ascii="Arial" w:cs="Arial" w:eastAsia="Arial" w:hAnsi="Arial"/>
                <w:sz w:val="15"/>
                <w:szCs w:val="15"/>
                <w:color w:val="auto"/>
              </w:rPr>
              <w:t>2.4390</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2,694</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6,568</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4,316</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10,525</w:t>
            </w:r>
          </w:p>
        </w:tc>
        <w:tc>
          <w:tcPr>
            <w:tcW w:w="0" w:type="dxa"/>
            <w:vAlign w:val="bottom"/>
          </w:tcPr>
          <w:p>
            <w:pPr>
              <w:spacing w:after="0"/>
              <w:rPr>
                <w:sz w:val="1"/>
                <w:szCs w:val="1"/>
                <w:color w:val="auto"/>
              </w:rPr>
            </w:pPr>
          </w:p>
        </w:tc>
      </w:tr>
      <w:tr>
        <w:trPr>
          <w:trHeight w:val="207"/>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Series C preferred OP units</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1.1100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200" w:type="dxa"/>
            <w:vAlign w:val="bottom"/>
            <w:gridSpan w:val="2"/>
          </w:tcPr>
          <w:p>
            <w:pPr>
              <w:ind w:left="20"/>
              <w:spacing w:after="0"/>
              <w:rPr>
                <w:sz w:val="20"/>
                <w:szCs w:val="20"/>
                <w:color w:val="auto"/>
              </w:rPr>
            </w:pPr>
            <w:r>
              <w:rPr>
                <w:rFonts w:ascii="Arial" w:cs="Arial" w:eastAsia="Arial" w:hAnsi="Arial"/>
                <w:sz w:val="15"/>
                <w:szCs w:val="15"/>
                <w:color w:val="auto"/>
              </w:rPr>
              <w:t>Series E preferred OP units</w:t>
            </w:r>
          </w:p>
        </w:tc>
        <w:tc>
          <w:tcPr>
            <w:tcW w:w="1320" w:type="dxa"/>
            <w:vAlign w:val="bottom"/>
          </w:tcPr>
          <w:p>
            <w:pPr>
              <w:jc w:val="right"/>
              <w:spacing w:after="0"/>
              <w:rPr>
                <w:sz w:val="20"/>
                <w:szCs w:val="20"/>
                <w:color w:val="auto"/>
              </w:rPr>
            </w:pPr>
            <w:r>
              <w:rPr>
                <w:rFonts w:ascii="Arial" w:cs="Arial" w:eastAsia="Arial" w:hAnsi="Arial"/>
                <w:sz w:val="15"/>
                <w:szCs w:val="15"/>
                <w:color w:val="auto"/>
              </w:rPr>
              <w:t>0.6897</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5,000</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3,448</w:t>
            </w:r>
          </w:p>
        </w:tc>
        <w:tc>
          <w:tcPr>
            <w:tcW w:w="10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9"/>
          <w:szCs w:val="9"/>
          <w:color w:val="auto"/>
        </w:rPr>
      </w:pPr>
      <w:r>
        <w:rPr>
          <w:rFonts w:ascii="Arial" w:cs="Arial" w:eastAsia="Arial" w:hAnsi="Arial"/>
          <w:sz w:val="14"/>
          <w:szCs w:val="14"/>
          <w:color w:val="auto"/>
        </w:rPr>
        <w:t>Calculation may yield minor differences due to rounding incorporated in the above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Distributions declared for the three months ended March 31, 2022 were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00" w:type="dxa"/>
            <w:vAlign w:val="bottom"/>
            <w:vMerge w:val="restart"/>
          </w:tcPr>
          <w:p>
            <w:pPr>
              <w:ind w:left="20"/>
              <w:spacing w:after="0"/>
              <w:rPr>
                <w:sz w:val="20"/>
                <w:szCs w:val="20"/>
                <w:color w:val="auto"/>
              </w:rPr>
            </w:pPr>
            <w:r>
              <w:rPr>
                <w:rFonts w:ascii="Arial" w:cs="Arial" w:eastAsia="Arial" w:hAnsi="Arial"/>
                <w:sz w:val="15"/>
                <w:szCs w:val="15"/>
                <w:b w:val="1"/>
                <w:bCs w:val="1"/>
                <w:color w:val="auto"/>
                <w:w w:val="97"/>
              </w:rPr>
              <w:t>Common Stock, Common OP units and Restricted Stock Distributions</w:t>
            </w:r>
          </w:p>
        </w:tc>
        <w:tc>
          <w:tcPr>
            <w:tcW w:w="100" w:type="dxa"/>
            <w:vAlign w:val="bottom"/>
            <w:vMerge w:val="restart"/>
          </w:tcPr>
          <w:p>
            <w:pPr>
              <w:spacing w:after="0"/>
              <w:rPr>
                <w:sz w:val="14"/>
                <w:szCs w:val="14"/>
                <w:color w:val="auto"/>
              </w:rPr>
            </w:pPr>
          </w:p>
        </w:tc>
        <w:tc>
          <w:tcPr>
            <w:tcW w:w="1480" w:type="dxa"/>
            <w:vAlign w:val="bottom"/>
            <w:vMerge w:val="restart"/>
          </w:tcPr>
          <w:p>
            <w:pPr>
              <w:jc w:val="right"/>
              <w:ind w:right="264"/>
              <w:spacing w:after="0"/>
              <w:rPr>
                <w:sz w:val="20"/>
                <w:szCs w:val="20"/>
                <w:color w:val="auto"/>
              </w:rPr>
            </w:pPr>
            <w:r>
              <w:rPr>
                <w:rFonts w:ascii="Arial" w:cs="Arial" w:eastAsia="Arial" w:hAnsi="Arial"/>
                <w:sz w:val="15"/>
                <w:szCs w:val="15"/>
                <w:b w:val="1"/>
                <w:bCs w:val="1"/>
                <w:color w:val="auto"/>
              </w:rPr>
              <w:t>Record Date</w:t>
            </w:r>
          </w:p>
        </w:tc>
        <w:tc>
          <w:tcPr>
            <w:tcW w:w="100" w:type="dxa"/>
            <w:vAlign w:val="bottom"/>
            <w:vMerge w:val="restart"/>
          </w:tcPr>
          <w:p>
            <w:pPr>
              <w:spacing w:after="0"/>
              <w:rPr>
                <w:sz w:val="14"/>
                <w:szCs w:val="14"/>
                <w:color w:val="auto"/>
              </w:rPr>
            </w:pPr>
          </w:p>
        </w:tc>
        <w:tc>
          <w:tcPr>
            <w:tcW w:w="1480" w:type="dxa"/>
            <w:vAlign w:val="bottom"/>
            <w:vMerge w:val="restart"/>
          </w:tcPr>
          <w:p>
            <w:pPr>
              <w:ind w:left="280"/>
              <w:spacing w:after="0"/>
              <w:rPr>
                <w:sz w:val="20"/>
                <w:szCs w:val="20"/>
                <w:color w:val="auto"/>
              </w:rPr>
            </w:pPr>
            <w:r>
              <w:rPr>
                <w:rFonts w:ascii="Arial" w:cs="Arial" w:eastAsia="Arial" w:hAnsi="Arial"/>
                <w:sz w:val="15"/>
                <w:szCs w:val="15"/>
                <w:b w:val="1"/>
                <w:bCs w:val="1"/>
                <w:color w:val="auto"/>
              </w:rPr>
              <w:t>Payment Date</w:t>
            </w:r>
          </w:p>
        </w:tc>
        <w:tc>
          <w:tcPr>
            <w:tcW w:w="10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4"/>
              </w:rPr>
              <w:t>Distribution Per</w:t>
            </w:r>
          </w:p>
        </w:tc>
        <w:tc>
          <w:tcPr>
            <w:tcW w:w="1480" w:type="dxa"/>
            <w:vAlign w:val="bottom"/>
            <w:gridSpan w:val="2"/>
          </w:tcPr>
          <w:p>
            <w:pPr>
              <w:jc w:val="center"/>
              <w:spacing w:after="0"/>
              <w:rPr>
                <w:sz w:val="20"/>
                <w:szCs w:val="20"/>
                <w:color w:val="auto"/>
              </w:rPr>
            </w:pPr>
            <w:r>
              <w:rPr>
                <w:rFonts w:ascii="Arial" w:cs="Arial" w:eastAsia="Arial" w:hAnsi="Arial"/>
                <w:sz w:val="15"/>
                <w:szCs w:val="15"/>
                <w:b w:val="1"/>
                <w:bCs w:val="1"/>
                <w:color w:val="auto"/>
                <w:w w:val="95"/>
              </w:rPr>
              <w:t>Total Distribution (in</w:t>
            </w:r>
          </w:p>
        </w:tc>
        <w:tc>
          <w:tcPr>
            <w:tcW w:w="0" w:type="dxa"/>
            <w:vAlign w:val="bottom"/>
          </w:tcPr>
          <w:p>
            <w:pPr>
              <w:spacing w:after="0"/>
              <w:rPr>
                <w:sz w:val="1"/>
                <w:szCs w:val="1"/>
                <w:color w:val="auto"/>
              </w:rPr>
            </w:pPr>
          </w:p>
        </w:tc>
      </w:tr>
      <w:tr>
        <w:trPr>
          <w:trHeight w:val="200"/>
        </w:trPr>
        <w:tc>
          <w:tcPr>
            <w:tcW w:w="4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91"/>
              </w:rPr>
              <w:t>Share</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84"/>
              <w:spacing w:after="0"/>
              <w:rPr>
                <w:sz w:val="20"/>
                <w:szCs w:val="20"/>
                <w:color w:val="auto"/>
              </w:rPr>
            </w:pPr>
            <w:r>
              <w:rPr>
                <w:rFonts w:ascii="Arial" w:cs="Arial" w:eastAsia="Arial" w:hAnsi="Arial"/>
                <w:sz w:val="15"/>
                <w:szCs w:val="15"/>
                <w:b w:val="1"/>
                <w:bCs w:val="1"/>
                <w:color w:val="auto"/>
                <w:w w:val="98"/>
              </w:rPr>
              <w:t>Millions)</w:t>
            </w:r>
          </w:p>
        </w:tc>
        <w:tc>
          <w:tcPr>
            <w:tcW w:w="0" w:type="dxa"/>
            <w:vAlign w:val="bottom"/>
          </w:tcPr>
          <w:p>
            <w:pPr>
              <w:spacing w:after="0"/>
              <w:rPr>
                <w:sz w:val="1"/>
                <w:szCs w:val="1"/>
                <w:color w:val="auto"/>
              </w:rPr>
            </w:pPr>
          </w:p>
        </w:tc>
      </w:tr>
      <w:tr>
        <w:trPr>
          <w:trHeight w:val="198"/>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March 31,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3/31/2022</w:t>
            </w:r>
          </w:p>
        </w:tc>
        <w:tc>
          <w:tcPr>
            <w:tcW w:w="100" w:type="dxa"/>
            <w:vAlign w:val="bottom"/>
            <w:shd w:val="clear" w:color="auto" w:fill="CCEEFF"/>
          </w:tcPr>
          <w:p>
            <w:pPr>
              <w:spacing w:after="0"/>
              <w:rPr>
                <w:sz w:val="17"/>
                <w:szCs w:val="17"/>
                <w:color w:val="auto"/>
              </w:rPr>
            </w:pPr>
          </w:p>
        </w:tc>
        <w:tc>
          <w:tcPr>
            <w:tcW w:w="17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4/15/2022  $</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104.5</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19, "Subsequent Events," for information regarding equity transactions completed after March 31, 2022.</w:t>
      </w:r>
    </w:p>
    <w:p>
      <w:pPr>
        <w:spacing w:after="0" w:line="248"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March 31, 2022, we had two share-based compensation plans: the Sun Communities, Inc. 2015 Equity Incentive Plan ("2015 Equity Incentive Plan") and the First Amended and Restated 2004 Non-Employee Director Option Plan ("2004 Non-Employee Director Option Plan"). We believe granting equity awards will provide certain executives, key employees and directors additional incentives to promote our financial success and promote employee and director retention by providing an opportunity to acquire or increase the direct proprietary interest of those individuals in our operations and future. Time based awards for directors generally vest over three years. Time based awards for key employees and executives generally vest over five years. Market condition awards for the executives generally vest after three years.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2022 and 2021, shares were granted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6"/>
              </w:rPr>
              <w:t>Grant Period</w:t>
            </w:r>
          </w:p>
        </w:tc>
        <w:tc>
          <w:tcPr>
            <w:tcW w:w="100" w:type="dxa"/>
            <w:vAlign w:val="bottom"/>
            <w:vMerge w:val="restart"/>
          </w:tcPr>
          <w:p>
            <w:pPr>
              <w:spacing w:after="0"/>
              <w:rPr>
                <w:sz w:val="14"/>
                <w:szCs w:val="14"/>
                <w:color w:val="auto"/>
              </w:rPr>
            </w:pPr>
          </w:p>
        </w:tc>
        <w:tc>
          <w:tcPr>
            <w:tcW w:w="1620" w:type="dxa"/>
            <w:vAlign w:val="bottom"/>
            <w:vMerge w:val="restart"/>
          </w:tcPr>
          <w:p>
            <w:pPr>
              <w:ind w:left="660"/>
              <w:spacing w:after="0"/>
              <w:rPr>
                <w:sz w:val="20"/>
                <w:szCs w:val="20"/>
                <w:color w:val="auto"/>
              </w:rPr>
            </w:pPr>
            <w:r>
              <w:rPr>
                <w:rFonts w:ascii="Arial" w:cs="Arial" w:eastAsia="Arial" w:hAnsi="Arial"/>
                <w:sz w:val="15"/>
                <w:szCs w:val="15"/>
                <w:b w:val="1"/>
                <w:bCs w:val="1"/>
                <w:color w:val="auto"/>
              </w:rPr>
              <w:t>Type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2840" w:type="dxa"/>
            <w:vAlign w:val="bottom"/>
            <w:vMerge w:val="restart"/>
          </w:tcPr>
          <w:p>
            <w:pPr>
              <w:ind w:left="1100"/>
              <w:spacing w:after="0"/>
              <w:rPr>
                <w:sz w:val="20"/>
                <w:szCs w:val="20"/>
                <w:color w:val="auto"/>
              </w:rPr>
            </w:pPr>
            <w:r>
              <w:rPr>
                <w:rFonts w:ascii="Arial" w:cs="Arial" w:eastAsia="Arial" w:hAnsi="Arial"/>
                <w:sz w:val="15"/>
                <w:szCs w:val="15"/>
                <w:b w:val="1"/>
                <w:bCs w:val="1"/>
                <w:color w:val="auto"/>
              </w:rPr>
              <w:t>Plan</w:t>
            </w:r>
          </w:p>
        </w:tc>
        <w:tc>
          <w:tcPr>
            <w:tcW w:w="100" w:type="dxa"/>
            <w:vAlign w:val="bottom"/>
            <w:vMerge w:val="restart"/>
          </w:tcPr>
          <w:p>
            <w:pPr>
              <w:spacing w:after="0"/>
              <w:rPr>
                <w:sz w:val="14"/>
                <w:szCs w:val="14"/>
                <w:color w:val="auto"/>
              </w:rPr>
            </w:pPr>
          </w:p>
        </w:tc>
        <w:tc>
          <w:tcPr>
            <w:tcW w:w="128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Shares Granted</w:t>
            </w:r>
          </w:p>
        </w:tc>
        <w:tc>
          <w:tcPr>
            <w:tcW w:w="2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4"/>
              <w:spacing w:after="0"/>
              <w:rPr>
                <w:sz w:val="20"/>
                <w:szCs w:val="20"/>
                <w:color w:val="auto"/>
              </w:rPr>
            </w:pPr>
            <w:r>
              <w:rPr>
                <w:rFonts w:ascii="Arial" w:cs="Arial" w:eastAsia="Arial" w:hAnsi="Arial"/>
                <w:sz w:val="15"/>
                <w:szCs w:val="15"/>
                <w:b w:val="1"/>
                <w:bCs w:val="1"/>
                <w:color w:val="auto"/>
                <w:w w:val="97"/>
              </w:rPr>
              <w:t>Grant Date Fair</w:t>
            </w:r>
          </w:p>
        </w:tc>
        <w:tc>
          <w:tcPr>
            <w:tcW w:w="340" w:type="dxa"/>
            <w:vAlign w:val="bottom"/>
          </w:tcPr>
          <w:p>
            <w:pPr>
              <w:spacing w:after="0"/>
              <w:rPr>
                <w:sz w:val="14"/>
                <w:szCs w:val="14"/>
                <w:color w:val="auto"/>
              </w:rPr>
            </w:pPr>
          </w:p>
        </w:tc>
        <w:tc>
          <w:tcPr>
            <w:tcW w:w="1340" w:type="dxa"/>
            <w:vAlign w:val="bottom"/>
            <w:vMerge w:val="restart"/>
          </w:tcPr>
          <w:p>
            <w:pPr>
              <w:ind w:left="320"/>
              <w:spacing w:after="0"/>
              <w:rPr>
                <w:sz w:val="20"/>
                <w:szCs w:val="20"/>
                <w:color w:val="auto"/>
              </w:rPr>
            </w:pPr>
            <w:r>
              <w:rPr>
                <w:rFonts w:ascii="Arial" w:cs="Arial" w:eastAsia="Arial" w:hAnsi="Arial"/>
                <w:sz w:val="15"/>
                <w:szCs w:val="15"/>
                <w:b w:val="1"/>
                <w:bCs w:val="1"/>
                <w:color w:val="auto"/>
              </w:rPr>
              <w:t>Vesting Type</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1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1"/>
              </w:rPr>
              <w:t>Value Per Share</w:t>
            </w:r>
          </w:p>
        </w:tc>
        <w:tc>
          <w:tcPr>
            <w:tcW w:w="340" w:type="dxa"/>
            <w:vAlign w:val="bottom"/>
            <w:vMerge w:val="restart"/>
          </w:tcPr>
          <w:p>
            <w:pPr>
              <w:jc w:val="right"/>
              <w:ind w:right="150"/>
              <w:spacing w:after="0"/>
              <w:rPr>
                <w:sz w:val="20"/>
                <w:szCs w:val="20"/>
                <w:color w:val="auto"/>
              </w:rPr>
            </w:pPr>
            <w:r>
              <w:rPr>
                <w:rFonts w:ascii="Arial" w:cs="Arial" w:eastAsia="Arial" w:hAnsi="Arial"/>
                <w:sz w:val="10"/>
                <w:szCs w:val="10"/>
                <w:color w:val="auto"/>
                <w:w w:val="97"/>
              </w:rPr>
              <w:t>(1)</w:t>
            </w:r>
          </w:p>
        </w:tc>
        <w:tc>
          <w:tcPr>
            <w:tcW w:w="134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20" w:type="dxa"/>
            <w:vAlign w:val="bottom"/>
          </w:tcPr>
          <w:p>
            <w:pPr>
              <w:jc w:val="center"/>
              <w:spacing w:after="0" w:line="156" w:lineRule="exact"/>
              <w:rPr>
                <w:sz w:val="20"/>
                <w:szCs w:val="20"/>
                <w:color w:val="auto"/>
              </w:rPr>
            </w:pPr>
            <w:r>
              <w:rPr>
                <w:rFonts w:ascii="Arial" w:cs="Arial" w:eastAsia="Arial" w:hAnsi="Arial"/>
                <w:sz w:val="15"/>
                <w:szCs w:val="15"/>
                <w:color w:val="auto"/>
                <w:w w:val="95"/>
              </w:rPr>
              <w:t>2022</w:t>
            </w:r>
          </w:p>
        </w:tc>
        <w:tc>
          <w:tcPr>
            <w:tcW w:w="100" w:type="dxa"/>
            <w:vAlign w:val="bottom"/>
          </w:tcPr>
          <w:p>
            <w:pPr>
              <w:spacing w:after="0"/>
              <w:rPr>
                <w:sz w:val="13"/>
                <w:szCs w:val="13"/>
                <w:color w:val="auto"/>
              </w:rPr>
            </w:pPr>
          </w:p>
        </w:tc>
        <w:tc>
          <w:tcPr>
            <w:tcW w:w="174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Key Employees</w:t>
            </w:r>
          </w:p>
        </w:tc>
        <w:tc>
          <w:tcPr>
            <w:tcW w:w="340" w:type="dxa"/>
            <w:vAlign w:val="bottom"/>
          </w:tcPr>
          <w:p>
            <w:pPr>
              <w:jc w:val="right"/>
              <w:spacing w:after="0" w:line="156" w:lineRule="exact"/>
              <w:rPr>
                <w:sz w:val="20"/>
                <w:szCs w:val="20"/>
                <w:color w:val="auto"/>
              </w:rPr>
            </w:pPr>
            <w:r>
              <w:rPr>
                <w:rFonts w:ascii="Arial" w:cs="Arial" w:eastAsia="Arial" w:hAnsi="Arial"/>
                <w:sz w:val="15"/>
                <w:szCs w:val="15"/>
                <w:color w:val="auto"/>
                <w:w w:val="89"/>
              </w:rPr>
              <w:t>2015</w:t>
            </w:r>
          </w:p>
        </w:tc>
        <w:tc>
          <w:tcPr>
            <w:tcW w:w="2940" w:type="dxa"/>
            <w:vAlign w:val="bottom"/>
            <w:gridSpan w:val="2"/>
          </w:tcPr>
          <w:p>
            <w:pPr>
              <w:ind w:left="20"/>
              <w:spacing w:after="0" w:line="156" w:lineRule="exact"/>
              <w:rPr>
                <w:sz w:val="20"/>
                <w:szCs w:val="20"/>
                <w:color w:val="auto"/>
              </w:rPr>
            </w:pPr>
            <w:r>
              <w:rPr>
                <w:rFonts w:ascii="Arial" w:cs="Arial" w:eastAsia="Arial" w:hAnsi="Arial"/>
                <w:sz w:val="15"/>
                <w:szCs w:val="15"/>
                <w:color w:val="auto"/>
              </w:rPr>
              <w:t>Equity Incentive Plan</w:t>
            </w:r>
          </w:p>
        </w:tc>
        <w:tc>
          <w:tcPr>
            <w:tcW w:w="1280" w:type="dxa"/>
            <w:vAlign w:val="bottom"/>
          </w:tcPr>
          <w:p>
            <w:pPr>
              <w:jc w:val="right"/>
              <w:ind w:right="4"/>
              <w:spacing w:after="0" w:line="156" w:lineRule="exact"/>
              <w:rPr>
                <w:sz w:val="20"/>
                <w:szCs w:val="20"/>
                <w:color w:val="auto"/>
              </w:rPr>
            </w:pPr>
            <w:r>
              <w:rPr>
                <w:rFonts w:ascii="Arial" w:cs="Arial" w:eastAsia="Arial" w:hAnsi="Arial"/>
                <w:sz w:val="15"/>
                <w:szCs w:val="15"/>
                <w:color w:val="auto"/>
              </w:rPr>
              <w:t>138,510</w:t>
            </w:r>
          </w:p>
        </w:tc>
        <w:tc>
          <w:tcPr>
            <w:tcW w:w="280" w:type="dxa"/>
            <w:vAlign w:val="bottom"/>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line="156" w:lineRule="exact"/>
              <w:rPr>
                <w:sz w:val="20"/>
                <w:szCs w:val="20"/>
                <w:color w:val="auto"/>
              </w:rPr>
            </w:pPr>
            <w:r>
              <w:rPr>
                <w:rFonts w:ascii="Arial" w:cs="Arial" w:eastAsia="Arial" w:hAnsi="Arial"/>
                <w:sz w:val="15"/>
                <w:szCs w:val="15"/>
                <w:color w:val="auto"/>
              </w:rPr>
              <w:t>180.49</w:t>
            </w:r>
          </w:p>
        </w:tc>
        <w:tc>
          <w:tcPr>
            <w:tcW w:w="340" w:type="dxa"/>
            <w:vAlign w:val="bottom"/>
            <w:vMerge w:val="continue"/>
          </w:tcPr>
          <w:p>
            <w:pPr>
              <w:spacing w:after="0"/>
              <w:rPr>
                <w:sz w:val="13"/>
                <w:szCs w:val="13"/>
                <w:color w:val="auto"/>
              </w:rPr>
            </w:pPr>
          </w:p>
        </w:tc>
        <w:tc>
          <w:tcPr>
            <w:tcW w:w="1340" w:type="dxa"/>
            <w:vAlign w:val="bottom"/>
          </w:tcPr>
          <w:p>
            <w:pPr>
              <w:ind w:left="20"/>
              <w:spacing w:after="0" w:line="156" w:lineRule="exact"/>
              <w:rPr>
                <w:sz w:val="20"/>
                <w:szCs w:val="20"/>
                <w:color w:val="auto"/>
              </w:rPr>
            </w:pPr>
            <w:r>
              <w:rPr>
                <w:rFonts w:ascii="Arial" w:cs="Arial" w:eastAsia="Arial" w:hAnsi="Arial"/>
                <w:sz w:val="15"/>
                <w:szCs w:val="15"/>
                <w:color w:val="auto"/>
              </w:rPr>
              <w:t>Time Based</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20" w:type="dxa"/>
            <w:vAlign w:val="bottom"/>
          </w:tcPr>
          <w:p>
            <w:pPr>
              <w:jc w:val="center"/>
              <w:spacing w:after="0"/>
              <w:rPr>
                <w:sz w:val="20"/>
                <w:szCs w:val="20"/>
                <w:color w:val="auto"/>
              </w:rPr>
            </w:pPr>
            <w:r>
              <w:rPr>
                <w:rFonts w:ascii="Arial" w:cs="Arial" w:eastAsia="Arial" w:hAnsi="Arial"/>
                <w:sz w:val="15"/>
                <w:szCs w:val="15"/>
                <w:color w:val="auto"/>
                <w:w w:val="95"/>
              </w:rPr>
              <w:t>2022</w:t>
            </w:r>
          </w:p>
        </w:tc>
        <w:tc>
          <w:tcPr>
            <w:tcW w:w="10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jc w:val="right"/>
              <w:spacing w:after="0"/>
              <w:rPr>
                <w:sz w:val="20"/>
                <w:szCs w:val="20"/>
                <w:color w:val="auto"/>
              </w:rPr>
            </w:pPr>
            <w:r>
              <w:rPr>
                <w:rFonts w:ascii="Arial" w:cs="Arial" w:eastAsia="Arial" w:hAnsi="Arial"/>
                <w:sz w:val="15"/>
                <w:szCs w:val="15"/>
                <w:color w:val="auto"/>
                <w:w w:val="89"/>
              </w:rPr>
              <w:t>2015</w:t>
            </w:r>
          </w:p>
        </w:tc>
        <w:tc>
          <w:tcPr>
            <w:tcW w:w="294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66,000</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178.20</w:t>
            </w:r>
          </w:p>
        </w:tc>
        <w:tc>
          <w:tcPr>
            <w:tcW w:w="340" w:type="dxa"/>
            <w:vAlign w:val="bottom"/>
          </w:tcPr>
          <w:p>
            <w:pPr>
              <w:jc w:val="right"/>
              <w:ind w:right="150"/>
              <w:spacing w:after="0"/>
              <w:rPr>
                <w:sz w:val="20"/>
                <w:szCs w:val="20"/>
                <w:color w:val="auto"/>
              </w:rPr>
            </w:pPr>
            <w:r>
              <w:rPr>
                <w:rFonts w:ascii="Arial" w:cs="Arial" w:eastAsia="Arial" w:hAnsi="Arial"/>
                <w:sz w:val="10"/>
                <w:szCs w:val="10"/>
                <w:color w:val="auto"/>
                <w:w w:val="97"/>
              </w:rPr>
              <w:t>(1)</w:t>
            </w:r>
          </w:p>
        </w:tc>
        <w:tc>
          <w:tcPr>
            <w:tcW w:w="1340" w:type="dxa"/>
            <w:vAlign w:val="bottom"/>
          </w:tcPr>
          <w:p>
            <w:pPr>
              <w:ind w:left="20"/>
              <w:spacing w:after="0"/>
              <w:rPr>
                <w:sz w:val="20"/>
                <w:szCs w:val="20"/>
                <w:color w:val="auto"/>
              </w:rPr>
            </w:pPr>
            <w:r>
              <w:rPr>
                <w:rFonts w:ascii="Arial" w:cs="Arial" w:eastAsia="Arial" w:hAnsi="Arial"/>
                <w:sz w:val="15"/>
                <w:szCs w:val="15"/>
                <w:color w:val="auto"/>
              </w:rPr>
              <w:t>Time Based</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jc w:val="center"/>
              <w:spacing w:after="0"/>
              <w:rPr>
                <w:sz w:val="20"/>
                <w:szCs w:val="20"/>
                <w:color w:val="auto"/>
              </w:rPr>
            </w:pPr>
            <w:r>
              <w:rPr>
                <w:rFonts w:ascii="Arial" w:cs="Arial" w:eastAsia="Arial" w:hAnsi="Arial"/>
                <w:sz w:val="15"/>
                <w:szCs w:val="15"/>
                <w:color w:val="auto"/>
                <w:w w:val="95"/>
              </w:rPr>
              <w:t>2022</w:t>
            </w:r>
          </w:p>
        </w:tc>
        <w:tc>
          <w:tcPr>
            <w:tcW w:w="10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jc w:val="right"/>
              <w:spacing w:after="0"/>
              <w:rPr>
                <w:sz w:val="20"/>
                <w:szCs w:val="20"/>
                <w:color w:val="auto"/>
              </w:rPr>
            </w:pPr>
            <w:r>
              <w:rPr>
                <w:rFonts w:ascii="Arial" w:cs="Arial" w:eastAsia="Arial" w:hAnsi="Arial"/>
                <w:sz w:val="15"/>
                <w:szCs w:val="15"/>
                <w:color w:val="auto"/>
                <w:w w:val="89"/>
              </w:rPr>
              <w:t>2015</w:t>
            </w:r>
          </w:p>
        </w:tc>
        <w:tc>
          <w:tcPr>
            <w:tcW w:w="294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91,500</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124.88</w:t>
            </w:r>
          </w:p>
        </w:tc>
        <w:tc>
          <w:tcPr>
            <w:tcW w:w="340" w:type="dxa"/>
            <w:vAlign w:val="bottom"/>
          </w:tcPr>
          <w:p>
            <w:pPr>
              <w:jc w:val="right"/>
              <w:ind w:right="150"/>
              <w:spacing w:after="0"/>
              <w:rPr>
                <w:sz w:val="20"/>
                <w:szCs w:val="20"/>
                <w:color w:val="auto"/>
              </w:rPr>
            </w:pPr>
            <w:r>
              <w:rPr>
                <w:rFonts w:ascii="Arial" w:cs="Arial" w:eastAsia="Arial" w:hAnsi="Arial"/>
                <w:sz w:val="10"/>
                <w:szCs w:val="10"/>
                <w:color w:val="auto"/>
                <w:w w:val="97"/>
              </w:rPr>
              <w:t>(2)</w:t>
            </w:r>
          </w:p>
        </w:tc>
        <w:tc>
          <w:tcPr>
            <w:tcW w:w="1340" w:type="dxa"/>
            <w:vAlign w:val="bottom"/>
          </w:tcPr>
          <w:p>
            <w:pPr>
              <w:ind w:left="20"/>
              <w:spacing w:after="0"/>
              <w:rPr>
                <w:sz w:val="20"/>
                <w:szCs w:val="20"/>
                <w:color w:val="auto"/>
              </w:rPr>
            </w:pPr>
            <w:r>
              <w:rPr>
                <w:rFonts w:ascii="Arial" w:cs="Arial" w:eastAsia="Arial" w:hAnsi="Arial"/>
                <w:sz w:val="15"/>
                <w:szCs w:val="15"/>
                <w:color w:val="auto"/>
              </w:rPr>
              <w:t>Market Condition</w:t>
            </w:r>
          </w:p>
        </w:tc>
        <w:tc>
          <w:tcPr>
            <w:tcW w:w="480" w:type="dxa"/>
            <w:vAlign w:val="bottom"/>
          </w:tcPr>
          <w:p>
            <w:pPr>
              <w:jc w:val="right"/>
              <w:ind w:right="150"/>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203"/>
        </w:trPr>
        <w:tc>
          <w:tcPr>
            <w:tcW w:w="1120" w:type="dxa"/>
            <w:vAlign w:val="bottom"/>
          </w:tcPr>
          <w:p>
            <w:pPr>
              <w:jc w:val="center"/>
              <w:spacing w:after="0"/>
              <w:rPr>
                <w:sz w:val="20"/>
                <w:szCs w:val="20"/>
                <w:color w:val="auto"/>
              </w:rPr>
            </w:pPr>
            <w:r>
              <w:rPr>
                <w:rFonts w:ascii="Arial" w:cs="Arial" w:eastAsia="Arial" w:hAnsi="Arial"/>
                <w:sz w:val="15"/>
                <w:szCs w:val="15"/>
                <w:color w:val="auto"/>
                <w:w w:val="95"/>
              </w:rPr>
              <w:t>2022</w:t>
            </w:r>
          </w:p>
        </w:tc>
        <w:tc>
          <w:tcPr>
            <w:tcW w:w="10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Arial" w:cs="Arial" w:eastAsia="Arial" w:hAnsi="Arial"/>
                <w:sz w:val="15"/>
                <w:szCs w:val="15"/>
                <w:color w:val="auto"/>
              </w:rPr>
              <w:t>Directors</w:t>
            </w:r>
          </w:p>
        </w:tc>
        <w:tc>
          <w:tcPr>
            <w:tcW w:w="340" w:type="dxa"/>
            <w:vAlign w:val="bottom"/>
          </w:tcPr>
          <w:p>
            <w:pPr>
              <w:jc w:val="right"/>
              <w:spacing w:after="0"/>
              <w:rPr>
                <w:sz w:val="20"/>
                <w:szCs w:val="20"/>
                <w:color w:val="auto"/>
              </w:rPr>
            </w:pPr>
            <w:r>
              <w:rPr>
                <w:rFonts w:ascii="Arial" w:cs="Arial" w:eastAsia="Arial" w:hAnsi="Arial"/>
                <w:sz w:val="15"/>
                <w:szCs w:val="15"/>
                <w:color w:val="auto"/>
                <w:w w:val="89"/>
              </w:rPr>
              <w:t>2004</w:t>
            </w:r>
          </w:p>
        </w:tc>
        <w:tc>
          <w:tcPr>
            <w:tcW w:w="2940" w:type="dxa"/>
            <w:vAlign w:val="bottom"/>
            <w:gridSpan w:val="2"/>
          </w:tcPr>
          <w:p>
            <w:pPr>
              <w:ind w:left="20"/>
              <w:spacing w:after="0"/>
              <w:rPr>
                <w:sz w:val="20"/>
                <w:szCs w:val="20"/>
                <w:color w:val="auto"/>
              </w:rPr>
            </w:pPr>
            <w:r>
              <w:rPr>
                <w:rFonts w:ascii="Arial" w:cs="Arial" w:eastAsia="Arial" w:hAnsi="Arial"/>
                <w:sz w:val="15"/>
                <w:szCs w:val="15"/>
                <w:color w:val="auto"/>
              </w:rPr>
              <w:t>Non-Employee Director Option Plan</w:t>
            </w: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11,900</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197.00</w:t>
            </w:r>
          </w:p>
        </w:tc>
        <w:tc>
          <w:tcPr>
            <w:tcW w:w="340" w:type="dxa"/>
            <w:vAlign w:val="bottom"/>
          </w:tcPr>
          <w:p>
            <w:pPr>
              <w:jc w:val="right"/>
              <w:ind w:right="150"/>
              <w:spacing w:after="0"/>
              <w:rPr>
                <w:sz w:val="20"/>
                <w:szCs w:val="20"/>
                <w:color w:val="auto"/>
              </w:rPr>
            </w:pPr>
            <w:r>
              <w:rPr>
                <w:rFonts w:ascii="Arial" w:cs="Arial" w:eastAsia="Arial" w:hAnsi="Arial"/>
                <w:sz w:val="10"/>
                <w:szCs w:val="10"/>
                <w:color w:val="auto"/>
                <w:w w:val="97"/>
              </w:rPr>
              <w:t>(1)</w:t>
            </w:r>
          </w:p>
        </w:tc>
        <w:tc>
          <w:tcPr>
            <w:tcW w:w="1340" w:type="dxa"/>
            <w:vAlign w:val="bottom"/>
          </w:tcPr>
          <w:p>
            <w:pPr>
              <w:ind w:left="20"/>
              <w:spacing w:after="0"/>
              <w:rPr>
                <w:sz w:val="20"/>
                <w:szCs w:val="20"/>
                <w:color w:val="auto"/>
              </w:rPr>
            </w:pPr>
            <w:r>
              <w:rPr>
                <w:rFonts w:ascii="Arial" w:cs="Arial" w:eastAsia="Arial" w:hAnsi="Arial"/>
                <w:sz w:val="15"/>
                <w:szCs w:val="15"/>
                <w:color w:val="auto"/>
              </w:rPr>
              <w:t>Time Based</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jc w:val="center"/>
              <w:spacing w:after="0"/>
              <w:rPr>
                <w:sz w:val="20"/>
                <w:szCs w:val="20"/>
                <w:color w:val="auto"/>
              </w:rPr>
            </w:pPr>
            <w:r>
              <w:rPr>
                <w:rFonts w:ascii="Arial" w:cs="Arial" w:eastAsia="Arial" w:hAnsi="Arial"/>
                <w:sz w:val="15"/>
                <w:szCs w:val="15"/>
                <w:color w:val="auto"/>
                <w:w w:val="95"/>
              </w:rPr>
              <w:t>2021</w:t>
            </w:r>
          </w:p>
        </w:tc>
        <w:tc>
          <w:tcPr>
            <w:tcW w:w="10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Arial" w:cs="Arial" w:eastAsia="Arial" w:hAnsi="Arial"/>
                <w:sz w:val="15"/>
                <w:szCs w:val="15"/>
                <w:color w:val="auto"/>
              </w:rPr>
              <w:t>Key Employees</w:t>
            </w:r>
          </w:p>
        </w:tc>
        <w:tc>
          <w:tcPr>
            <w:tcW w:w="340" w:type="dxa"/>
            <w:vAlign w:val="bottom"/>
          </w:tcPr>
          <w:p>
            <w:pPr>
              <w:jc w:val="right"/>
              <w:spacing w:after="0"/>
              <w:rPr>
                <w:sz w:val="20"/>
                <w:szCs w:val="20"/>
                <w:color w:val="auto"/>
              </w:rPr>
            </w:pPr>
            <w:r>
              <w:rPr>
                <w:rFonts w:ascii="Arial" w:cs="Arial" w:eastAsia="Arial" w:hAnsi="Arial"/>
                <w:sz w:val="15"/>
                <w:szCs w:val="15"/>
                <w:color w:val="auto"/>
                <w:w w:val="89"/>
              </w:rPr>
              <w:t>2015</w:t>
            </w:r>
          </w:p>
        </w:tc>
        <w:tc>
          <w:tcPr>
            <w:tcW w:w="294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90,406</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146.03</w:t>
            </w:r>
          </w:p>
        </w:tc>
        <w:tc>
          <w:tcPr>
            <w:tcW w:w="340" w:type="dxa"/>
            <w:vAlign w:val="bottom"/>
          </w:tcPr>
          <w:p>
            <w:pPr>
              <w:jc w:val="right"/>
              <w:ind w:right="150"/>
              <w:spacing w:after="0"/>
              <w:rPr>
                <w:sz w:val="20"/>
                <w:szCs w:val="20"/>
                <w:color w:val="auto"/>
              </w:rPr>
            </w:pPr>
            <w:r>
              <w:rPr>
                <w:rFonts w:ascii="Arial" w:cs="Arial" w:eastAsia="Arial" w:hAnsi="Arial"/>
                <w:sz w:val="10"/>
                <w:szCs w:val="10"/>
                <w:color w:val="auto"/>
                <w:w w:val="97"/>
              </w:rPr>
              <w:t>(1)</w:t>
            </w:r>
          </w:p>
        </w:tc>
        <w:tc>
          <w:tcPr>
            <w:tcW w:w="1340" w:type="dxa"/>
            <w:vAlign w:val="bottom"/>
          </w:tcPr>
          <w:p>
            <w:pPr>
              <w:ind w:left="20"/>
              <w:spacing w:after="0"/>
              <w:rPr>
                <w:sz w:val="20"/>
                <w:szCs w:val="20"/>
                <w:color w:val="auto"/>
              </w:rPr>
            </w:pPr>
            <w:r>
              <w:rPr>
                <w:rFonts w:ascii="Arial" w:cs="Arial" w:eastAsia="Arial" w:hAnsi="Arial"/>
                <w:sz w:val="15"/>
                <w:szCs w:val="15"/>
                <w:color w:val="auto"/>
              </w:rPr>
              <w:t>Time Based</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jc w:val="center"/>
              <w:spacing w:after="0"/>
              <w:rPr>
                <w:sz w:val="20"/>
                <w:szCs w:val="20"/>
                <w:color w:val="auto"/>
              </w:rPr>
            </w:pPr>
            <w:r>
              <w:rPr>
                <w:rFonts w:ascii="Arial" w:cs="Arial" w:eastAsia="Arial" w:hAnsi="Arial"/>
                <w:sz w:val="15"/>
                <w:szCs w:val="15"/>
                <w:color w:val="auto"/>
                <w:w w:val="95"/>
              </w:rPr>
              <w:t>2021</w:t>
            </w:r>
          </w:p>
        </w:tc>
        <w:tc>
          <w:tcPr>
            <w:tcW w:w="10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jc w:val="right"/>
              <w:spacing w:after="0"/>
              <w:rPr>
                <w:sz w:val="20"/>
                <w:szCs w:val="20"/>
                <w:color w:val="auto"/>
              </w:rPr>
            </w:pPr>
            <w:r>
              <w:rPr>
                <w:rFonts w:ascii="Arial" w:cs="Arial" w:eastAsia="Arial" w:hAnsi="Arial"/>
                <w:sz w:val="15"/>
                <w:szCs w:val="15"/>
                <w:color w:val="auto"/>
                <w:w w:val="89"/>
              </w:rPr>
              <w:t>2015</w:t>
            </w:r>
          </w:p>
        </w:tc>
        <w:tc>
          <w:tcPr>
            <w:tcW w:w="294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72,400</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151.67</w:t>
            </w:r>
          </w:p>
        </w:tc>
        <w:tc>
          <w:tcPr>
            <w:tcW w:w="340" w:type="dxa"/>
            <w:vAlign w:val="bottom"/>
          </w:tcPr>
          <w:p>
            <w:pPr>
              <w:jc w:val="right"/>
              <w:ind w:right="150"/>
              <w:spacing w:after="0"/>
              <w:rPr>
                <w:sz w:val="20"/>
                <w:szCs w:val="20"/>
                <w:color w:val="auto"/>
              </w:rPr>
            </w:pPr>
            <w:r>
              <w:rPr>
                <w:rFonts w:ascii="Arial" w:cs="Arial" w:eastAsia="Arial" w:hAnsi="Arial"/>
                <w:sz w:val="10"/>
                <w:szCs w:val="10"/>
                <w:color w:val="auto"/>
                <w:w w:val="97"/>
              </w:rPr>
              <w:t>(1)</w:t>
            </w:r>
          </w:p>
        </w:tc>
        <w:tc>
          <w:tcPr>
            <w:tcW w:w="1340" w:type="dxa"/>
            <w:vAlign w:val="bottom"/>
          </w:tcPr>
          <w:p>
            <w:pPr>
              <w:ind w:left="20"/>
              <w:spacing w:after="0"/>
              <w:rPr>
                <w:sz w:val="20"/>
                <w:szCs w:val="20"/>
                <w:color w:val="auto"/>
              </w:rPr>
            </w:pPr>
            <w:r>
              <w:rPr>
                <w:rFonts w:ascii="Arial" w:cs="Arial" w:eastAsia="Arial" w:hAnsi="Arial"/>
                <w:sz w:val="15"/>
                <w:szCs w:val="15"/>
                <w:color w:val="auto"/>
              </w:rPr>
              <w:t>Time Based</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jc w:val="center"/>
              <w:spacing w:after="0"/>
              <w:rPr>
                <w:sz w:val="20"/>
                <w:szCs w:val="20"/>
                <w:color w:val="auto"/>
              </w:rPr>
            </w:pPr>
            <w:r>
              <w:rPr>
                <w:rFonts w:ascii="Arial" w:cs="Arial" w:eastAsia="Arial" w:hAnsi="Arial"/>
                <w:sz w:val="15"/>
                <w:szCs w:val="15"/>
                <w:color w:val="auto"/>
                <w:w w:val="95"/>
              </w:rPr>
              <w:t>2021</w:t>
            </w:r>
          </w:p>
        </w:tc>
        <w:tc>
          <w:tcPr>
            <w:tcW w:w="10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Arial" w:cs="Arial" w:eastAsia="Arial" w:hAnsi="Arial"/>
                <w:sz w:val="15"/>
                <w:szCs w:val="15"/>
                <w:color w:val="auto"/>
              </w:rPr>
              <w:t>Executive Officers</w:t>
            </w:r>
          </w:p>
        </w:tc>
        <w:tc>
          <w:tcPr>
            <w:tcW w:w="340" w:type="dxa"/>
            <w:vAlign w:val="bottom"/>
          </w:tcPr>
          <w:p>
            <w:pPr>
              <w:jc w:val="right"/>
              <w:spacing w:after="0"/>
              <w:rPr>
                <w:sz w:val="20"/>
                <w:szCs w:val="20"/>
                <w:color w:val="auto"/>
              </w:rPr>
            </w:pPr>
            <w:r>
              <w:rPr>
                <w:rFonts w:ascii="Arial" w:cs="Arial" w:eastAsia="Arial" w:hAnsi="Arial"/>
                <w:sz w:val="15"/>
                <w:szCs w:val="15"/>
                <w:color w:val="auto"/>
                <w:w w:val="89"/>
              </w:rPr>
              <w:t>2015</w:t>
            </w:r>
          </w:p>
        </w:tc>
        <w:tc>
          <w:tcPr>
            <w:tcW w:w="2940" w:type="dxa"/>
            <w:vAlign w:val="bottom"/>
            <w:gridSpan w:val="2"/>
          </w:tcPr>
          <w:p>
            <w:pPr>
              <w:ind w:left="20"/>
              <w:spacing w:after="0"/>
              <w:rPr>
                <w:sz w:val="20"/>
                <w:szCs w:val="20"/>
                <w:color w:val="auto"/>
              </w:rPr>
            </w:pPr>
            <w:r>
              <w:rPr>
                <w:rFonts w:ascii="Arial" w:cs="Arial" w:eastAsia="Arial" w:hAnsi="Arial"/>
                <w:sz w:val="15"/>
                <w:szCs w:val="15"/>
                <w:color w:val="auto"/>
              </w:rPr>
              <w:t>Equity Incentive Plan</w:t>
            </w: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101,100</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93.41</w:t>
            </w:r>
          </w:p>
        </w:tc>
        <w:tc>
          <w:tcPr>
            <w:tcW w:w="340" w:type="dxa"/>
            <w:vAlign w:val="bottom"/>
          </w:tcPr>
          <w:p>
            <w:pPr>
              <w:jc w:val="right"/>
              <w:ind w:right="150"/>
              <w:spacing w:after="0"/>
              <w:rPr>
                <w:sz w:val="20"/>
                <w:szCs w:val="20"/>
                <w:color w:val="auto"/>
              </w:rPr>
            </w:pPr>
            <w:r>
              <w:rPr>
                <w:rFonts w:ascii="Arial" w:cs="Arial" w:eastAsia="Arial" w:hAnsi="Arial"/>
                <w:sz w:val="10"/>
                <w:szCs w:val="10"/>
                <w:color w:val="auto"/>
                <w:w w:val="97"/>
              </w:rPr>
              <w:t>(2)</w:t>
            </w:r>
          </w:p>
        </w:tc>
        <w:tc>
          <w:tcPr>
            <w:tcW w:w="1340" w:type="dxa"/>
            <w:vAlign w:val="bottom"/>
          </w:tcPr>
          <w:p>
            <w:pPr>
              <w:ind w:left="20"/>
              <w:spacing w:after="0"/>
              <w:rPr>
                <w:sz w:val="20"/>
                <w:szCs w:val="20"/>
                <w:color w:val="auto"/>
              </w:rPr>
            </w:pPr>
            <w:r>
              <w:rPr>
                <w:rFonts w:ascii="Arial" w:cs="Arial" w:eastAsia="Arial" w:hAnsi="Arial"/>
                <w:sz w:val="15"/>
                <w:szCs w:val="15"/>
                <w:color w:val="auto"/>
              </w:rPr>
              <w:t>Market Condition</w:t>
            </w:r>
          </w:p>
        </w:tc>
        <w:tc>
          <w:tcPr>
            <w:tcW w:w="480" w:type="dxa"/>
            <w:vAlign w:val="bottom"/>
          </w:tcPr>
          <w:p>
            <w:pPr>
              <w:jc w:val="right"/>
              <w:ind w:right="150"/>
              <w:spacing w:after="0"/>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237"/>
        </w:trPr>
        <w:tc>
          <w:tcPr>
            <w:tcW w:w="1120" w:type="dxa"/>
            <w:vAlign w:val="bottom"/>
          </w:tcPr>
          <w:p>
            <w:pPr>
              <w:jc w:val="center"/>
              <w:spacing w:after="0"/>
              <w:rPr>
                <w:sz w:val="20"/>
                <w:szCs w:val="20"/>
                <w:color w:val="auto"/>
              </w:rPr>
            </w:pPr>
            <w:r>
              <w:rPr>
                <w:rFonts w:ascii="Arial" w:cs="Arial" w:eastAsia="Arial" w:hAnsi="Arial"/>
                <w:sz w:val="15"/>
                <w:szCs w:val="15"/>
                <w:color w:val="auto"/>
                <w:w w:val="95"/>
              </w:rPr>
              <w:t>2021</w:t>
            </w:r>
          </w:p>
        </w:tc>
        <w:tc>
          <w:tcPr>
            <w:tcW w:w="10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Arial" w:cs="Arial" w:eastAsia="Arial" w:hAnsi="Arial"/>
                <w:sz w:val="15"/>
                <w:szCs w:val="15"/>
                <w:color w:val="auto"/>
              </w:rPr>
              <w:t>Directors</w:t>
            </w:r>
          </w:p>
        </w:tc>
        <w:tc>
          <w:tcPr>
            <w:tcW w:w="340" w:type="dxa"/>
            <w:vAlign w:val="bottom"/>
          </w:tcPr>
          <w:p>
            <w:pPr>
              <w:jc w:val="right"/>
              <w:spacing w:after="0"/>
              <w:rPr>
                <w:sz w:val="20"/>
                <w:szCs w:val="20"/>
                <w:color w:val="auto"/>
              </w:rPr>
            </w:pPr>
            <w:r>
              <w:rPr>
                <w:rFonts w:ascii="Arial" w:cs="Arial" w:eastAsia="Arial" w:hAnsi="Arial"/>
                <w:sz w:val="15"/>
                <w:szCs w:val="15"/>
                <w:color w:val="auto"/>
                <w:w w:val="89"/>
              </w:rPr>
              <w:t>2004</w:t>
            </w:r>
          </w:p>
        </w:tc>
        <w:tc>
          <w:tcPr>
            <w:tcW w:w="2940" w:type="dxa"/>
            <w:vAlign w:val="bottom"/>
            <w:gridSpan w:val="2"/>
          </w:tcPr>
          <w:p>
            <w:pPr>
              <w:ind w:left="20"/>
              <w:spacing w:after="0"/>
              <w:rPr>
                <w:sz w:val="20"/>
                <w:szCs w:val="20"/>
                <w:color w:val="auto"/>
              </w:rPr>
            </w:pPr>
            <w:r>
              <w:rPr>
                <w:rFonts w:ascii="Arial" w:cs="Arial" w:eastAsia="Arial" w:hAnsi="Arial"/>
                <w:sz w:val="15"/>
                <w:szCs w:val="15"/>
                <w:color w:val="auto"/>
              </w:rPr>
              <w:t>Non-Employee Director Option Plan</w:t>
            </w:r>
          </w:p>
        </w:tc>
        <w:tc>
          <w:tcPr>
            <w:tcW w:w="1280" w:type="dxa"/>
            <w:vAlign w:val="bottom"/>
          </w:tcPr>
          <w:p>
            <w:pPr>
              <w:jc w:val="right"/>
              <w:ind w:right="4"/>
              <w:spacing w:after="0"/>
              <w:rPr>
                <w:sz w:val="20"/>
                <w:szCs w:val="20"/>
                <w:color w:val="auto"/>
              </w:rPr>
            </w:pPr>
            <w:r>
              <w:rPr>
                <w:rFonts w:ascii="Arial" w:cs="Arial" w:eastAsia="Arial" w:hAnsi="Arial"/>
                <w:sz w:val="15"/>
                <w:szCs w:val="15"/>
                <w:color w:val="auto"/>
              </w:rPr>
              <w:t>11,709</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179.64</w:t>
            </w:r>
          </w:p>
        </w:tc>
        <w:tc>
          <w:tcPr>
            <w:tcW w:w="340" w:type="dxa"/>
            <w:vAlign w:val="bottom"/>
          </w:tcPr>
          <w:p>
            <w:pPr>
              <w:jc w:val="right"/>
              <w:ind w:right="150"/>
              <w:spacing w:after="0"/>
              <w:rPr>
                <w:sz w:val="20"/>
                <w:szCs w:val="20"/>
                <w:color w:val="auto"/>
              </w:rPr>
            </w:pPr>
            <w:r>
              <w:rPr>
                <w:rFonts w:ascii="Arial" w:cs="Arial" w:eastAsia="Arial" w:hAnsi="Arial"/>
                <w:sz w:val="10"/>
                <w:szCs w:val="10"/>
                <w:color w:val="auto"/>
                <w:w w:val="97"/>
              </w:rPr>
              <w:t>(1)</w:t>
            </w:r>
          </w:p>
        </w:tc>
        <w:tc>
          <w:tcPr>
            <w:tcW w:w="1340" w:type="dxa"/>
            <w:vAlign w:val="bottom"/>
          </w:tcPr>
          <w:p>
            <w:pPr>
              <w:ind w:left="20"/>
              <w:spacing w:after="0"/>
              <w:rPr>
                <w:sz w:val="20"/>
                <w:szCs w:val="20"/>
                <w:color w:val="auto"/>
              </w:rPr>
            </w:pPr>
            <w:r>
              <w:rPr>
                <w:rFonts w:ascii="Arial" w:cs="Arial" w:eastAsia="Arial" w:hAnsi="Arial"/>
                <w:sz w:val="15"/>
                <w:szCs w:val="15"/>
                <w:color w:val="auto"/>
              </w:rPr>
              <w:t>Time Based</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-1031240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-765810</wp:posOffset>
            </wp:positionV>
            <wp:extent cx="713232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-508635</wp:posOffset>
            </wp:positionV>
            <wp:extent cx="713232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53" w:lineRule="exact"/>
        <w:rPr>
          <w:sz w:val="20"/>
          <w:szCs w:val="20"/>
          <w:color w:val="auto"/>
        </w:rPr>
      </w:pPr>
    </w:p>
    <w:p>
      <w:pPr>
        <w:ind w:left="160" w:hanging="152"/>
        <w:spacing w:after="0"/>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Represents the weighted average fair value per share of the closing price of our common stock on the dates the shares were awarded.</w:t>
      </w:r>
    </w:p>
    <w:p>
      <w:pPr>
        <w:spacing w:after="0" w:line="45"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Represents the weighted average fair value per share of the Monte Carlo simulation fair value price of our market condition awards on the dates the shares were awarded.</w:t>
      </w:r>
    </w:p>
    <w:p>
      <w:pPr>
        <w:spacing w:after="0" w:line="46" w:lineRule="exact"/>
        <w:rPr>
          <w:rFonts w:ascii="Arial" w:cs="Arial" w:eastAsia="Arial" w:hAnsi="Arial"/>
          <w:sz w:val="18"/>
          <w:szCs w:val="18"/>
          <w:color w:val="auto"/>
          <w:vertAlign w:val="superscript"/>
        </w:rPr>
      </w:pPr>
    </w:p>
    <w:p>
      <w:pPr>
        <w:ind w:left="160" w:hanging="152"/>
        <w:spacing w:after="0" w:line="208" w:lineRule="auto"/>
        <w:tabs>
          <w:tab w:leader="none" w:pos="160" w:val="left"/>
        </w:tabs>
        <w:numPr>
          <w:ilvl w:val="0"/>
          <w:numId w:val="21"/>
        </w:numPr>
        <w:rPr>
          <w:rFonts w:ascii="Arial" w:cs="Arial" w:eastAsia="Arial" w:hAnsi="Arial"/>
          <w:sz w:val="17"/>
          <w:szCs w:val="17"/>
          <w:color w:val="auto"/>
          <w:vertAlign w:val="superscript"/>
        </w:rPr>
      </w:pPr>
      <w:r>
        <w:rPr>
          <w:rFonts w:ascii="Arial" w:cs="Arial" w:eastAsia="Arial" w:hAnsi="Arial"/>
          <w:sz w:val="13"/>
          <w:szCs w:val="13"/>
          <w:color w:val="auto"/>
        </w:rPr>
        <w:t>Share-based compensation for restricted stock awards with market conditions is measured based on shares expected to vest using a Monte Carlo simulation to determine fair value.</w:t>
      </w:r>
    </w:p>
    <w:p>
      <w:pPr>
        <w:spacing w:after="0" w:line="2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vesting requirements for 230,411 and 252,153 restricted shares granted to our executives, directors and employees were satisfied during the three months ended March 31, 2022 and 2021,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40" w:hanging="432"/>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("ASC 280"), establishes standards for the way the business enterprises report information about operating segments in its financial statements. As described in Note 1, "Basis of Presentation," we analyze our operating results through the following segments: (i) Manufactured home ("MH") communities, (ii) Recreational vehicle ("RV") resorts and (iii) Marina.</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MH segment owns, operates, develops, or has an interest in, a portfolio of MH communities throughout the U.S. and the UK, and is in the business of acquiring, operating and developing ground up MH communities to provide affordable housing solutions to residents. The MH segment also provides manufactured home sales and leasing services to tenants and prospective tenants of our communities.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RV segment owns, operates, develops, or has an interest in, a portfolio of RV resorts and is in the business of acquiring, operating and developing ground up RV resorts throughout the U.S. and in Canada. It also provides leasing services for vacation rentals within the RV resorts.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Marina segment owns, operates, and develops marinas, and is in the business of acquiring and operating marinas throughout the U.S., with the majority of such marinas concentrated in coastal regions, and others located in various inland regions and Puerto Rico.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Properties containing both MH and RV sites are classified to a segment based on the predominant site counts at the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jc w:val="center"/>
        <w:ind w:right="-99"/>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 presentation of segment financial information is summarized as follows (in millions):</w:t>
      </w:r>
    </w:p>
    <w:p>
      <w:pPr>
        <w:spacing w:after="0" w:line="290" w:lineRule="exact"/>
        <w:rPr>
          <w:sz w:val="20"/>
          <w:szCs w:val="20"/>
          <w:color w:val="auto"/>
        </w:rPr>
      </w:pPr>
    </w:p>
    <w:tbl>
      <w:tblPr>
        <w:tblLayout w:type="fixed"/>
        <w:tblInd w:w="100" w:type="dxa"/>
        <w:tblCellMar>
          <w:top w:w="0" w:type="dxa"/>
          <w:left w:w="0" w:type="dxa"/>
          <w:bottom w:w="0" w:type="dxa"/>
          <w:right w:w="0" w:type="dxa"/>
        </w:tblCellMar>
      </w:tblPr>
      <w:tr>
        <w:trPr>
          <w:trHeight w:val="202"/>
        </w:trPr>
        <w:tc>
          <w:tcPr>
            <w:tcW w:w="3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420"/>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5"/>
          </w:tcPr>
          <w:p>
            <w:pPr>
              <w:ind w:left="300"/>
              <w:spacing w:after="0"/>
              <w:rPr>
                <w:sz w:val="20"/>
                <w:szCs w:val="20"/>
                <w:color w:val="auto"/>
              </w:rPr>
            </w:pPr>
            <w:r>
              <w:rPr>
                <w:rFonts w:ascii="Arial" w:cs="Arial" w:eastAsia="Arial" w:hAnsi="Arial"/>
                <w:sz w:val="15"/>
                <w:szCs w:val="15"/>
                <w:b w:val="1"/>
                <w:bCs w:val="1"/>
                <w:color w:val="auto"/>
              </w:rPr>
              <w:t>March 31, 2022</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5"/>
          </w:tcPr>
          <w:p>
            <w:pPr>
              <w:ind w:left="340"/>
              <w:spacing w:after="0"/>
              <w:rPr>
                <w:sz w:val="20"/>
                <w:szCs w:val="20"/>
                <w:color w:val="auto"/>
              </w:rPr>
            </w:pPr>
            <w:r>
              <w:rPr>
                <w:rFonts w:ascii="Arial" w:cs="Arial" w:eastAsia="Arial" w:hAnsi="Arial"/>
                <w:sz w:val="15"/>
                <w:szCs w:val="15"/>
                <w:b w:val="1"/>
                <w:bCs w:val="1"/>
                <w:color w:val="auto"/>
              </w:rPr>
              <w:t>March 31, 2021</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MH</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RV</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Marina</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0"/>
              </w:rPr>
              <w:t>Consolidated</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MH</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RV</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rPr>
              <w:t>Marina</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revenues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147.9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533.7</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95.6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433.4</w:t>
            </w:r>
          </w:p>
        </w:tc>
        <w:tc>
          <w:tcPr>
            <w:tcW w:w="0" w:type="dxa"/>
            <w:vAlign w:val="bottom"/>
          </w:tcPr>
          <w:p>
            <w:pPr>
              <w:spacing w:after="0"/>
              <w:rPr>
                <w:sz w:val="1"/>
                <w:szCs w:val="1"/>
                <w:color w:val="auto"/>
              </w:rPr>
            </w:pPr>
          </w:p>
        </w:tc>
      </w:tr>
      <w:tr>
        <w:trPr>
          <w:trHeight w:val="198"/>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Operating expenses / Cost of sales</w:t>
            </w: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107.4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97.3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271.8</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97.1</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64.2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213.0</w:t>
            </w:r>
          </w:p>
        </w:tc>
        <w:tc>
          <w:tcPr>
            <w:tcW w:w="0" w:type="dxa"/>
            <w:vAlign w:val="bottom"/>
          </w:tcPr>
          <w:p>
            <w:pPr>
              <w:spacing w:after="0"/>
              <w:rPr>
                <w:sz w:val="1"/>
                <w:szCs w:val="1"/>
                <w:color w:val="auto"/>
              </w:rPr>
            </w:pPr>
          </w:p>
        </w:tc>
      </w:tr>
      <w:tr>
        <w:trPr>
          <w:trHeight w:val="200"/>
        </w:trPr>
        <w:tc>
          <w:tcPr>
            <w:tcW w:w="332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NOI</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261.9</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220.4</w:t>
            </w:r>
          </w:p>
        </w:tc>
        <w:tc>
          <w:tcPr>
            <w:tcW w:w="0" w:type="dxa"/>
            <w:vAlign w:val="bottom"/>
          </w:tcPr>
          <w:p>
            <w:pPr>
              <w:spacing w:after="0"/>
              <w:rPr>
                <w:sz w:val="1"/>
                <w:szCs w:val="1"/>
                <w:color w:val="auto"/>
              </w:rPr>
            </w:pPr>
          </w:p>
        </w:tc>
      </w:tr>
      <w:tr>
        <w:trPr>
          <w:trHeight w:val="198"/>
        </w:trPr>
        <w:tc>
          <w:tcPr>
            <w:tcW w:w="3320" w:type="dxa"/>
            <w:vAlign w:val="bottom"/>
          </w:tcPr>
          <w:p>
            <w:pPr>
              <w:ind w:left="20"/>
              <w:spacing w:after="0"/>
              <w:rPr>
                <w:sz w:val="20"/>
                <w:szCs w:val="20"/>
                <w:color w:val="auto"/>
              </w:rPr>
            </w:pPr>
            <w:r>
              <w:rPr>
                <w:rFonts w:ascii="Arial" w:cs="Arial" w:eastAsia="Arial" w:hAnsi="Arial"/>
                <w:sz w:val="15"/>
                <w:szCs w:val="15"/>
                <w:color w:val="auto"/>
              </w:rPr>
              <w:t>Adjustments to arrive at net income</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income</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98"/>
        </w:trPr>
        <w:tc>
          <w:tcPr>
            <w:tcW w:w="3320" w:type="dxa"/>
            <w:vAlign w:val="bottom"/>
          </w:tcPr>
          <w:p>
            <w:pPr>
              <w:ind w:left="140"/>
              <w:spacing w:after="0"/>
              <w:rPr>
                <w:sz w:val="20"/>
                <w:szCs w:val="20"/>
                <w:color w:val="auto"/>
              </w:rPr>
            </w:pPr>
            <w:r>
              <w:rPr>
                <w:rFonts w:ascii="Arial" w:cs="Arial" w:eastAsia="Arial" w:hAnsi="Arial"/>
                <w:sz w:val="15"/>
                <w:szCs w:val="15"/>
                <w:color w:val="auto"/>
                <w:w w:val="97"/>
              </w:rPr>
              <w:t>Brokerage commissions and other revenues, net</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 expense</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(38.2)</w:t>
            </w:r>
          </w:p>
        </w:tc>
        <w:tc>
          <w:tcPr>
            <w:tcW w:w="0" w:type="dxa"/>
            <w:vAlign w:val="bottom"/>
          </w:tcPr>
          <w:p>
            <w:pPr>
              <w:spacing w:after="0"/>
              <w:rPr>
                <w:sz w:val="1"/>
                <w:szCs w:val="1"/>
                <w:color w:val="auto"/>
              </w:rPr>
            </w:pPr>
          </w:p>
        </w:tc>
      </w:tr>
      <w:tr>
        <w:trPr>
          <w:trHeight w:val="198"/>
        </w:trPr>
        <w:tc>
          <w:tcPr>
            <w:tcW w:w="3320" w:type="dxa"/>
            <w:vAlign w:val="bottom"/>
          </w:tcPr>
          <w:p>
            <w:pPr>
              <w:ind w:left="140"/>
              <w:spacing w:after="0"/>
              <w:rPr>
                <w:sz w:val="20"/>
                <w:szCs w:val="20"/>
                <w:color w:val="auto"/>
              </w:rPr>
            </w:pPr>
            <w:r>
              <w:rPr>
                <w:rFonts w:ascii="Arial" w:cs="Arial" w:eastAsia="Arial" w:hAnsi="Arial"/>
                <w:sz w:val="15"/>
                <w:szCs w:val="15"/>
                <w:color w:val="auto"/>
              </w:rPr>
              <w:t>Catastrophic event-related charges, net</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Business combination expense, net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98"/>
        </w:trPr>
        <w:tc>
          <w:tcPr>
            <w:tcW w:w="3320" w:type="dxa"/>
            <w:vAlign w:val="bottom"/>
          </w:tcPr>
          <w:p>
            <w:pPr>
              <w:ind w:left="140"/>
              <w:spacing w:after="0"/>
              <w:rPr>
                <w:sz w:val="20"/>
                <w:szCs w:val="20"/>
                <w:color w:val="auto"/>
              </w:rPr>
            </w:pPr>
            <w:r>
              <w:rPr>
                <w:rFonts w:ascii="Arial" w:cs="Arial" w:eastAsia="Arial" w:hAnsi="Arial"/>
                <w:sz w:val="15"/>
                <w:szCs w:val="15"/>
                <w:color w:val="auto"/>
              </w:rPr>
              <w:t>Depreciation and amortization</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(148.5)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(123.9)</w:t>
            </w: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on extinguishment of debt (see Note 8)</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320" w:type="dxa"/>
            <w:vAlign w:val="bottom"/>
          </w:tcPr>
          <w:p>
            <w:pPr>
              <w:ind w:left="140"/>
              <w:spacing w:after="0"/>
              <w:rPr>
                <w:sz w:val="20"/>
                <w:szCs w:val="20"/>
                <w:color w:val="auto"/>
              </w:rPr>
            </w:pPr>
            <w:r>
              <w:rPr>
                <w:rFonts w:ascii="Arial" w:cs="Arial" w:eastAsia="Arial" w:hAnsi="Arial"/>
                <w:sz w:val="15"/>
                <w:szCs w:val="15"/>
                <w:color w:val="auto"/>
              </w:rPr>
              <w:t>Interest expense</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(45.2)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(39.5)</w:t>
            </w: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w w:val="96"/>
              </w:rPr>
              <w:t>Interest on mandatorily redeemable preferred OP</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units / equity</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320" w:type="dxa"/>
            <w:vAlign w:val="bottom"/>
          </w:tcPr>
          <w:p>
            <w:pPr>
              <w:ind w:left="140"/>
              <w:spacing w:after="0" w:line="149" w:lineRule="exact"/>
              <w:rPr>
                <w:sz w:val="20"/>
                <w:szCs w:val="20"/>
                <w:color w:val="auto"/>
              </w:rPr>
            </w:pPr>
            <w:r>
              <w:rPr>
                <w:rFonts w:ascii="Arial" w:cs="Arial" w:eastAsia="Arial" w:hAnsi="Arial"/>
                <w:sz w:val="15"/>
                <w:szCs w:val="15"/>
                <w:color w:val="auto"/>
              </w:rPr>
              <w:t>Gain / (loss) on remeasurement of marketable</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(34.5)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98"/>
        </w:trPr>
        <w:tc>
          <w:tcPr>
            <w:tcW w:w="3320" w:type="dxa"/>
            <w:vAlign w:val="bottom"/>
          </w:tcPr>
          <w:p>
            <w:pPr>
              <w:ind w:left="140"/>
              <w:spacing w:after="0"/>
              <w:rPr>
                <w:sz w:val="20"/>
                <w:szCs w:val="20"/>
                <w:color w:val="auto"/>
              </w:rPr>
            </w:pPr>
            <w:r>
              <w:rPr>
                <w:rFonts w:ascii="Arial" w:cs="Arial" w:eastAsia="Arial" w:hAnsi="Arial"/>
                <w:sz w:val="15"/>
                <w:szCs w:val="15"/>
                <w:color w:val="auto"/>
              </w:rPr>
              <w:t>securities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on foreign currency translation</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320" w:type="dxa"/>
            <w:vAlign w:val="bottom"/>
          </w:tcPr>
          <w:p>
            <w:pPr>
              <w:ind w:left="140"/>
              <w:spacing w:after="0"/>
              <w:rPr>
                <w:sz w:val="20"/>
                <w:szCs w:val="20"/>
                <w:color w:val="auto"/>
              </w:rPr>
            </w:pPr>
            <w:r>
              <w:rPr>
                <w:rFonts w:ascii="Arial" w:cs="Arial" w:eastAsia="Arial" w:hAnsi="Arial"/>
                <w:sz w:val="15"/>
                <w:szCs w:val="15"/>
                <w:color w:val="auto"/>
              </w:rPr>
              <w:t>Gain on dispositions of properties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expense, net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198"/>
        </w:trPr>
        <w:tc>
          <w:tcPr>
            <w:tcW w:w="3320" w:type="dxa"/>
            <w:vAlign w:val="bottom"/>
          </w:tcPr>
          <w:p>
            <w:pPr>
              <w:ind w:left="140"/>
              <w:spacing w:after="0"/>
              <w:rPr>
                <w:sz w:val="20"/>
                <w:szCs w:val="20"/>
                <w:color w:val="auto"/>
              </w:rPr>
            </w:pPr>
            <w:r>
              <w:rPr>
                <w:rFonts w:ascii="Arial" w:cs="Arial" w:eastAsia="Arial" w:hAnsi="Arial"/>
                <w:sz w:val="15"/>
                <w:szCs w:val="15"/>
                <w:color w:val="auto"/>
              </w:rPr>
              <w:t>Gain on remeasurement of notes receivable</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w w:val="97"/>
              </w:rPr>
              <w:t>Income from nonconsolidated affiliates (see Note</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6)</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320" w:type="dxa"/>
            <w:vAlign w:val="bottom"/>
          </w:tcPr>
          <w:p>
            <w:pPr>
              <w:ind w:left="140"/>
              <w:spacing w:after="0" w:line="149" w:lineRule="exact"/>
              <w:rPr>
                <w:sz w:val="20"/>
                <w:szCs w:val="20"/>
                <w:color w:val="auto"/>
              </w:rPr>
            </w:pPr>
            <w:r>
              <w:rPr>
                <w:rFonts w:ascii="Arial" w:cs="Arial" w:eastAsia="Arial" w:hAnsi="Arial"/>
                <w:sz w:val="15"/>
                <w:szCs w:val="15"/>
                <w:color w:val="auto"/>
              </w:rPr>
              <w:t>Gain on remeasurement of investment in</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0.1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98"/>
        </w:trPr>
        <w:tc>
          <w:tcPr>
            <w:tcW w:w="3320" w:type="dxa"/>
            <w:vAlign w:val="bottom"/>
          </w:tcPr>
          <w:p>
            <w:pPr>
              <w:ind w:left="140"/>
              <w:spacing w:after="0"/>
              <w:rPr>
                <w:sz w:val="20"/>
                <w:szCs w:val="20"/>
                <w:color w:val="auto"/>
              </w:rPr>
            </w:pPr>
            <w:r>
              <w:rPr>
                <w:rFonts w:ascii="Arial" w:cs="Arial" w:eastAsia="Arial" w:hAnsi="Arial"/>
                <w:sz w:val="15"/>
                <w:szCs w:val="15"/>
                <w:color w:val="auto"/>
              </w:rPr>
              <w:t>nonconsolidated affiliates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Current tax benefit / (expense)</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98"/>
        </w:trPr>
        <w:tc>
          <w:tcPr>
            <w:tcW w:w="33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Deferred tax benefit</w:t>
            </w:r>
          </w:p>
        </w:tc>
        <w:tc>
          <w:tcPr>
            <w:tcW w:w="2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0"/>
        </w:trPr>
        <w:tc>
          <w:tcPr>
            <w:tcW w:w="332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Net Income</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w:t>
            </w:r>
          </w:p>
        </w:tc>
        <w:tc>
          <w:tcPr>
            <w:tcW w:w="0" w:type="dxa"/>
            <w:vAlign w:val="bottom"/>
          </w:tcPr>
          <w:p>
            <w:pPr>
              <w:spacing w:after="0"/>
              <w:rPr>
                <w:sz w:val="1"/>
                <w:szCs w:val="1"/>
                <w:color w:val="auto"/>
              </w:rPr>
            </w:pPr>
          </w:p>
        </w:tc>
      </w:tr>
      <w:tr>
        <w:trPr>
          <w:trHeight w:val="149"/>
        </w:trPr>
        <w:tc>
          <w:tcPr>
            <w:tcW w:w="3320" w:type="dxa"/>
            <w:vAlign w:val="bottom"/>
          </w:tcPr>
          <w:p>
            <w:pPr>
              <w:ind w:left="360"/>
              <w:spacing w:after="0" w:line="149" w:lineRule="exact"/>
              <w:rPr>
                <w:sz w:val="20"/>
                <w:szCs w:val="20"/>
                <w:color w:val="auto"/>
              </w:rPr>
            </w:pPr>
            <w:r>
              <w:rPr>
                <w:rFonts w:ascii="Arial" w:cs="Arial" w:eastAsia="Arial" w:hAnsi="Arial"/>
                <w:sz w:val="15"/>
                <w:szCs w:val="15"/>
                <w:color w:val="auto"/>
                <w:w w:val="98"/>
              </w:rPr>
              <w:t>Less: Preferred return to preferred OP units /</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3.0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98"/>
        </w:trPr>
        <w:tc>
          <w:tcPr>
            <w:tcW w:w="3320" w:type="dxa"/>
            <w:vAlign w:val="bottom"/>
          </w:tcPr>
          <w:p>
            <w:pPr>
              <w:ind w:left="360"/>
              <w:spacing w:after="0"/>
              <w:rPr>
                <w:sz w:val="20"/>
                <w:szCs w:val="20"/>
                <w:color w:val="auto"/>
              </w:rPr>
            </w:pPr>
            <w:r>
              <w:rPr>
                <w:rFonts w:ascii="Arial" w:cs="Arial" w:eastAsia="Arial" w:hAnsi="Arial"/>
                <w:sz w:val="15"/>
                <w:szCs w:val="15"/>
                <w:color w:val="auto"/>
              </w:rPr>
              <w:t>equity interests</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320" w:type="dxa"/>
            <w:vAlign w:val="bottom"/>
            <w:shd w:val="clear" w:color="auto" w:fill="CCEEFF"/>
          </w:tcPr>
          <w:p>
            <w:pPr>
              <w:ind w:left="360"/>
              <w:spacing w:after="0" w:line="153" w:lineRule="exact"/>
              <w:rPr>
                <w:sz w:val="20"/>
                <w:szCs w:val="20"/>
                <w:color w:val="auto"/>
              </w:rPr>
            </w:pPr>
            <w:r>
              <w:rPr>
                <w:rFonts w:ascii="Arial" w:cs="Arial" w:eastAsia="Arial" w:hAnsi="Arial"/>
                <w:sz w:val="15"/>
                <w:szCs w:val="15"/>
                <w:color w:val="auto"/>
              </w:rPr>
              <w:t>Less: Income / (loss) attributable to</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noncontrolling interests</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320" w:type="dxa"/>
            <w:vAlign w:val="bottom"/>
          </w:tcPr>
          <w:p>
            <w:pPr>
              <w:ind w:left="140"/>
              <w:spacing w:after="0" w:line="129" w:lineRule="exact"/>
              <w:rPr>
                <w:sz w:val="20"/>
                <w:szCs w:val="20"/>
                <w:color w:val="auto"/>
              </w:rPr>
            </w:pPr>
            <w:r>
              <w:rPr>
                <w:rFonts w:ascii="Arial" w:cs="Arial" w:eastAsia="Arial" w:hAnsi="Arial"/>
                <w:sz w:val="14"/>
                <w:szCs w:val="14"/>
                <w:b w:val="1"/>
                <w:bCs w:val="1"/>
                <w:color w:val="auto"/>
              </w:rPr>
              <w:t>Net Income Attributable to Sun Communities,</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0.7</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24.8</w:t>
            </w:r>
          </w:p>
        </w:tc>
        <w:tc>
          <w:tcPr>
            <w:tcW w:w="0" w:type="dxa"/>
            <w:vAlign w:val="bottom"/>
          </w:tcPr>
          <w:p>
            <w:pPr>
              <w:spacing w:after="0"/>
              <w:rPr>
                <w:sz w:val="1"/>
                <w:szCs w:val="1"/>
                <w:color w:val="auto"/>
              </w:rPr>
            </w:pPr>
          </w:p>
        </w:tc>
      </w:tr>
      <w:tr>
        <w:trPr>
          <w:trHeight w:val="180"/>
        </w:trPr>
        <w:tc>
          <w:tcPr>
            <w:tcW w:w="3320" w:type="dxa"/>
            <w:vAlign w:val="bottom"/>
          </w:tcPr>
          <w:p>
            <w:pPr>
              <w:ind w:left="140"/>
              <w:spacing w:after="0"/>
              <w:rPr>
                <w:sz w:val="20"/>
                <w:szCs w:val="20"/>
                <w:color w:val="auto"/>
              </w:rPr>
            </w:pPr>
            <w:r>
              <w:rPr>
                <w:rFonts w:ascii="Arial" w:cs="Arial" w:eastAsia="Arial" w:hAnsi="Arial"/>
                <w:sz w:val="15"/>
                <w:szCs w:val="15"/>
                <w:b w:val="1"/>
                <w:bCs w:val="1"/>
                <w:color w:val="auto"/>
              </w:rPr>
              <w:t>Inc. Common Shareholders</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5"/>
                <w:szCs w:val="15"/>
                <w:b w:val="1"/>
                <w:bCs w:val="1"/>
                <w:color w:val="auto"/>
              </w:rPr>
              <w:t>March 31, 2022</w:t>
            </w:r>
          </w:p>
        </w:tc>
        <w:tc>
          <w:tcPr>
            <w:tcW w:w="1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5"/>
                <w:szCs w:val="15"/>
                <w:b w:val="1"/>
                <w:bCs w:val="1"/>
                <w:color w:val="auto"/>
              </w:rPr>
              <w:t>December 31, 2021</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MH</w:t>
            </w:r>
          </w:p>
        </w:tc>
        <w:tc>
          <w:tcPr>
            <w:tcW w:w="106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RV</w:t>
            </w:r>
          </w:p>
        </w:tc>
        <w:tc>
          <w:tcPr>
            <w:tcW w:w="110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Marina</w:t>
            </w:r>
          </w:p>
        </w:tc>
        <w:tc>
          <w:tcPr>
            <w:tcW w:w="1100" w:type="dxa"/>
            <w:vAlign w:val="bottom"/>
          </w:tcPr>
          <w:p>
            <w:pPr>
              <w:jc w:val="right"/>
              <w:ind w:right="124"/>
              <w:spacing w:after="0"/>
              <w:rPr>
                <w:sz w:val="20"/>
                <w:szCs w:val="20"/>
                <w:color w:val="auto"/>
              </w:rPr>
            </w:pPr>
            <w:r>
              <w:rPr>
                <w:rFonts w:ascii="Arial" w:cs="Arial" w:eastAsia="Arial" w:hAnsi="Arial"/>
                <w:sz w:val="15"/>
                <w:szCs w:val="15"/>
                <w:b w:val="1"/>
                <w:bCs w:val="1"/>
                <w:color w:val="auto"/>
                <w:w w:val="92"/>
              </w:rPr>
              <w:t>Consolidated</w:t>
            </w:r>
          </w:p>
        </w:tc>
        <w:tc>
          <w:tcPr>
            <w:tcW w:w="160" w:type="dxa"/>
            <w:vAlign w:val="bottom"/>
          </w:tcPr>
          <w:p>
            <w:pPr>
              <w:spacing w:after="0"/>
              <w:rPr>
                <w:sz w:val="17"/>
                <w:szCs w:val="17"/>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MH</w:t>
            </w:r>
          </w:p>
        </w:tc>
        <w:tc>
          <w:tcPr>
            <w:tcW w:w="106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RV</w:t>
            </w:r>
          </w:p>
        </w:tc>
        <w:tc>
          <w:tcPr>
            <w:tcW w:w="104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Marina</w:t>
            </w:r>
          </w:p>
        </w:tc>
        <w:tc>
          <w:tcPr>
            <w:tcW w:w="1100" w:type="dxa"/>
            <w:vAlign w:val="bottom"/>
          </w:tcPr>
          <w:p>
            <w:pPr>
              <w:jc w:val="right"/>
              <w:ind w:right="124"/>
              <w:spacing w:after="0"/>
              <w:rPr>
                <w:sz w:val="20"/>
                <w:szCs w:val="20"/>
                <w:color w:val="auto"/>
              </w:rPr>
            </w:pPr>
            <w:r>
              <w:rPr>
                <w:rFonts w:ascii="Arial" w:cs="Arial" w:eastAsia="Arial" w:hAnsi="Arial"/>
                <w:sz w:val="15"/>
                <w:szCs w:val="15"/>
                <w:b w:val="1"/>
                <w:bCs w:val="1"/>
                <w:color w:val="auto"/>
                <w:w w:val="92"/>
              </w:rPr>
              <w:t>Consolidated</w:t>
            </w: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dentifiable Assets</w:t>
            </w:r>
          </w:p>
        </w:tc>
        <w:tc>
          <w:tcPr>
            <w:tcW w:w="2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240" w:type="dxa"/>
            <w:vAlign w:val="bottom"/>
            <w:gridSpan w:val="2"/>
          </w:tcPr>
          <w:p>
            <w:pPr>
              <w:ind w:left="80"/>
              <w:spacing w:after="0"/>
              <w:rPr>
                <w:sz w:val="20"/>
                <w:szCs w:val="20"/>
                <w:color w:val="auto"/>
              </w:rPr>
            </w:pPr>
            <w:r>
              <w:rPr>
                <w:rFonts w:ascii="Arial" w:cs="Arial" w:eastAsia="Arial" w:hAnsi="Arial"/>
                <w:sz w:val="15"/>
                <w:szCs w:val="15"/>
                <w:color w:val="auto"/>
              </w:rPr>
              <w:t>Investment property, net</w:t>
            </w:r>
          </w:p>
        </w:tc>
        <w:tc>
          <w:tcPr>
            <w:tcW w:w="2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5,331.8 $</w:t>
            </w: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3,665.8 $</w:t>
            </w: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2,706.2 $</w:t>
            </w:r>
          </w:p>
        </w:tc>
        <w:tc>
          <w:tcPr>
            <w:tcW w:w="1100" w:type="dxa"/>
            <w:vAlign w:val="bottom"/>
          </w:tcPr>
          <w:p>
            <w:pPr>
              <w:jc w:val="right"/>
              <w:spacing w:after="0"/>
              <w:rPr>
                <w:sz w:val="20"/>
                <w:szCs w:val="20"/>
                <w:color w:val="auto"/>
              </w:rPr>
            </w:pPr>
            <w:r>
              <w:rPr>
                <w:rFonts w:ascii="Arial" w:cs="Arial" w:eastAsia="Arial" w:hAnsi="Arial"/>
                <w:sz w:val="15"/>
                <w:szCs w:val="15"/>
                <w:color w:val="auto"/>
              </w:rPr>
              <w:t>11,703.8</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5,172.2 $</w:t>
            </w:r>
          </w:p>
        </w:tc>
        <w:tc>
          <w:tcPr>
            <w:tcW w:w="1060" w:type="dxa"/>
            <w:vAlign w:val="bottom"/>
            <w:gridSpan w:val="2"/>
          </w:tcPr>
          <w:p>
            <w:pPr>
              <w:jc w:val="right"/>
              <w:ind w:right="80"/>
              <w:spacing w:after="0"/>
              <w:rPr>
                <w:sz w:val="20"/>
                <w:szCs w:val="20"/>
                <w:color w:val="auto"/>
              </w:rPr>
            </w:pPr>
            <w:r>
              <w:rPr>
                <w:rFonts w:ascii="Arial" w:cs="Arial" w:eastAsia="Arial" w:hAnsi="Arial"/>
                <w:sz w:val="15"/>
                <w:szCs w:val="15"/>
                <w:color w:val="auto"/>
              </w:rPr>
              <w:t>3,639.0 $</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2,614.3 $</w:t>
            </w:r>
          </w:p>
        </w:tc>
        <w:tc>
          <w:tcPr>
            <w:tcW w:w="1100" w:type="dxa"/>
            <w:vAlign w:val="bottom"/>
          </w:tcPr>
          <w:p>
            <w:pPr>
              <w:jc w:val="right"/>
              <w:spacing w:after="0"/>
              <w:rPr>
                <w:sz w:val="20"/>
                <w:szCs w:val="20"/>
                <w:color w:val="auto"/>
              </w:rPr>
            </w:pPr>
            <w:r>
              <w:rPr>
                <w:rFonts w:ascii="Arial" w:cs="Arial" w:eastAsia="Arial" w:hAnsi="Arial"/>
                <w:sz w:val="15"/>
                <w:szCs w:val="15"/>
                <w:color w:val="auto"/>
              </w:rPr>
              <w:t>11,425.5</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360" w:type="dxa"/>
            <w:vAlign w:val="bottom"/>
            <w:gridSpan w:val="2"/>
            <w:shd w:val="clear" w:color="auto" w:fill="CCEEFF"/>
          </w:tcPr>
          <w:p>
            <w:pPr>
              <w:spacing w:after="0" w:line="153" w:lineRule="exact"/>
              <w:rPr>
                <w:sz w:val="20"/>
                <w:szCs w:val="20"/>
                <w:color w:val="auto"/>
              </w:rPr>
            </w:pPr>
            <w:r>
              <w:rPr>
                <w:rFonts w:ascii="Arial" w:cs="Arial" w:eastAsia="Arial" w:hAnsi="Arial"/>
                <w:sz w:val="15"/>
                <w:szCs w:val="15"/>
                <w:color w:val="auto"/>
                <w:w w:val="93"/>
              </w:rPr>
              <w:t>Cash, cash equivalents and restricted</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52.0</w:t>
            </w:r>
          </w:p>
        </w:tc>
        <w:tc>
          <w:tcPr>
            <w:tcW w:w="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31.9</w:t>
            </w:r>
          </w:p>
        </w:tc>
        <w:tc>
          <w:tcPr>
            <w:tcW w:w="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18.7</w:t>
            </w:r>
          </w:p>
        </w:tc>
        <w:tc>
          <w:tcPr>
            <w:tcW w:w="8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102.6</w:t>
            </w:r>
          </w:p>
        </w:tc>
        <w:tc>
          <w:tcPr>
            <w:tcW w:w="1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36.7</w:t>
            </w:r>
          </w:p>
        </w:tc>
        <w:tc>
          <w:tcPr>
            <w:tcW w:w="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19.9</w:t>
            </w:r>
          </w:p>
        </w:tc>
        <w:tc>
          <w:tcPr>
            <w:tcW w:w="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21.6</w:t>
            </w:r>
          </w:p>
        </w:tc>
        <w:tc>
          <w:tcPr>
            <w:tcW w:w="8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78.2</w:t>
            </w: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21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w:t>
            </w:r>
          </w:p>
        </w:tc>
        <w:tc>
          <w:tcPr>
            <w:tcW w:w="2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40" w:type="dxa"/>
            <w:vAlign w:val="bottom"/>
            <w:gridSpan w:val="2"/>
          </w:tcPr>
          <w:p>
            <w:pPr>
              <w:ind w:left="80"/>
              <w:spacing w:after="0"/>
              <w:rPr>
                <w:sz w:val="20"/>
                <w:szCs w:val="20"/>
                <w:color w:val="auto"/>
              </w:rPr>
            </w:pPr>
            <w:r>
              <w:rPr>
                <w:rFonts w:ascii="Arial" w:cs="Arial" w:eastAsia="Arial" w:hAnsi="Arial"/>
                <w:sz w:val="15"/>
                <w:szCs w:val="15"/>
                <w:color w:val="auto"/>
              </w:rPr>
              <w:t>Marketable securities</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102.5</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55.8</w:t>
            </w:r>
          </w:p>
        </w:tc>
        <w:tc>
          <w:tcPr>
            <w:tcW w:w="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158.3</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121.0</w:t>
            </w:r>
          </w:p>
        </w:tc>
        <w:tc>
          <w:tcPr>
            <w:tcW w:w="8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65.9</w:t>
            </w:r>
          </w:p>
        </w:tc>
        <w:tc>
          <w:tcPr>
            <w:tcW w:w="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186.9</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5"/>
                <w:szCs w:val="15"/>
                <w:color w:val="auto"/>
                <w:w w:val="94"/>
              </w:rPr>
              <w:t>Inventory of manufactured homes</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63.3</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44.3</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6.8</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51.1</w:t>
            </w:r>
          </w:p>
        </w:tc>
        <w:tc>
          <w:tcPr>
            <w:tcW w:w="0" w:type="dxa"/>
            <w:vAlign w:val="bottom"/>
          </w:tcPr>
          <w:p>
            <w:pPr>
              <w:spacing w:after="0"/>
              <w:rPr>
                <w:sz w:val="1"/>
                <w:szCs w:val="1"/>
                <w:color w:val="auto"/>
              </w:rPr>
            </w:pPr>
          </w:p>
        </w:tc>
      </w:tr>
      <w:tr>
        <w:trPr>
          <w:trHeight w:val="198"/>
        </w:trPr>
        <w:tc>
          <w:tcPr>
            <w:tcW w:w="2240" w:type="dxa"/>
            <w:vAlign w:val="bottom"/>
            <w:gridSpan w:val="2"/>
          </w:tcPr>
          <w:p>
            <w:pPr>
              <w:ind w:left="80"/>
              <w:spacing w:after="0"/>
              <w:rPr>
                <w:sz w:val="20"/>
                <w:szCs w:val="20"/>
                <w:color w:val="auto"/>
              </w:rPr>
            </w:pPr>
            <w:r>
              <w:rPr>
                <w:rFonts w:ascii="Arial" w:cs="Arial" w:eastAsia="Arial" w:hAnsi="Arial"/>
                <w:sz w:val="15"/>
                <w:szCs w:val="15"/>
                <w:color w:val="auto"/>
                <w:w w:val="99"/>
              </w:rPr>
              <w:t>Notes and other receivables, net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395.5</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68.0</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50.1</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513.6</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374.2</w:t>
            </w:r>
          </w:p>
        </w:tc>
        <w:tc>
          <w:tcPr>
            <w:tcW w:w="8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55.5</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39.9</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469.6</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5"/>
                <w:szCs w:val="15"/>
                <w:color w:val="auto"/>
              </w:rPr>
              <w:t>Goodwill</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503.2</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512.7</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495.4</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495.4</w:t>
            </w:r>
          </w:p>
        </w:tc>
        <w:tc>
          <w:tcPr>
            <w:tcW w:w="0" w:type="dxa"/>
            <w:vAlign w:val="bottom"/>
          </w:tcPr>
          <w:p>
            <w:pPr>
              <w:spacing w:after="0"/>
              <w:rPr>
                <w:sz w:val="1"/>
                <w:szCs w:val="1"/>
                <w:color w:val="auto"/>
              </w:rPr>
            </w:pPr>
          </w:p>
        </w:tc>
      </w:tr>
      <w:tr>
        <w:trPr>
          <w:trHeight w:val="198"/>
        </w:trPr>
        <w:tc>
          <w:tcPr>
            <w:tcW w:w="2240" w:type="dxa"/>
            <w:vAlign w:val="bottom"/>
            <w:gridSpan w:val="2"/>
          </w:tcPr>
          <w:p>
            <w:pPr>
              <w:ind w:left="80"/>
              <w:spacing w:after="0"/>
              <w:rPr>
                <w:sz w:val="20"/>
                <w:szCs w:val="20"/>
                <w:color w:val="auto"/>
              </w:rPr>
            </w:pPr>
            <w:r>
              <w:rPr>
                <w:rFonts w:ascii="Arial" w:cs="Arial" w:eastAsia="Arial" w:hAnsi="Arial"/>
                <w:sz w:val="15"/>
                <w:szCs w:val="15"/>
                <w:color w:val="auto"/>
              </w:rPr>
              <w:t>Other intangible assets, net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25.2</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36.9</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272.1</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334.2</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27.4</w:t>
            </w:r>
          </w:p>
        </w:tc>
        <w:tc>
          <w:tcPr>
            <w:tcW w:w="8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22.7</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256.7</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306.8</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5"/>
                <w:szCs w:val="15"/>
                <w:color w:val="auto"/>
              </w:rPr>
              <w:t>Other assets, net</w:t>
            </w:r>
          </w:p>
        </w:tc>
        <w:tc>
          <w:tcPr>
            <w:tcW w:w="2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227.7</w:t>
            </w:r>
          </w:p>
        </w:tc>
        <w:tc>
          <w:tcPr>
            <w:tcW w:w="8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63.7</w:t>
            </w:r>
          </w:p>
        </w:tc>
        <w:tc>
          <w:tcPr>
            <w:tcW w:w="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234.3</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525.7</w:t>
            </w:r>
          </w:p>
        </w:tc>
        <w:tc>
          <w:tcPr>
            <w:tcW w:w="1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198.0</w:t>
            </w:r>
          </w:p>
        </w:tc>
        <w:tc>
          <w:tcPr>
            <w:tcW w:w="8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63.6</w:t>
            </w:r>
          </w:p>
        </w:tc>
        <w:tc>
          <w:tcPr>
            <w:tcW w:w="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219.0</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480.6</w:t>
            </w:r>
          </w:p>
        </w:tc>
        <w:tc>
          <w:tcPr>
            <w:tcW w:w="0" w:type="dxa"/>
            <w:vAlign w:val="bottom"/>
          </w:tcPr>
          <w:p>
            <w:pPr>
              <w:spacing w:after="0"/>
              <w:rPr>
                <w:sz w:val="1"/>
                <w:szCs w:val="1"/>
                <w:color w:val="auto"/>
              </w:rPr>
            </w:pPr>
          </w:p>
        </w:tc>
      </w:tr>
      <w:tr>
        <w:trPr>
          <w:trHeight w:val="200"/>
        </w:trPr>
        <w:tc>
          <w:tcPr>
            <w:tcW w:w="2240" w:type="dxa"/>
            <w:vAlign w:val="bottom"/>
            <w:gridSpan w:val="2"/>
          </w:tcPr>
          <w:p>
            <w:pPr>
              <w:spacing w:after="0"/>
              <w:rPr>
                <w:sz w:val="20"/>
                <w:szCs w:val="20"/>
                <w:color w:val="auto"/>
              </w:rPr>
            </w:pPr>
            <w:r>
              <w:rPr>
                <w:rFonts w:ascii="Arial" w:cs="Arial" w:eastAsia="Arial" w:hAnsi="Arial"/>
                <w:sz w:val="15"/>
                <w:szCs w:val="15"/>
                <w:b w:val="1"/>
                <w:bCs w:val="1"/>
                <w:color w:val="auto"/>
              </w:rPr>
              <w:t>Total Assets</w:t>
            </w:r>
          </w:p>
        </w:tc>
        <w:tc>
          <w:tcPr>
            <w:tcW w:w="2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6,192.3 $</w:t>
            </w: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3,937.3 $</w:t>
            </w: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3,784.6 $</w:t>
            </w:r>
          </w:p>
        </w:tc>
        <w:tc>
          <w:tcPr>
            <w:tcW w:w="1100" w:type="dxa"/>
            <w:vAlign w:val="bottom"/>
          </w:tcPr>
          <w:p>
            <w:pPr>
              <w:jc w:val="right"/>
              <w:spacing w:after="0"/>
              <w:rPr>
                <w:sz w:val="20"/>
                <w:szCs w:val="20"/>
                <w:color w:val="auto"/>
              </w:rPr>
            </w:pPr>
            <w:r>
              <w:rPr>
                <w:rFonts w:ascii="Arial" w:cs="Arial" w:eastAsia="Arial" w:hAnsi="Arial"/>
                <w:sz w:val="15"/>
                <w:szCs w:val="15"/>
                <w:color w:val="auto"/>
              </w:rPr>
              <w:t>13,914.2</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5,973.8 $</w:t>
            </w:r>
          </w:p>
        </w:tc>
        <w:tc>
          <w:tcPr>
            <w:tcW w:w="1060" w:type="dxa"/>
            <w:vAlign w:val="bottom"/>
            <w:gridSpan w:val="2"/>
          </w:tcPr>
          <w:p>
            <w:pPr>
              <w:jc w:val="right"/>
              <w:ind w:right="80"/>
              <w:spacing w:after="0"/>
              <w:rPr>
                <w:sz w:val="20"/>
                <w:szCs w:val="20"/>
                <w:color w:val="auto"/>
              </w:rPr>
            </w:pPr>
            <w:r>
              <w:rPr>
                <w:rFonts w:ascii="Arial" w:cs="Arial" w:eastAsia="Arial" w:hAnsi="Arial"/>
                <w:sz w:val="15"/>
                <w:szCs w:val="15"/>
                <w:color w:val="auto"/>
              </w:rPr>
              <w:t>3,873.4 $</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3,646.9 $</w:t>
            </w:r>
          </w:p>
        </w:tc>
        <w:tc>
          <w:tcPr>
            <w:tcW w:w="1100" w:type="dxa"/>
            <w:vAlign w:val="bottom"/>
          </w:tcPr>
          <w:p>
            <w:pPr>
              <w:jc w:val="right"/>
              <w:spacing w:after="0"/>
              <w:rPr>
                <w:sz w:val="20"/>
                <w:szCs w:val="20"/>
                <w:color w:val="auto"/>
              </w:rPr>
            </w:pPr>
            <w:r>
              <w:rPr>
                <w:rFonts w:ascii="Arial" w:cs="Arial" w:eastAsia="Arial" w:hAnsi="Arial"/>
                <w:sz w:val="15"/>
                <w:szCs w:val="15"/>
                <w:color w:val="auto"/>
              </w:rPr>
              <w:t>13,494.1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6"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elected to be taxed as a real estate investment trust ("REIT") pursuant to Section 856(c) of the Internal Revenue Code of 1986, as amended ("Code"). In order for us to qualify as a REIT, at least 95 percent of our gross income in any year must be derived from qualifying sources. In addition, a REIT must distribute annually at least 90 percent of its REIT taxable income (calculated without any deduction for dividends paid and excluding capital gain) to its shareholders and meet other tests.</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Qualification as a REIT involves the satisfaction of numerous requirements (on an annual and quarterly basis) established under highly technical and complex Code provisions for which there are limited judicial or administrative interpretations and involves the determination of various factual matters and circumstances not entirely within our control. In addition, frequent changes occur in the area of REIT taxation, which requires us to continually monitor our tax status. We analyzed the various REIT tests and confirmed that we continued to qualify as a REIT for the three months ended March 31, 2022.</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REIT, we generally will not be subject to United States ("U.S.") federal income taxes at the corporate level on the ordinary taxable income we distribute to our shareholders as dividends. If we fail to qualify as a REIT in any taxable year, our taxable income could be subject to U.S. federal income tax at regular corporate rates. Even if we qualify as a REIT, we may be subject to certain state and local income taxes as well as U.S. federal income and excise taxes on our undistributed income. In addition, taxable income from non-REIT activities managed through taxable REIT subsidiaries is subject to federal, state and local income taxes. We are also subject to local income taxes in Canada and Puerto Rico due to certain properties located in Canada and one located in Puerto Rico. We do not provide for withholding taxes on our undistributed earnings from our Canadian subsidiaries as they are reinvested and will continue to be reinvested indefinitely outside of the U.S. However, we are subject to Australian withholding taxes on distributions from our investment in Ingenia Communities Group.</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Deferred tax assets and liabilities reflect the impact of temporary differences between the amounts of assets and liabilities for financial reporting purposes and the basis of such assets and liabilities as measured by tax laws. Deferred tax assets are reduced, if necessary, by a valuation allowance to the amount where realization is more likely than not assured after considering all available evidence. Our temporary differences primarily relate to net operating loss carryforwards, and depreciation and basis differences between tax and GAAP. Our deferred tax assets that have a full valuation allowance relate to our taxable REIT subsidiaries. Net deferred tax liabilities of $20.7 million for Canadian entities have been recorded in relation to corporate entities and included in Other liabilities in our Consolidated Balance Sheets as of March 31, 2022 and December 31, 2021, respectively. We had no U.S. federal deferred tax liabilities as of March 31, 2022. U.S. federal deferred tax liabilities of $0.1 million have been recorded and included in our Consolidated Balance Sheets as of December 31, 2021.</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no unrecognized tax benefits as of March 31, 2022 and 2021. We do not expect significant changes in tax positions that would result in unrecognized tax benefits within one year of March 31, 2022.</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the three months ended March 31, 2022, we recorded a current tax expense for federal, state and Canadian income taxes as well as Australian withholding taxes of $1.3 million. For the three months ended March 31, 2021, we recorded a current tax benefit for federal, state and Canadian income taxes of $0.2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2021, we recorded a deferred tax benefit of $0.1 million.</w:t>
      </w:r>
    </w:p>
    <w:p>
      <w:pPr>
        <w:spacing w:after="0" w:line="248"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Earnings per share is computed by dividing net income by the weighted average number of common shares outstanding during the period on a basic and diluted basis. We calculate diluted earnings per share using the more dilutive of the treasury stock method and the two-class method for stock option and restricted common shares, the treasury stock method for forward equity sales and the if converted method for convertible units.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we enter into forward equity sales agreements, which are discussed in Note 9, "Equity and Temporary Equity." We considered the potential dilution resulting from the forward equity sales agreements on the earnings per share calculations. At inception, the agreements do not have an effect on the computation of basic earnings per share as no shares are delivered unless and until there is a physical settlement. Common shares issued upon the physical settlement of the forward equity sales agreements, weighted for the period these common shares are outstanding, are included in the denominator of basic earnings per share. To determine the dilution resulting from the forward equity sales agreements during the period of time prior to settlement, we calculate the number of weighted-average shares outstanding - diluted.</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potentially dilutive securities include our potential common shares related to our forward equity offerings, our unvested restricted common shares, and our Operating Partnership outstanding common OP units, Series A-1 preferred OP units, Series A-3 preferred OP units, Series C preferred OP units, Series D preferred OP units, Series E preferred OP units, Series F preferred OP units, Series G preferred OP units, Series H preferred OP units, Series I preferred OP units, Series J preferred OP units and Aspen preferred OP Units, which, if converted or exercised, may impact dilution.</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Diluted earnings per share considers the impact of potentially dilutive securities except when the potential common shares have an antidilutive effect. Our unvested restricted stock common shares contain rights to receive non-forfeitable distributions and participate equally with common stock with respect to distributions issued or declared, and thus, are participating securities, requiring the two-class method of computing earnings per share. In calculating the two-class method, undistributed earnings are allocated to both common shares and participating securities based on the weighted average number of shares outstanding during the period. The two-class method determines earnings per share by (1) dividing the sum of distributed earnings allocated to common shareholders and undistributed earnings allocated to common shareholders by the weighted average number of shares of common stock outstanding for the period; and (2) dividing the sum of distributed earnings allocated to participating securities and undistributed earnings allocated to participating securities by the weighted average number of shares of participating securities for the period. The remaining potentially dilutive common shares do not contain rights to distributions and are included in the computation of diluted earnings per share.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Computations of basic and diluted earnings per share were as follows (in millions, except for per share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704"/>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196"/>
        </w:trPr>
        <w:tc>
          <w:tcPr>
            <w:tcW w:w="8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Arial" w:cs="Arial" w:eastAsia="Arial" w:hAnsi="Arial"/>
                <w:sz w:val="15"/>
                <w:szCs w:val="15"/>
                <w:b w:val="1"/>
                <w:bCs w:val="1"/>
                <w:color w:val="auto"/>
              </w:rPr>
              <w:t>March 31, 2022</w:t>
            </w:r>
          </w:p>
        </w:tc>
        <w:tc>
          <w:tcPr>
            <w:tcW w:w="160" w:type="dxa"/>
            <w:vAlign w:val="bottom"/>
          </w:tcPr>
          <w:p>
            <w:pPr>
              <w:spacing w:after="0"/>
              <w:rPr>
                <w:sz w:val="17"/>
                <w:szCs w:val="17"/>
                <w:color w:val="auto"/>
              </w:rPr>
            </w:pPr>
          </w:p>
        </w:tc>
        <w:tc>
          <w:tcPr>
            <w:tcW w:w="1280" w:type="dxa"/>
            <w:vAlign w:val="bottom"/>
          </w:tcPr>
          <w:p>
            <w:pPr>
              <w:jc w:val="right"/>
              <w:ind w:right="124"/>
              <w:spacing w:after="0"/>
              <w:rPr>
                <w:sz w:val="20"/>
                <w:szCs w:val="20"/>
                <w:color w:val="auto"/>
              </w:rPr>
            </w:pPr>
            <w:r>
              <w:rPr>
                <w:rFonts w:ascii="Arial" w:cs="Arial" w:eastAsia="Arial" w:hAnsi="Arial"/>
                <w:sz w:val="15"/>
                <w:szCs w:val="15"/>
                <w:b w:val="1"/>
                <w:bCs w:val="1"/>
                <w:color w:val="auto"/>
                <w:w w:val="99"/>
              </w:rPr>
              <w:t>March 31, 2021</w:t>
            </w:r>
          </w:p>
        </w:tc>
        <w:tc>
          <w:tcPr>
            <w:tcW w:w="0" w:type="dxa"/>
            <w:vAlign w:val="bottom"/>
          </w:tcPr>
          <w:p>
            <w:pPr>
              <w:spacing w:after="0"/>
              <w:rPr>
                <w:sz w:val="1"/>
                <w:szCs w:val="1"/>
                <w:color w:val="auto"/>
              </w:rPr>
            </w:pPr>
          </w:p>
        </w:tc>
      </w:tr>
      <w:tr>
        <w:trPr>
          <w:trHeight w:val="183"/>
        </w:trPr>
        <w:tc>
          <w:tcPr>
            <w:tcW w:w="8280" w:type="dxa"/>
            <w:vAlign w:val="bottom"/>
          </w:tcPr>
          <w:p>
            <w:pPr>
              <w:ind w:left="20"/>
              <w:spacing w:after="0"/>
              <w:rPr>
                <w:sz w:val="20"/>
                <w:szCs w:val="20"/>
                <w:color w:val="auto"/>
              </w:rPr>
            </w:pPr>
            <w:r>
              <w:rPr>
                <w:rFonts w:ascii="Arial" w:cs="Arial" w:eastAsia="Arial" w:hAnsi="Arial"/>
                <w:sz w:val="15"/>
                <w:szCs w:val="15"/>
                <w:b w:val="1"/>
                <w:bCs w:val="1"/>
                <w:color w:val="auto"/>
              </w:rPr>
              <w:t>Numerator</w:t>
            </w: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 Attributable to Sun Communities, Inc. Common Shareholders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w:t>
            </w:r>
          </w:p>
        </w:tc>
        <w:tc>
          <w:tcPr>
            <w:tcW w:w="0" w:type="dxa"/>
            <w:vAlign w:val="bottom"/>
          </w:tcPr>
          <w:p>
            <w:pPr>
              <w:spacing w:after="0"/>
              <w:rPr>
                <w:sz w:val="1"/>
                <w:szCs w:val="1"/>
                <w:color w:val="auto"/>
              </w:rPr>
            </w:pPr>
          </w:p>
        </w:tc>
      </w:tr>
      <w:tr>
        <w:trPr>
          <w:trHeight w:val="198"/>
        </w:trPr>
        <w:tc>
          <w:tcPr>
            <w:tcW w:w="8280" w:type="dxa"/>
            <w:vAlign w:val="bottom"/>
          </w:tcPr>
          <w:p>
            <w:pPr>
              <w:ind w:left="140"/>
              <w:spacing w:after="0"/>
              <w:rPr>
                <w:sz w:val="20"/>
                <w:szCs w:val="20"/>
                <w:color w:val="auto"/>
              </w:rPr>
            </w:pPr>
            <w:r>
              <w:rPr>
                <w:rFonts w:ascii="Arial" w:cs="Arial" w:eastAsia="Arial" w:hAnsi="Arial"/>
                <w:sz w:val="15"/>
                <w:szCs w:val="15"/>
                <w:color w:val="auto"/>
              </w:rPr>
              <w:t>Less: allocation to restricted stock awards</w:t>
            </w:r>
          </w:p>
        </w:tc>
        <w:tc>
          <w:tcPr>
            <w:tcW w:w="16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96"/>
        </w:trPr>
        <w:tc>
          <w:tcPr>
            <w:tcW w:w="82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Basic earnings - Net Income attributable to common shareholders after allocation to restricted stock awards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24.6</w:t>
            </w:r>
          </w:p>
        </w:tc>
        <w:tc>
          <w:tcPr>
            <w:tcW w:w="0" w:type="dxa"/>
            <w:vAlign w:val="bottom"/>
          </w:tcPr>
          <w:p>
            <w:pPr>
              <w:spacing w:after="0"/>
              <w:rPr>
                <w:sz w:val="1"/>
                <w:szCs w:val="1"/>
                <w:color w:val="auto"/>
              </w:rPr>
            </w:pPr>
          </w:p>
        </w:tc>
      </w:tr>
      <w:tr>
        <w:trPr>
          <w:trHeight w:val="200"/>
        </w:trPr>
        <w:tc>
          <w:tcPr>
            <w:tcW w:w="8280" w:type="dxa"/>
            <w:vAlign w:val="bottom"/>
          </w:tcPr>
          <w:p>
            <w:pPr>
              <w:ind w:left="140"/>
              <w:spacing w:after="0" w:line="200" w:lineRule="exact"/>
              <w:rPr>
                <w:sz w:val="20"/>
                <w:szCs w:val="20"/>
                <w:color w:val="auto"/>
              </w:rPr>
            </w:pPr>
            <w:r>
              <w:rPr>
                <w:rFonts w:ascii="Arial" w:cs="Arial" w:eastAsia="Arial" w:hAnsi="Arial"/>
                <w:sz w:val="15"/>
                <w:szCs w:val="15"/>
                <w:color w:val="auto"/>
              </w:rPr>
              <w:t>Diluted earnings - Net Income attributable to common shareholders after allocation to common and preferred OP units</w:t>
            </w:r>
            <w:r>
              <w:rPr>
                <w:rFonts w:ascii="Arial" w:cs="Arial" w:eastAsia="Arial" w:hAnsi="Arial"/>
                <w:sz w:val="19"/>
                <w:szCs w:val="19"/>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24.6</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Denominator</w:t>
            </w: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4"/>
        </w:trPr>
        <w:tc>
          <w:tcPr>
            <w:tcW w:w="8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Weighted average common shares outstanding</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107.9</w:t>
            </w:r>
          </w:p>
        </w:tc>
        <w:tc>
          <w:tcPr>
            <w:tcW w:w="0" w:type="dxa"/>
            <w:vAlign w:val="bottom"/>
          </w:tcPr>
          <w:p>
            <w:pPr>
              <w:spacing w:after="0"/>
              <w:rPr>
                <w:sz w:val="1"/>
                <w:szCs w:val="1"/>
                <w:color w:val="auto"/>
              </w:rPr>
            </w:pPr>
          </w:p>
        </w:tc>
      </w:tr>
      <w:tr>
        <w:trPr>
          <w:trHeight w:val="199"/>
        </w:trPr>
        <w:tc>
          <w:tcPr>
            <w:tcW w:w="8280" w:type="dxa"/>
            <w:vAlign w:val="bottom"/>
          </w:tcPr>
          <w:p>
            <w:pPr>
              <w:ind w:left="140"/>
              <w:spacing w:after="0"/>
              <w:rPr>
                <w:sz w:val="20"/>
                <w:szCs w:val="20"/>
                <w:color w:val="auto"/>
              </w:rPr>
            </w:pPr>
            <w:r>
              <w:rPr>
                <w:rFonts w:ascii="Arial" w:cs="Arial" w:eastAsia="Arial" w:hAnsi="Arial"/>
                <w:sz w:val="15"/>
                <w:szCs w:val="15"/>
                <w:color w:val="auto"/>
              </w:rPr>
              <w:t>Add: common shares dilutive effect: Forward Equity Offering</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6"/>
        </w:trPr>
        <w:tc>
          <w:tcPr>
            <w:tcW w:w="8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Add: dilutive restricted stock</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8280" w:type="dxa"/>
            <w:vAlign w:val="bottom"/>
          </w:tcPr>
          <w:p>
            <w:pPr>
              <w:ind w:left="140"/>
              <w:spacing w:after="0"/>
              <w:rPr>
                <w:sz w:val="20"/>
                <w:szCs w:val="20"/>
                <w:color w:val="auto"/>
              </w:rPr>
            </w:pPr>
            <w:r>
              <w:rPr>
                <w:rFonts w:ascii="Arial" w:cs="Arial" w:eastAsia="Arial" w:hAnsi="Arial"/>
                <w:sz w:val="15"/>
                <w:szCs w:val="15"/>
                <w:color w:val="auto"/>
              </w:rPr>
              <w:t>Add: common and preferred OP units dilutive effect</w:t>
            </w:r>
          </w:p>
        </w:tc>
        <w:tc>
          <w:tcPr>
            <w:tcW w:w="16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5"/>
        </w:trPr>
        <w:tc>
          <w:tcPr>
            <w:tcW w:w="82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Diluted weighted average common shares and securities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Earnings Per Share Available to Common Shareholders After Allocation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Basic earnings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0.23</w:t>
            </w:r>
          </w:p>
        </w:tc>
        <w:tc>
          <w:tcPr>
            <w:tcW w:w="0" w:type="dxa"/>
            <w:vAlign w:val="bottom"/>
          </w:tcPr>
          <w:p>
            <w:pPr>
              <w:spacing w:after="0"/>
              <w:rPr>
                <w:sz w:val="1"/>
                <w:szCs w:val="1"/>
                <w:color w:val="auto"/>
              </w:rPr>
            </w:pPr>
          </w:p>
        </w:tc>
      </w:tr>
      <w:tr>
        <w:trPr>
          <w:trHeight w:val="194"/>
        </w:trPr>
        <w:tc>
          <w:tcPr>
            <w:tcW w:w="8280" w:type="dxa"/>
            <w:vAlign w:val="bottom"/>
          </w:tcPr>
          <w:p>
            <w:pPr>
              <w:ind w:left="140"/>
              <w:spacing w:after="0"/>
              <w:rPr>
                <w:sz w:val="20"/>
                <w:szCs w:val="20"/>
                <w:color w:val="auto"/>
              </w:rPr>
            </w:pPr>
            <w:r>
              <w:rPr>
                <w:rFonts w:ascii="Arial" w:cs="Arial" w:eastAsia="Arial" w:hAnsi="Arial"/>
                <w:sz w:val="15"/>
                <w:szCs w:val="15"/>
                <w:color w:val="auto"/>
              </w:rPr>
              <w:t>Diluted earnings per share</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0.01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excluded all convertible securities from the computation of diluted earnings per share because the inclusion of those securities would have been anti-dilutive for the periods presented. The following table presents the outstanding securities that were excluded from the computation of diluted earnings per share as of March 31, 2022 and 2021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60" w:type="dxa"/>
            <w:vAlign w:val="bottom"/>
          </w:tcPr>
          <w:p>
            <w:pPr>
              <w:spacing w:after="0"/>
              <w:rPr>
                <w:sz w:val="17"/>
                <w:szCs w:val="17"/>
                <w:color w:val="auto"/>
              </w:rPr>
            </w:pPr>
          </w:p>
        </w:tc>
        <w:tc>
          <w:tcPr>
            <w:tcW w:w="3180" w:type="dxa"/>
            <w:vAlign w:val="bottom"/>
            <w:tcBorders>
              <w:bottom w:val="single" w:sz="8" w:color="auto"/>
            </w:tcBorders>
            <w:gridSpan w:val="3"/>
          </w:tcPr>
          <w:p>
            <w:pPr>
              <w:jc w:val="right"/>
              <w:ind w:right="824"/>
              <w:spacing w:after="0"/>
              <w:rPr>
                <w:sz w:val="20"/>
                <w:szCs w:val="20"/>
                <w:color w:val="auto"/>
              </w:rPr>
            </w:pPr>
            <w:r>
              <w:rPr>
                <w:rFonts w:ascii="Arial" w:cs="Arial" w:eastAsia="Arial" w:hAnsi="Arial"/>
                <w:sz w:val="15"/>
                <w:szCs w:val="15"/>
                <w:b w:val="1"/>
                <w:bCs w:val="1"/>
                <w:color w:val="auto"/>
              </w:rPr>
              <w:t>Three Months Ended</w:t>
            </w:r>
          </w:p>
        </w:tc>
      </w:tr>
      <w:tr>
        <w:trPr>
          <w:trHeight w:val="198"/>
        </w:trPr>
        <w:tc>
          <w:tcPr>
            <w:tcW w:w="8060" w:type="dxa"/>
            <w:vAlign w:val="bottom"/>
          </w:tcPr>
          <w:p>
            <w:pPr>
              <w:spacing w:after="0"/>
              <w:rPr>
                <w:sz w:val="17"/>
                <w:szCs w:val="17"/>
                <w:color w:val="auto"/>
              </w:rPr>
            </w:pPr>
          </w:p>
        </w:tc>
        <w:tc>
          <w:tcPr>
            <w:tcW w:w="1720" w:type="dxa"/>
            <w:vAlign w:val="bottom"/>
            <w:gridSpan w:val="2"/>
          </w:tcPr>
          <w:p>
            <w:pPr>
              <w:ind w:left="220"/>
              <w:spacing w:after="0"/>
              <w:rPr>
                <w:sz w:val="20"/>
                <w:szCs w:val="20"/>
                <w:color w:val="auto"/>
              </w:rPr>
            </w:pPr>
            <w:r>
              <w:rPr>
                <w:rFonts w:ascii="Arial" w:cs="Arial" w:eastAsia="Arial" w:hAnsi="Arial"/>
                <w:sz w:val="15"/>
                <w:szCs w:val="15"/>
                <w:b w:val="1"/>
                <w:bCs w:val="1"/>
                <w:color w:val="auto"/>
              </w:rPr>
              <w:t>March 31, 2022</w:t>
            </w:r>
          </w:p>
        </w:tc>
        <w:tc>
          <w:tcPr>
            <w:tcW w:w="1460" w:type="dxa"/>
            <w:vAlign w:val="bottom"/>
          </w:tcPr>
          <w:p>
            <w:pPr>
              <w:jc w:val="right"/>
              <w:ind w:right="144"/>
              <w:spacing w:after="0"/>
              <w:rPr>
                <w:sz w:val="20"/>
                <w:szCs w:val="20"/>
                <w:color w:val="auto"/>
              </w:rPr>
            </w:pPr>
            <w:r>
              <w:rPr>
                <w:rFonts w:ascii="Arial" w:cs="Arial" w:eastAsia="Arial" w:hAnsi="Arial"/>
                <w:sz w:val="15"/>
                <w:szCs w:val="15"/>
                <w:b w:val="1"/>
                <w:bCs w:val="1"/>
                <w:color w:val="auto"/>
              </w:rPr>
              <w:t>March 31, 2021</w:t>
            </w:r>
          </w:p>
        </w:tc>
      </w:tr>
      <w:tr>
        <w:trPr>
          <w:trHeight w:val="198"/>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Common OP units</w:t>
            </w:r>
          </w:p>
        </w:tc>
        <w:tc>
          <w:tcPr>
            <w:tcW w:w="14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2,551</w:t>
            </w:r>
          </w:p>
        </w:tc>
        <w:tc>
          <w:tcPr>
            <w:tcW w:w="2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2,582</w:t>
            </w:r>
          </w:p>
        </w:tc>
      </w:tr>
      <w:tr>
        <w:trPr>
          <w:trHeight w:val="198"/>
        </w:trPr>
        <w:tc>
          <w:tcPr>
            <w:tcW w:w="8060" w:type="dxa"/>
            <w:vAlign w:val="bottom"/>
          </w:tcPr>
          <w:p>
            <w:pPr>
              <w:ind w:left="20"/>
              <w:spacing w:after="0"/>
              <w:rPr>
                <w:sz w:val="20"/>
                <w:szCs w:val="20"/>
                <w:color w:val="auto"/>
              </w:rPr>
            </w:pPr>
            <w:r>
              <w:rPr>
                <w:rFonts w:ascii="Arial" w:cs="Arial" w:eastAsia="Arial" w:hAnsi="Arial"/>
                <w:sz w:val="15"/>
                <w:szCs w:val="15"/>
                <w:color w:val="auto"/>
              </w:rPr>
              <w:t>A-1 preferred OP units</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272</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290</w:t>
            </w:r>
          </w:p>
        </w:tc>
      </w:tr>
      <w:tr>
        <w:trPr>
          <w:trHeight w:val="207"/>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A-3 preferred OP units</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r>
      <w:tr>
        <w:trPr>
          <w:trHeight w:val="198"/>
        </w:trPr>
        <w:tc>
          <w:tcPr>
            <w:tcW w:w="8060" w:type="dxa"/>
            <w:vAlign w:val="bottom"/>
          </w:tcPr>
          <w:p>
            <w:pPr>
              <w:ind w:left="20"/>
              <w:spacing w:after="0"/>
              <w:rPr>
                <w:sz w:val="20"/>
                <w:szCs w:val="20"/>
                <w:color w:val="auto"/>
              </w:rPr>
            </w:pPr>
            <w:r>
              <w:rPr>
                <w:rFonts w:ascii="Arial" w:cs="Arial" w:eastAsia="Arial" w:hAnsi="Arial"/>
                <w:sz w:val="15"/>
                <w:szCs w:val="15"/>
                <w:color w:val="auto"/>
              </w:rPr>
              <w:t>Aspen preferred OP units</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1,284</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1,284</w:t>
            </w:r>
          </w:p>
        </w:tc>
      </w:tr>
      <w:tr>
        <w:trPr>
          <w:trHeight w:val="207"/>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C preferred OP units</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306</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w:t>
            </w:r>
          </w:p>
        </w:tc>
      </w:tr>
      <w:tr>
        <w:trPr>
          <w:trHeight w:val="198"/>
        </w:trPr>
        <w:tc>
          <w:tcPr>
            <w:tcW w:w="8060" w:type="dxa"/>
            <w:vAlign w:val="bottom"/>
          </w:tcPr>
          <w:p>
            <w:pPr>
              <w:ind w:left="20"/>
              <w:spacing w:after="0"/>
              <w:rPr>
                <w:sz w:val="20"/>
                <w:szCs w:val="20"/>
                <w:color w:val="auto"/>
              </w:rPr>
            </w:pPr>
            <w:r>
              <w:rPr>
                <w:rFonts w:ascii="Arial" w:cs="Arial" w:eastAsia="Arial" w:hAnsi="Arial"/>
                <w:sz w:val="15"/>
                <w:szCs w:val="15"/>
                <w:color w:val="auto"/>
              </w:rPr>
              <w:t>Series D preferred OP units</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489</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489</w:t>
            </w:r>
          </w:p>
        </w:tc>
      </w:tr>
      <w:tr>
        <w:trPr>
          <w:trHeight w:val="207"/>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E preferred OP units</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85</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r>
      <w:tr>
        <w:trPr>
          <w:trHeight w:val="198"/>
        </w:trPr>
        <w:tc>
          <w:tcPr>
            <w:tcW w:w="8060" w:type="dxa"/>
            <w:vAlign w:val="bottom"/>
          </w:tcPr>
          <w:p>
            <w:pPr>
              <w:ind w:left="20"/>
              <w:spacing w:after="0"/>
              <w:rPr>
                <w:sz w:val="20"/>
                <w:szCs w:val="20"/>
                <w:color w:val="auto"/>
              </w:rPr>
            </w:pPr>
            <w:r>
              <w:rPr>
                <w:rFonts w:ascii="Arial" w:cs="Arial" w:eastAsia="Arial" w:hAnsi="Arial"/>
                <w:sz w:val="15"/>
                <w:szCs w:val="15"/>
                <w:color w:val="auto"/>
              </w:rPr>
              <w:t>Series F preferred OP units</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90</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90</w:t>
            </w:r>
          </w:p>
        </w:tc>
      </w:tr>
      <w:tr>
        <w:trPr>
          <w:trHeight w:val="207"/>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G preferred OP units</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241</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w:t>
            </w:r>
          </w:p>
        </w:tc>
      </w:tr>
      <w:tr>
        <w:trPr>
          <w:trHeight w:val="198"/>
        </w:trPr>
        <w:tc>
          <w:tcPr>
            <w:tcW w:w="8060" w:type="dxa"/>
            <w:vAlign w:val="bottom"/>
          </w:tcPr>
          <w:p>
            <w:pPr>
              <w:ind w:left="20"/>
              <w:spacing w:after="0"/>
              <w:rPr>
                <w:sz w:val="20"/>
                <w:szCs w:val="20"/>
                <w:color w:val="auto"/>
              </w:rPr>
            </w:pPr>
            <w:r>
              <w:rPr>
                <w:rFonts w:ascii="Arial" w:cs="Arial" w:eastAsia="Arial" w:hAnsi="Arial"/>
                <w:sz w:val="15"/>
                <w:szCs w:val="15"/>
                <w:color w:val="auto"/>
              </w:rPr>
              <w:t>Series H preferred OP units</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581</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581</w:t>
            </w:r>
          </w:p>
        </w:tc>
      </w:tr>
      <w:tr>
        <w:trPr>
          <w:trHeight w:val="207"/>
        </w:trPr>
        <w:tc>
          <w:tcPr>
            <w:tcW w:w="8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I preferred OP units</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922</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922</w:t>
            </w:r>
          </w:p>
        </w:tc>
      </w:tr>
      <w:tr>
        <w:trPr>
          <w:trHeight w:val="198"/>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Series J preferred OP units</w:t>
            </w:r>
          </w:p>
        </w:tc>
        <w:tc>
          <w:tcPr>
            <w:tcW w:w="14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240</w:t>
            </w:r>
          </w:p>
        </w:tc>
        <w:tc>
          <w:tcPr>
            <w:tcW w:w="26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25"/>
        </w:trPr>
        <w:tc>
          <w:tcPr>
            <w:tcW w:w="8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b w:val="1"/>
                <w:bCs w:val="1"/>
                <w:color w:val="auto"/>
              </w:rPr>
              <w:t>Total Securities</w:t>
            </w:r>
          </w:p>
        </w:tc>
        <w:tc>
          <w:tcPr>
            <w:tcW w:w="14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7,101</w:t>
            </w: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6,915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objective and strategy in using interest rate derivatives is to manage exposure to interest rate movements, thereby minimizing the effect of interest rate changes and the effect they could have on future cash outflows (forecasted interest payments) on a forecasted issuance of long-term debt. Treasury locks are used to accomplish this objective. We do not enter into derivative instruments for speculative purposes.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designated the treasury lock contracts as cash flow hedges under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The risk being hedged is the interest rate risk related to forecasted transactions and the benchmark interest rate used is the on-the-run 10-year U.S. Treasury rate. As of March 31, 2022, we had four Treasury lock contracts with an aggregate notional amount of $600.0 million that were designated as cash flow hedges of interest rate risk. The unrealized gains or losses on the Treasury lock contracts were recorded in Accumulated other comprehensive income within the Consolidated Balance Sheets, and will be reclassified into earnings in the same period during which the hedged transaction affects earnings. These unrealized gains or losses will be amortized as reduction or increase to Interest expense within the Consolidated Statements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gross fair value amounts of our derivative financial instruments and the associated notional amounts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5"/>
                <w:szCs w:val="15"/>
                <w:b w:val="1"/>
                <w:bCs w:val="1"/>
                <w:color w:val="auto"/>
                <w:w w:val="95"/>
              </w:rPr>
              <w:t>March 31, 2022</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91"/>
              </w:rPr>
              <w:t>December 31, 2021</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6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Derivatives designated as cash flow hedges</w:t>
            </w:r>
          </w:p>
        </w:tc>
        <w:tc>
          <w:tcPr>
            <w:tcW w:w="200" w:type="dxa"/>
            <w:vAlign w:val="bottom"/>
          </w:tcPr>
          <w:p>
            <w:pPr>
              <w:spacing w:after="0"/>
              <w:rPr>
                <w:sz w:val="12"/>
                <w:szCs w:val="12"/>
                <w:color w:val="auto"/>
              </w:rPr>
            </w:pPr>
          </w:p>
        </w:tc>
        <w:tc>
          <w:tcPr>
            <w:tcW w:w="980" w:type="dxa"/>
            <w:vAlign w:val="bottom"/>
            <w:vMerge w:val="restart"/>
          </w:tcPr>
          <w:p>
            <w:pPr>
              <w:jc w:val="right"/>
              <w:ind w:right="224"/>
              <w:spacing w:after="0"/>
              <w:rPr>
                <w:sz w:val="20"/>
                <w:szCs w:val="20"/>
                <w:color w:val="auto"/>
              </w:rPr>
            </w:pPr>
            <w:r>
              <w:rPr>
                <w:rFonts w:ascii="Arial" w:cs="Arial" w:eastAsia="Arial" w:hAnsi="Arial"/>
                <w:sz w:val="15"/>
                <w:szCs w:val="15"/>
                <w:b w:val="1"/>
                <w:bCs w:val="1"/>
                <w:color w:val="auto"/>
              </w:rPr>
              <w:t>Notional</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80"/>
              <w:spacing w:after="0" w:line="146" w:lineRule="exact"/>
              <w:rPr>
                <w:sz w:val="20"/>
                <w:szCs w:val="20"/>
                <w:color w:val="auto"/>
              </w:rPr>
            </w:pPr>
            <w:r>
              <w:rPr>
                <w:rFonts w:ascii="Arial" w:cs="Arial" w:eastAsia="Arial" w:hAnsi="Arial"/>
                <w:sz w:val="15"/>
                <w:szCs w:val="15"/>
                <w:b w:val="1"/>
                <w:bCs w:val="1"/>
                <w:color w:val="auto"/>
                <w:w w:val="94"/>
              </w:rPr>
              <w:t>Fair Value</w:t>
            </w:r>
          </w:p>
        </w:tc>
        <w:tc>
          <w:tcPr>
            <w:tcW w:w="140" w:type="dxa"/>
            <w:vAlign w:val="bottom"/>
          </w:tcPr>
          <w:p>
            <w:pPr>
              <w:spacing w:after="0"/>
              <w:rPr>
                <w:sz w:val="12"/>
                <w:szCs w:val="12"/>
                <w:color w:val="auto"/>
              </w:rPr>
            </w:pPr>
          </w:p>
        </w:tc>
        <w:tc>
          <w:tcPr>
            <w:tcW w:w="1060" w:type="dxa"/>
            <w:vAlign w:val="bottom"/>
          </w:tcPr>
          <w:p>
            <w:pPr>
              <w:jc w:val="center"/>
              <w:ind w:right="64"/>
              <w:spacing w:after="0" w:line="146" w:lineRule="exact"/>
              <w:rPr>
                <w:sz w:val="20"/>
                <w:szCs w:val="20"/>
                <w:color w:val="auto"/>
              </w:rPr>
            </w:pPr>
            <w:r>
              <w:rPr>
                <w:rFonts w:ascii="Arial" w:cs="Arial" w:eastAsia="Arial" w:hAnsi="Arial"/>
                <w:sz w:val="15"/>
                <w:szCs w:val="15"/>
                <w:b w:val="1"/>
                <w:bCs w:val="1"/>
                <w:color w:val="auto"/>
                <w:w w:val="94"/>
              </w:rPr>
              <w:t>Fair Value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restart"/>
          </w:tcPr>
          <w:p>
            <w:pPr>
              <w:jc w:val="right"/>
              <w:ind w:right="244"/>
              <w:spacing w:after="0"/>
              <w:rPr>
                <w:sz w:val="20"/>
                <w:szCs w:val="20"/>
                <w:color w:val="auto"/>
              </w:rPr>
            </w:pPr>
            <w:r>
              <w:rPr>
                <w:rFonts w:ascii="Arial" w:cs="Arial" w:eastAsia="Arial" w:hAnsi="Arial"/>
                <w:sz w:val="15"/>
                <w:szCs w:val="15"/>
                <w:b w:val="1"/>
                <w:bCs w:val="1"/>
                <w:color w:val="auto"/>
              </w:rPr>
              <w:t>Notional</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60"/>
              <w:spacing w:after="0" w:line="146" w:lineRule="exact"/>
              <w:rPr>
                <w:sz w:val="20"/>
                <w:szCs w:val="20"/>
                <w:color w:val="auto"/>
              </w:rPr>
            </w:pPr>
            <w:r>
              <w:rPr>
                <w:rFonts w:ascii="Arial" w:cs="Arial" w:eastAsia="Arial" w:hAnsi="Arial"/>
                <w:sz w:val="15"/>
                <w:szCs w:val="15"/>
                <w:b w:val="1"/>
                <w:bCs w:val="1"/>
                <w:color w:val="auto"/>
                <w:w w:val="94"/>
              </w:rPr>
              <w:t>Fair Value</w:t>
            </w:r>
          </w:p>
        </w:tc>
        <w:tc>
          <w:tcPr>
            <w:tcW w:w="140" w:type="dxa"/>
            <w:vAlign w:val="bottom"/>
          </w:tcPr>
          <w:p>
            <w:pPr>
              <w:spacing w:after="0"/>
              <w:rPr>
                <w:sz w:val="12"/>
                <w:szCs w:val="12"/>
                <w:color w:val="auto"/>
              </w:rPr>
            </w:pPr>
          </w:p>
        </w:tc>
        <w:tc>
          <w:tcPr>
            <w:tcW w:w="1060" w:type="dxa"/>
            <w:vAlign w:val="bottom"/>
          </w:tcPr>
          <w:p>
            <w:pPr>
              <w:jc w:val="center"/>
              <w:ind w:right="64"/>
              <w:spacing w:after="0" w:line="146" w:lineRule="exact"/>
              <w:rPr>
                <w:sz w:val="20"/>
                <w:szCs w:val="20"/>
                <w:color w:val="auto"/>
              </w:rPr>
            </w:pPr>
            <w:r>
              <w:rPr>
                <w:rFonts w:ascii="Arial" w:cs="Arial" w:eastAsia="Arial" w:hAnsi="Arial"/>
                <w:sz w:val="15"/>
                <w:szCs w:val="15"/>
                <w:b w:val="1"/>
                <w:bCs w:val="1"/>
                <w:color w:val="auto"/>
                <w:w w:val="94"/>
              </w:rPr>
              <w:t>Fair Value</w:t>
            </w:r>
          </w:p>
        </w:tc>
        <w:tc>
          <w:tcPr>
            <w:tcW w:w="0" w:type="dxa"/>
            <w:vAlign w:val="bottom"/>
          </w:tcPr>
          <w:p>
            <w:pPr>
              <w:spacing w:after="0"/>
              <w:rPr>
                <w:sz w:val="1"/>
                <w:szCs w:val="1"/>
                <w:color w:val="auto"/>
              </w:rPr>
            </w:pPr>
          </w:p>
        </w:tc>
      </w:tr>
      <w:tr>
        <w:trPr>
          <w:trHeight w:val="203"/>
        </w:trPr>
        <w:tc>
          <w:tcPr>
            <w:tcW w:w="364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4"/>
              <w:spacing w:after="0" w:line="203" w:lineRule="exact"/>
              <w:rPr>
                <w:sz w:val="20"/>
                <w:szCs w:val="20"/>
                <w:color w:val="auto"/>
              </w:rPr>
            </w:pPr>
            <w:r>
              <w:rPr>
                <w:rFonts w:ascii="Arial" w:cs="Arial" w:eastAsia="Arial" w:hAnsi="Arial"/>
                <w:sz w:val="15"/>
                <w:szCs w:val="15"/>
                <w:b w:val="1"/>
                <w:bCs w:val="1"/>
                <w:color w:val="auto"/>
                <w:w w:val="81"/>
              </w:rPr>
              <w:t>of Assets</w:t>
            </w:r>
            <w:r>
              <w:rPr>
                <w:rFonts w:ascii="Arial" w:cs="Arial" w:eastAsia="Arial" w:hAnsi="Arial"/>
                <w:sz w:val="19"/>
                <w:szCs w:val="19"/>
                <w:color w:val="auto"/>
                <w:w w:val="81"/>
                <w:vertAlign w:val="superscript"/>
              </w:rPr>
              <w:t>(1)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w w:val="93"/>
              </w:rPr>
              <w:t>of Liabilities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04"/>
              <w:spacing w:after="0" w:line="203" w:lineRule="exact"/>
              <w:rPr>
                <w:sz w:val="20"/>
                <w:szCs w:val="20"/>
                <w:color w:val="auto"/>
              </w:rPr>
            </w:pPr>
            <w:r>
              <w:rPr>
                <w:rFonts w:ascii="Arial" w:cs="Arial" w:eastAsia="Arial" w:hAnsi="Arial"/>
                <w:sz w:val="15"/>
                <w:szCs w:val="15"/>
                <w:b w:val="1"/>
                <w:bCs w:val="1"/>
                <w:color w:val="auto"/>
                <w:w w:val="81"/>
              </w:rPr>
              <w:t>of Assets</w:t>
            </w:r>
            <w:r>
              <w:rPr>
                <w:rFonts w:ascii="Arial" w:cs="Arial" w:eastAsia="Arial" w:hAnsi="Arial"/>
                <w:sz w:val="19"/>
                <w:szCs w:val="19"/>
                <w:color w:val="auto"/>
                <w:w w:val="81"/>
                <w:vertAlign w:val="superscript"/>
              </w:rPr>
              <w:t>(1)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w w:val="93"/>
              </w:rPr>
              <w:t>of Liabilities</w:t>
            </w:r>
          </w:p>
        </w:tc>
        <w:tc>
          <w:tcPr>
            <w:tcW w:w="0" w:type="dxa"/>
            <w:vAlign w:val="bottom"/>
          </w:tcPr>
          <w:p>
            <w:pPr>
              <w:spacing w:after="0"/>
              <w:rPr>
                <w:sz w:val="1"/>
                <w:szCs w:val="1"/>
                <w:color w:val="auto"/>
              </w:rPr>
            </w:pPr>
          </w:p>
        </w:tc>
      </w:tr>
      <w:tr>
        <w:trPr>
          <w:trHeight w:val="196"/>
        </w:trPr>
        <w:tc>
          <w:tcPr>
            <w:tcW w:w="36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rate derivatives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gridSpan w:val="3"/>
            <w:shd w:val="clear" w:color="auto" w:fill="CCEEFF"/>
          </w:tcPr>
          <w:p>
            <w:pPr>
              <w:ind w:left="840"/>
              <w:spacing w:after="0"/>
              <w:rPr>
                <w:sz w:val="20"/>
                <w:szCs w:val="20"/>
                <w:color w:val="auto"/>
              </w:rPr>
            </w:pPr>
            <w:r>
              <w:rPr>
                <w:rFonts w:ascii="Arial" w:cs="Arial" w:eastAsia="Arial" w:hAnsi="Arial"/>
                <w:sz w:val="15"/>
                <w:szCs w:val="15"/>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ind w:left="8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60" w:hanging="152"/>
        <w:spacing w:after="0"/>
        <w:tabs>
          <w:tab w:leader="none" w:pos="16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Included within Other Assets, net on the Consolidated Balance Sheets.</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2022, the net accumulated gain on our interest rate derivatives before tax effect was $25.6 million. We estimate that $3.4 million will be reclassified as a reduction to interest expense over the next 12 months. The maximum length of time for which we will hedge our exposure to the variability in future cash flows is 10 years.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15, "Fair Value of Financial Instruments," for additional information related to the fair value methodology used for derivative financial instruments.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19, "Subsequent Events," for information regarding derivative transactions completed after March 31,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financial instruments consist primarily of cash, cash equivalents and restricted cash, marketable securities, notes and other receivables, derivatives assets, debt, warrant, and other liabilities. We utilize fair value measurements to record fair value adjustments to certain assets and liabilities and to determine fair value disclosures, pursuant to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The following methods and assumptions were used in order to estimate the fair value of each class of financial instruments for which it is practicable to estimate that value:</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requires disclosure regarding determination of fair value for assets and liabilities and establishes a hierarchy under which these assets and liabilities must be grouped, based on significant levels of observable or unobservable inputs. Observable inputs reflect market data obtained from independent sources, while unobservable inputs reflect our market assumption. This hierarchy requires the use of observable market data when available. These two types of inputs have created the following fair value hierarchy: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Quoted unadjusted prices for identical instruments in active markets that we have the ability to access;</w:t>
      </w:r>
    </w:p>
    <w:p>
      <w:pPr>
        <w:spacing w:after="0" w:line="252"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model-derived valuations in which all significant inputs and significant value drivers are observable (e.g. interest rates, yield curves, prepayment speeds, default rates, loss severity, etc.) in active markets or can be corroborated by observable market data; and</w:t>
      </w:r>
    </w:p>
    <w:p>
      <w:pPr>
        <w:spacing w:after="0" w:line="19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Level 3 - Valuations derived from valuation techniques in which one or more significant inputs or significant value drivers are unobservable. The unobservable inputs reflect our assumptions about the assumptions that market participants would use.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by Hierarchy Level</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table below sets forth our financial assets and liabilities (in millions) that required disclosure of fair value on a recurring basis as of March 31, 2022. The table presents the carrying values and fair values of our financial instruments as of March 31, 2022 and December 31, 2021, that were measured using the valuation techniques described above. The table excludes other financial instruments such as other receivables and accounts payable as the carrying values associated with these instruments approximate their fair value since their maturities are less than one year. These are classified as Level 1 in the hierarchy.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5"/>
          </w:tcPr>
          <w:p>
            <w:pPr>
              <w:ind w:left="20"/>
              <w:spacing w:after="0"/>
              <w:rPr>
                <w:sz w:val="20"/>
                <w:szCs w:val="20"/>
                <w:color w:val="auto"/>
              </w:rPr>
            </w:pPr>
            <w:r>
              <w:rPr>
                <w:rFonts w:ascii="Arial" w:cs="Arial" w:eastAsia="Arial" w:hAnsi="Arial"/>
                <w:sz w:val="15"/>
                <w:szCs w:val="15"/>
                <w:b w:val="1"/>
                <w:bCs w:val="1"/>
                <w:color w:val="auto"/>
              </w:rPr>
              <w:t>March 31, 2022</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44"/>
              <w:spacing w:after="0" w:line="146" w:lineRule="exact"/>
              <w:rPr>
                <w:sz w:val="20"/>
                <w:szCs w:val="20"/>
                <w:color w:val="auto"/>
              </w:rPr>
            </w:pPr>
            <w:r>
              <w:rPr>
                <w:rFonts w:ascii="Arial" w:cs="Arial" w:eastAsia="Arial" w:hAnsi="Arial"/>
                <w:sz w:val="15"/>
                <w:szCs w:val="15"/>
                <w:b w:val="1"/>
                <w:bCs w:val="1"/>
                <w:color w:val="auto"/>
                <w:w w:val="90"/>
              </w:rPr>
              <w:t>Quoted Prices 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vMerge w:val="restart"/>
          </w:tcPr>
          <w:p>
            <w:pPr>
              <w:jc w:val="center"/>
              <w:ind w:right="280"/>
              <w:spacing w:after="0"/>
              <w:rPr>
                <w:sz w:val="20"/>
                <w:szCs w:val="20"/>
                <w:color w:val="auto"/>
              </w:rPr>
            </w:pPr>
            <w:r>
              <w:rPr>
                <w:rFonts w:ascii="Arial" w:cs="Arial" w:eastAsia="Arial" w:hAnsi="Arial"/>
                <w:sz w:val="15"/>
                <w:szCs w:val="15"/>
                <w:b w:val="1"/>
                <w:bCs w:val="1"/>
                <w:color w:val="auto"/>
                <w:w w:val="91"/>
              </w:rPr>
              <w:t>Significant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44"/>
              <w:spacing w:after="0" w:line="149" w:lineRule="exact"/>
              <w:rPr>
                <w:sz w:val="20"/>
                <w:szCs w:val="20"/>
                <w:color w:val="auto"/>
              </w:rPr>
            </w:pPr>
            <w:r>
              <w:rPr>
                <w:rFonts w:ascii="Arial" w:cs="Arial" w:eastAsia="Arial" w:hAnsi="Arial"/>
                <w:sz w:val="15"/>
                <w:szCs w:val="15"/>
                <w:b w:val="1"/>
                <w:bCs w:val="1"/>
                <w:color w:val="auto"/>
                <w:w w:val="95"/>
              </w:rPr>
              <w:t>Active Markets for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vMerge w:val="restart"/>
          </w:tcPr>
          <w:p>
            <w:pPr>
              <w:jc w:val="center"/>
              <w:ind w:right="140"/>
              <w:spacing w:after="0"/>
              <w:rPr>
                <w:sz w:val="20"/>
                <w:szCs w:val="20"/>
                <w:color w:val="auto"/>
              </w:rPr>
            </w:pPr>
            <w:r>
              <w:rPr>
                <w:rFonts w:ascii="Arial" w:cs="Arial" w:eastAsia="Arial" w:hAnsi="Arial"/>
                <w:sz w:val="15"/>
                <w:szCs w:val="15"/>
                <w:b w:val="1"/>
                <w:bCs w:val="1"/>
                <w:color w:val="auto"/>
                <w:w w:val="94"/>
              </w:rPr>
              <w:t>Significant 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90"/>
              </w:rPr>
              <w:t>Identical Assets and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jc w:val="center"/>
              <w:ind w:right="280"/>
              <w:spacing w:after="0" w:line="149" w:lineRule="exact"/>
              <w:rPr>
                <w:sz w:val="20"/>
                <w:szCs w:val="20"/>
                <w:color w:val="auto"/>
              </w:rPr>
            </w:pPr>
            <w:r>
              <w:rPr>
                <w:rFonts w:ascii="Arial" w:cs="Arial" w:eastAsia="Arial" w:hAnsi="Arial"/>
                <w:sz w:val="15"/>
                <w:szCs w:val="15"/>
                <w:b w:val="1"/>
                <w:bCs w:val="1"/>
                <w:color w:val="auto"/>
                <w:w w:val="90"/>
              </w:rPr>
              <w:t>Unobservable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Financial Assets</w:t>
            </w:r>
          </w:p>
        </w:tc>
        <w:tc>
          <w:tcPr>
            <w:tcW w:w="4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w w:val="98"/>
              </w:rPr>
              <w:t>Carrying Value</w:t>
            </w:r>
          </w:p>
        </w:tc>
        <w:tc>
          <w:tcPr>
            <w:tcW w:w="12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ind w:right="384"/>
              <w:spacing w:after="0" w:line="149" w:lineRule="exact"/>
              <w:rPr>
                <w:sz w:val="20"/>
                <w:szCs w:val="20"/>
                <w:color w:val="auto"/>
              </w:rPr>
            </w:pPr>
            <w:r>
              <w:rPr>
                <w:rFonts w:ascii="Arial" w:cs="Arial" w:eastAsia="Arial" w:hAnsi="Arial"/>
                <w:sz w:val="15"/>
                <w:szCs w:val="15"/>
                <w:b w:val="1"/>
                <w:bCs w:val="1"/>
                <w:color w:val="auto"/>
              </w:rPr>
              <w:t>Liabilities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spacing w:after="0" w:line="149" w:lineRule="exact"/>
              <w:rPr>
                <w:sz w:val="20"/>
                <w:szCs w:val="20"/>
                <w:color w:val="auto"/>
              </w:rPr>
            </w:pPr>
            <w:r>
              <w:rPr>
                <w:rFonts w:ascii="Arial" w:cs="Arial" w:eastAsia="Arial" w:hAnsi="Arial"/>
                <w:sz w:val="15"/>
                <w:szCs w:val="15"/>
                <w:b w:val="1"/>
                <w:bCs w:val="1"/>
                <w:color w:val="auto"/>
              </w:rPr>
              <w:t>Observable Inputs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jc w:val="center"/>
              <w:ind w:right="300"/>
              <w:spacing w:after="0" w:line="149" w:lineRule="exact"/>
              <w:rPr>
                <w:sz w:val="20"/>
                <w:szCs w:val="20"/>
                <w:color w:val="auto"/>
              </w:rPr>
            </w:pPr>
            <w:r>
              <w:rPr>
                <w:rFonts w:ascii="Arial" w:cs="Arial" w:eastAsia="Arial" w:hAnsi="Arial"/>
                <w:sz w:val="15"/>
                <w:szCs w:val="15"/>
                <w:b w:val="1"/>
                <w:bCs w:val="1"/>
                <w:color w:val="auto"/>
                <w:w w:val="97"/>
              </w:rPr>
              <w:t>Inputs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144"/>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00"/>
        </w:trPr>
        <w:tc>
          <w:tcPr>
            <w:tcW w:w="4440" w:type="dxa"/>
            <w:vAlign w:val="bottom"/>
            <w:tcBorders>
              <w:bottom w:val="single" w:sz="8" w:color="CCEEFF"/>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CCEEFF"/>
            </w:tcBorders>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91"/>
              </w:rPr>
              <w:t>(Level 1)</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95"/>
              </w:rPr>
              <w:t>(Level 2)</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w w:val="91"/>
              </w:rPr>
              <w:t>(Level 3)</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cash equivalents and restricted cash</w:t>
            </w:r>
          </w:p>
        </w:tc>
        <w:tc>
          <w:tcPr>
            <w:tcW w:w="360" w:type="dxa"/>
            <w:vAlign w:val="bottom"/>
            <w:gridSpan w:val="2"/>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102.6</w:t>
            </w:r>
          </w:p>
        </w:tc>
        <w:tc>
          <w:tcPr>
            <w:tcW w:w="24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102.6</w:t>
            </w:r>
          </w:p>
        </w:tc>
        <w:tc>
          <w:tcPr>
            <w:tcW w:w="0" w:type="dxa"/>
            <w:vAlign w:val="bottom"/>
          </w:tcPr>
          <w:p>
            <w:pPr>
              <w:spacing w:after="0"/>
              <w:rPr>
                <w:sz w:val="1"/>
                <w:szCs w:val="1"/>
                <w:color w:val="auto"/>
              </w:rPr>
            </w:pPr>
          </w:p>
        </w:tc>
      </w:tr>
      <w:tr>
        <w:trPr>
          <w:trHeight w:val="198"/>
        </w:trPr>
        <w:tc>
          <w:tcPr>
            <w:tcW w:w="4440" w:type="dxa"/>
            <w:vAlign w:val="bottom"/>
          </w:tcPr>
          <w:p>
            <w:pPr>
              <w:ind w:left="140"/>
              <w:spacing w:after="0"/>
              <w:rPr>
                <w:sz w:val="20"/>
                <w:szCs w:val="20"/>
                <w:color w:val="auto"/>
              </w:rPr>
            </w:pPr>
            <w:r>
              <w:rPr>
                <w:rFonts w:ascii="Arial" w:cs="Arial" w:eastAsia="Arial" w:hAnsi="Arial"/>
                <w:sz w:val="15"/>
                <w:szCs w:val="15"/>
                <w:color w:val="auto"/>
              </w:rPr>
              <w:t>Marketable securities</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158.3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158.3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158.3</w:t>
            </w:r>
          </w:p>
        </w:tc>
        <w:tc>
          <w:tcPr>
            <w:tcW w:w="0" w:type="dxa"/>
            <w:vAlign w:val="bottom"/>
          </w:tcPr>
          <w:p>
            <w:pPr>
              <w:spacing w:after="0"/>
              <w:rPr>
                <w:sz w:val="1"/>
                <w:szCs w:val="1"/>
                <w:color w:val="auto"/>
              </w:rPr>
            </w:pPr>
          </w:p>
        </w:tc>
      </w:tr>
      <w:tr>
        <w:trPr>
          <w:trHeight w:val="207"/>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Installment notes receivable on manufactured homes, net</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77.2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77.2</w:t>
            </w:r>
          </w:p>
        </w:tc>
        <w:tc>
          <w:tcPr>
            <w:tcW w:w="0" w:type="dxa"/>
            <w:vAlign w:val="bottom"/>
          </w:tcPr>
          <w:p>
            <w:pPr>
              <w:spacing w:after="0"/>
              <w:rPr>
                <w:sz w:val="1"/>
                <w:szCs w:val="1"/>
                <w:color w:val="auto"/>
              </w:rPr>
            </w:pPr>
          </w:p>
        </w:tc>
      </w:tr>
      <w:tr>
        <w:trPr>
          <w:trHeight w:val="198"/>
        </w:trPr>
        <w:tc>
          <w:tcPr>
            <w:tcW w:w="4440" w:type="dxa"/>
            <w:vAlign w:val="bottom"/>
          </w:tcPr>
          <w:p>
            <w:pPr>
              <w:ind w:left="140"/>
              <w:spacing w:after="0"/>
              <w:rPr>
                <w:sz w:val="20"/>
                <w:szCs w:val="20"/>
                <w:color w:val="auto"/>
              </w:rPr>
            </w:pPr>
            <w:r>
              <w:rPr>
                <w:rFonts w:ascii="Arial" w:cs="Arial" w:eastAsia="Arial" w:hAnsi="Arial"/>
                <w:sz w:val="15"/>
                <w:szCs w:val="15"/>
                <w:color w:val="auto"/>
              </w:rPr>
              <w:t>Notes receivable from real estate developers and operators</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304.4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304.4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304.4</w:t>
            </w:r>
          </w:p>
        </w:tc>
        <w:tc>
          <w:tcPr>
            <w:tcW w:w="0" w:type="dxa"/>
            <w:vAlign w:val="bottom"/>
          </w:tcPr>
          <w:p>
            <w:pPr>
              <w:spacing w:after="0"/>
              <w:rPr>
                <w:sz w:val="1"/>
                <w:szCs w:val="1"/>
                <w:color w:val="auto"/>
              </w:rPr>
            </w:pPr>
          </w:p>
        </w:tc>
      </w:tr>
      <w:tr>
        <w:trPr>
          <w:trHeight w:val="207"/>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Warrants</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198"/>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Derivative assets</w:t>
            </w: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25.6</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25.6</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25.6</w:t>
            </w:r>
          </w:p>
        </w:tc>
        <w:tc>
          <w:tcPr>
            <w:tcW w:w="0" w:type="dxa"/>
            <w:vAlign w:val="bottom"/>
          </w:tcPr>
          <w:p>
            <w:pPr>
              <w:spacing w:after="0"/>
              <w:rPr>
                <w:sz w:val="1"/>
                <w:szCs w:val="1"/>
                <w:color w:val="auto"/>
              </w:rPr>
            </w:pPr>
          </w:p>
        </w:tc>
      </w:tr>
      <w:tr>
        <w:trPr>
          <w:trHeight w:val="220"/>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 assets measured at fair value</w:t>
            </w:r>
          </w:p>
        </w:tc>
        <w:tc>
          <w:tcPr>
            <w:tcW w:w="360" w:type="dxa"/>
            <w:vAlign w:val="bottom"/>
            <w:gridSpan w:val="2"/>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668.7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260.9</w:t>
            </w:r>
          </w:p>
        </w:tc>
        <w:tc>
          <w:tcPr>
            <w:tcW w:w="24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668.7</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Financial Liabilities</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40" w:type="dxa"/>
            <w:vAlign w:val="bottom"/>
          </w:tcPr>
          <w:p>
            <w:pPr>
              <w:ind w:left="140"/>
              <w:spacing w:after="0"/>
              <w:rPr>
                <w:sz w:val="20"/>
                <w:szCs w:val="20"/>
                <w:color w:val="auto"/>
              </w:rPr>
            </w:pPr>
            <w:r>
              <w:rPr>
                <w:rFonts w:ascii="Arial" w:cs="Arial" w:eastAsia="Arial" w:hAnsi="Arial"/>
                <w:sz w:val="15"/>
                <w:szCs w:val="15"/>
                <w:color w:val="auto"/>
              </w:rPr>
              <w:t>Secured debt</w:t>
            </w:r>
          </w:p>
        </w:tc>
        <w:tc>
          <w:tcPr>
            <w:tcW w:w="360" w:type="dxa"/>
            <w:vAlign w:val="bottom"/>
            <w:gridSpan w:val="2"/>
          </w:tcPr>
          <w:p>
            <w:pPr>
              <w:jc w:val="right"/>
              <w:ind w:right="18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3,366.6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4"/>
          </w:tcPr>
          <w:p>
            <w:pPr>
              <w:ind w:left="120"/>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3,366.6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2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3,226.1</w:t>
            </w:r>
          </w:p>
        </w:tc>
        <w:tc>
          <w:tcPr>
            <w:tcW w:w="0" w:type="dxa"/>
            <w:vAlign w:val="bottom"/>
          </w:tcPr>
          <w:p>
            <w:pPr>
              <w:spacing w:after="0"/>
              <w:rPr>
                <w:sz w:val="1"/>
                <w:szCs w:val="1"/>
                <w:color w:val="auto"/>
              </w:rPr>
            </w:pPr>
          </w:p>
        </w:tc>
      </w:tr>
      <w:tr>
        <w:trPr>
          <w:trHeight w:val="207"/>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Unsecured debt</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40" w:type="dxa"/>
            <w:vAlign w:val="bottom"/>
          </w:tcPr>
          <w:p>
            <w:pPr>
              <w:ind w:left="260"/>
              <w:spacing w:after="0"/>
              <w:rPr>
                <w:sz w:val="20"/>
                <w:szCs w:val="20"/>
                <w:color w:val="auto"/>
              </w:rPr>
            </w:pPr>
            <w:r>
              <w:rPr>
                <w:rFonts w:ascii="Arial" w:cs="Arial" w:eastAsia="Arial" w:hAnsi="Arial"/>
                <w:sz w:val="15"/>
                <w:szCs w:val="15"/>
                <w:color w:val="auto"/>
              </w:rPr>
              <w:t>Senior unsecured notes</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1,186.7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1,186.7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1,089.0</w:t>
            </w:r>
          </w:p>
        </w:tc>
        <w:tc>
          <w:tcPr>
            <w:tcW w:w="0" w:type="dxa"/>
            <w:vAlign w:val="bottom"/>
          </w:tcPr>
          <w:p>
            <w:pPr>
              <w:spacing w:after="0"/>
              <w:rPr>
                <w:sz w:val="1"/>
                <w:szCs w:val="1"/>
                <w:color w:val="auto"/>
              </w:rPr>
            </w:pPr>
          </w:p>
        </w:tc>
      </w:tr>
      <w:tr>
        <w:trPr>
          <w:trHeight w:val="207"/>
        </w:trPr>
        <w:tc>
          <w:tcPr>
            <w:tcW w:w="44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Line of credit and other unsecured debt</w:t>
            </w:r>
          </w:p>
        </w:tc>
        <w:tc>
          <w:tcPr>
            <w:tcW w:w="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1,523.2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1,523.2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gridSpan w:val="2"/>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1,523.2</w:t>
            </w:r>
          </w:p>
        </w:tc>
        <w:tc>
          <w:tcPr>
            <w:tcW w:w="0" w:type="dxa"/>
            <w:vAlign w:val="bottom"/>
          </w:tcPr>
          <w:p>
            <w:pPr>
              <w:spacing w:after="0"/>
              <w:rPr>
                <w:sz w:val="1"/>
                <w:szCs w:val="1"/>
                <w:color w:val="auto"/>
              </w:rPr>
            </w:pPr>
          </w:p>
        </w:tc>
      </w:tr>
      <w:tr>
        <w:trPr>
          <w:trHeight w:val="192"/>
        </w:trPr>
        <w:tc>
          <w:tcPr>
            <w:tcW w:w="4440" w:type="dxa"/>
            <w:vAlign w:val="bottom"/>
          </w:tcPr>
          <w:p>
            <w:pPr>
              <w:ind w:left="360"/>
              <w:spacing w:after="0"/>
              <w:rPr>
                <w:sz w:val="20"/>
                <w:szCs w:val="20"/>
                <w:color w:val="auto"/>
              </w:rPr>
            </w:pPr>
            <w:r>
              <w:rPr>
                <w:rFonts w:ascii="Arial" w:cs="Arial" w:eastAsia="Arial" w:hAnsi="Arial"/>
                <w:sz w:val="15"/>
                <w:szCs w:val="15"/>
                <w:color w:val="auto"/>
              </w:rPr>
              <w:t>Total unsecured debt</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2,709.9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2,709.9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2,612.2</w:t>
            </w:r>
          </w:p>
        </w:tc>
        <w:tc>
          <w:tcPr>
            <w:tcW w:w="0" w:type="dxa"/>
            <w:vAlign w:val="bottom"/>
          </w:tcPr>
          <w:p>
            <w:pPr>
              <w:spacing w:after="0"/>
              <w:rPr>
                <w:sz w:val="1"/>
                <w:szCs w:val="1"/>
                <w:color w:val="auto"/>
              </w:rPr>
            </w:pPr>
          </w:p>
        </w:tc>
      </w:tr>
      <w:tr>
        <w:trPr>
          <w:trHeight w:val="202"/>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financial liabilities (contingent consideration)</w:t>
            </w:r>
          </w:p>
        </w:tc>
        <w:tc>
          <w:tcPr>
            <w:tcW w:w="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00" w:type="dxa"/>
            <w:vAlign w:val="bottom"/>
            <w:gridSpan w:val="2"/>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20.2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200"/>
        </w:trPr>
        <w:tc>
          <w:tcPr>
            <w:tcW w:w="4440" w:type="dxa"/>
            <w:vAlign w:val="bottom"/>
          </w:tcPr>
          <w:p>
            <w:pPr>
              <w:ind w:left="140"/>
              <w:spacing w:after="0"/>
              <w:rPr>
                <w:sz w:val="20"/>
                <w:szCs w:val="20"/>
                <w:color w:val="auto"/>
              </w:rPr>
            </w:pPr>
            <w:r>
              <w:rPr>
                <w:rFonts w:ascii="Arial" w:cs="Arial" w:eastAsia="Arial" w:hAnsi="Arial"/>
                <w:sz w:val="15"/>
                <w:szCs w:val="15"/>
                <w:b w:val="1"/>
                <w:bCs w:val="1"/>
                <w:color w:val="auto"/>
              </w:rPr>
              <w:t>Total liabilities measured at fair value</w:t>
            </w:r>
          </w:p>
        </w:tc>
        <w:tc>
          <w:tcPr>
            <w:tcW w:w="360" w:type="dxa"/>
            <w:vAlign w:val="bottom"/>
            <w:gridSpan w:val="2"/>
          </w:tcPr>
          <w:p>
            <w:pPr>
              <w:jc w:val="right"/>
              <w:ind w:right="18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6,096.7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4"/>
          </w:tcPr>
          <w:p>
            <w:pPr>
              <w:ind w:left="120"/>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4"/>
              <w:spacing w:after="0"/>
              <w:rPr>
                <w:sz w:val="20"/>
                <w:szCs w:val="20"/>
                <w:color w:val="auto"/>
              </w:rPr>
            </w:pPr>
            <w:r>
              <w:rPr>
                <w:rFonts w:ascii="Arial" w:cs="Arial" w:eastAsia="Arial" w:hAnsi="Arial"/>
                <w:sz w:val="15"/>
                <w:szCs w:val="15"/>
                <w:color w:val="auto"/>
              </w:rPr>
              <w:t>6,076.5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20.2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5,858.5</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6"/>
        </w:trPr>
        <w:tc>
          <w:tcPr>
            <w:tcW w:w="4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spacing w:after="0"/>
              <w:rPr>
                <w:sz w:val="20"/>
                <w:szCs w:val="20"/>
                <w:color w:val="auto"/>
              </w:rPr>
            </w:pPr>
            <w:r>
              <w:rPr>
                <w:rFonts w:ascii="Arial" w:cs="Arial" w:eastAsia="Arial" w:hAnsi="Arial"/>
                <w:sz w:val="15"/>
                <w:szCs w:val="15"/>
                <w:b w:val="1"/>
                <w:bCs w:val="1"/>
                <w:color w:val="auto"/>
              </w:rPr>
              <w:t>December 31, 2021</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2"/>
              </w:rPr>
              <w:t>Quoted Prices 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vMerge w:val="restart"/>
          </w:tcPr>
          <w:p>
            <w:pPr>
              <w:jc w:val="center"/>
              <w:ind w:right="200"/>
              <w:spacing w:after="0"/>
              <w:rPr>
                <w:sz w:val="20"/>
                <w:szCs w:val="20"/>
                <w:color w:val="auto"/>
              </w:rPr>
            </w:pPr>
            <w:r>
              <w:rPr>
                <w:rFonts w:ascii="Arial" w:cs="Arial" w:eastAsia="Arial" w:hAnsi="Arial"/>
                <w:sz w:val="15"/>
                <w:szCs w:val="15"/>
                <w:b w:val="1"/>
                <w:bCs w:val="1"/>
                <w:color w:val="auto"/>
                <w:w w:val="91"/>
              </w:rPr>
              <w:t>Significant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4"/>
              <w:spacing w:after="0" w:line="149" w:lineRule="exact"/>
              <w:rPr>
                <w:sz w:val="20"/>
                <w:szCs w:val="20"/>
                <w:color w:val="auto"/>
              </w:rPr>
            </w:pPr>
            <w:r>
              <w:rPr>
                <w:rFonts w:ascii="Arial" w:cs="Arial" w:eastAsia="Arial" w:hAnsi="Arial"/>
                <w:sz w:val="15"/>
                <w:szCs w:val="15"/>
                <w:b w:val="1"/>
                <w:bCs w:val="1"/>
                <w:color w:val="auto"/>
                <w:w w:val="95"/>
              </w:rPr>
              <w:t>Active Markets for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jc w:val="center"/>
              <w:ind w:right="180"/>
              <w:spacing w:after="0"/>
              <w:rPr>
                <w:sz w:val="20"/>
                <w:szCs w:val="20"/>
                <w:color w:val="auto"/>
              </w:rPr>
            </w:pPr>
            <w:r>
              <w:rPr>
                <w:rFonts w:ascii="Arial" w:cs="Arial" w:eastAsia="Arial" w:hAnsi="Arial"/>
                <w:sz w:val="15"/>
                <w:szCs w:val="15"/>
                <w:b w:val="1"/>
                <w:bCs w:val="1"/>
                <w:color w:val="auto"/>
                <w:w w:val="92"/>
              </w:rPr>
              <w:t>Significant 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9"/>
              </w:rPr>
              <w:t>Identical Assets and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jc w:val="center"/>
              <w:ind w:right="200"/>
              <w:spacing w:after="0" w:line="149" w:lineRule="exact"/>
              <w:rPr>
                <w:sz w:val="20"/>
                <w:szCs w:val="20"/>
                <w:color w:val="auto"/>
              </w:rPr>
            </w:pPr>
            <w:r>
              <w:rPr>
                <w:rFonts w:ascii="Arial" w:cs="Arial" w:eastAsia="Arial" w:hAnsi="Arial"/>
                <w:sz w:val="15"/>
                <w:szCs w:val="15"/>
                <w:b w:val="1"/>
                <w:bCs w:val="1"/>
                <w:color w:val="auto"/>
                <w:w w:val="90"/>
              </w:rPr>
              <w:t>Unobservable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Financial Assets</w:t>
            </w:r>
          </w:p>
        </w:tc>
        <w:tc>
          <w:tcPr>
            <w:tcW w:w="40" w:type="dxa"/>
            <w:vAlign w:val="bottom"/>
          </w:tcPr>
          <w:p>
            <w:pPr>
              <w:spacing w:after="0"/>
              <w:rPr>
                <w:sz w:val="12"/>
                <w:szCs w:val="12"/>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5"/>
                <w:szCs w:val="15"/>
                <w:b w:val="1"/>
                <w:bCs w:val="1"/>
                <w:color w:val="auto"/>
                <w:w w:val="98"/>
              </w:rPr>
              <w:t>Carrying Value</w:t>
            </w:r>
          </w:p>
        </w:tc>
        <w:tc>
          <w:tcPr>
            <w:tcW w:w="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right="24"/>
              <w:spacing w:after="0" w:line="149" w:lineRule="exact"/>
              <w:rPr>
                <w:sz w:val="20"/>
                <w:szCs w:val="20"/>
                <w:color w:val="auto"/>
              </w:rPr>
            </w:pPr>
            <w:r>
              <w:rPr>
                <w:rFonts w:ascii="Arial" w:cs="Arial" w:eastAsia="Arial" w:hAnsi="Arial"/>
                <w:sz w:val="15"/>
                <w:szCs w:val="15"/>
                <w:b w:val="1"/>
                <w:bCs w:val="1"/>
                <w:color w:val="auto"/>
                <w:w w:val="95"/>
              </w:rPr>
              <w:t>Liabilities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jc w:val="center"/>
              <w:ind w:right="120"/>
              <w:spacing w:after="0" w:line="149" w:lineRule="exact"/>
              <w:rPr>
                <w:sz w:val="20"/>
                <w:szCs w:val="20"/>
                <w:color w:val="auto"/>
              </w:rPr>
            </w:pPr>
            <w:r>
              <w:rPr>
                <w:rFonts w:ascii="Arial" w:cs="Arial" w:eastAsia="Arial" w:hAnsi="Arial"/>
                <w:sz w:val="15"/>
                <w:szCs w:val="15"/>
                <w:b w:val="1"/>
                <w:bCs w:val="1"/>
                <w:color w:val="auto"/>
                <w:w w:val="91"/>
              </w:rPr>
              <w:t>Observable Inputs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jc w:val="center"/>
              <w:ind w:right="240"/>
              <w:spacing w:after="0" w:line="149" w:lineRule="exact"/>
              <w:rPr>
                <w:sz w:val="20"/>
                <w:szCs w:val="20"/>
                <w:color w:val="auto"/>
              </w:rPr>
            </w:pPr>
            <w:r>
              <w:rPr>
                <w:rFonts w:ascii="Arial" w:cs="Arial" w:eastAsia="Arial" w:hAnsi="Arial"/>
                <w:sz w:val="15"/>
                <w:szCs w:val="15"/>
                <w:b w:val="1"/>
                <w:bCs w:val="1"/>
                <w:color w:val="auto"/>
                <w:w w:val="93"/>
              </w:rPr>
              <w:t>Inputs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00"/>
        </w:trPr>
        <w:tc>
          <w:tcPr>
            <w:tcW w:w="4440" w:type="dxa"/>
            <w:vAlign w:val="bottom"/>
            <w:tcBorders>
              <w:bottom w:val="single" w:sz="8" w:color="CCEEFF"/>
            </w:tcBorders>
            <w:vMerge w:val="continue"/>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3"/>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(Level 1)</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5"/>
                <w:szCs w:val="15"/>
                <w:b w:val="1"/>
                <w:bCs w:val="1"/>
                <w:color w:val="auto"/>
                <w:w w:val="91"/>
              </w:rPr>
              <w:t>(Level 2)</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5"/>
                <w:szCs w:val="15"/>
                <w:b w:val="1"/>
                <w:bCs w:val="1"/>
                <w:color w:val="auto"/>
                <w:w w:val="95"/>
              </w:rPr>
              <w:t>(Level 3)</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cash equivalents and restricted cash</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78.2</w:t>
            </w:r>
          </w:p>
        </w:tc>
        <w:tc>
          <w:tcPr>
            <w:tcW w:w="240" w:type="dxa"/>
            <w:vAlign w:val="bottom"/>
            <w:gridSpan w:val="4"/>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78.2</w:t>
            </w:r>
          </w:p>
        </w:tc>
        <w:tc>
          <w:tcPr>
            <w:tcW w:w="0" w:type="dxa"/>
            <w:vAlign w:val="bottom"/>
          </w:tcPr>
          <w:p>
            <w:pPr>
              <w:spacing w:after="0"/>
              <w:rPr>
                <w:sz w:val="1"/>
                <w:szCs w:val="1"/>
                <w:color w:val="auto"/>
              </w:rPr>
            </w:pPr>
          </w:p>
        </w:tc>
      </w:tr>
      <w:tr>
        <w:trPr>
          <w:trHeight w:val="198"/>
        </w:trPr>
        <w:tc>
          <w:tcPr>
            <w:tcW w:w="4440" w:type="dxa"/>
            <w:vAlign w:val="bottom"/>
          </w:tcPr>
          <w:p>
            <w:pPr>
              <w:ind w:left="140"/>
              <w:spacing w:after="0"/>
              <w:rPr>
                <w:sz w:val="20"/>
                <w:szCs w:val="20"/>
                <w:color w:val="auto"/>
              </w:rPr>
            </w:pPr>
            <w:r>
              <w:rPr>
                <w:rFonts w:ascii="Arial" w:cs="Arial" w:eastAsia="Arial" w:hAnsi="Arial"/>
                <w:sz w:val="15"/>
                <w:szCs w:val="15"/>
                <w:color w:val="auto"/>
              </w:rPr>
              <w:t>Marketable securities</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186.9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186.9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186.9</w:t>
            </w:r>
          </w:p>
        </w:tc>
        <w:tc>
          <w:tcPr>
            <w:tcW w:w="0" w:type="dxa"/>
            <w:vAlign w:val="bottom"/>
          </w:tcPr>
          <w:p>
            <w:pPr>
              <w:spacing w:after="0"/>
              <w:rPr>
                <w:sz w:val="1"/>
                <w:szCs w:val="1"/>
                <w:color w:val="auto"/>
              </w:rPr>
            </w:pPr>
          </w:p>
        </w:tc>
      </w:tr>
      <w:tr>
        <w:trPr>
          <w:trHeight w:val="207"/>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Installment notes receivable on manufactured homes, net</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79.1</w:t>
            </w:r>
          </w:p>
        </w:tc>
        <w:tc>
          <w:tcPr>
            <w:tcW w:w="0" w:type="dxa"/>
            <w:vAlign w:val="bottom"/>
          </w:tcPr>
          <w:p>
            <w:pPr>
              <w:spacing w:after="0"/>
              <w:rPr>
                <w:sz w:val="1"/>
                <w:szCs w:val="1"/>
                <w:color w:val="auto"/>
              </w:rPr>
            </w:pPr>
          </w:p>
        </w:tc>
      </w:tr>
      <w:tr>
        <w:trPr>
          <w:trHeight w:val="198"/>
        </w:trPr>
        <w:tc>
          <w:tcPr>
            <w:tcW w:w="4440" w:type="dxa"/>
            <w:vAlign w:val="bottom"/>
          </w:tcPr>
          <w:p>
            <w:pPr>
              <w:ind w:left="140"/>
              <w:spacing w:after="0"/>
              <w:rPr>
                <w:sz w:val="20"/>
                <w:szCs w:val="20"/>
                <w:color w:val="auto"/>
              </w:rPr>
            </w:pPr>
            <w:r>
              <w:rPr>
                <w:rFonts w:ascii="Arial" w:cs="Arial" w:eastAsia="Arial" w:hAnsi="Arial"/>
                <w:sz w:val="15"/>
                <w:szCs w:val="15"/>
                <w:color w:val="auto"/>
              </w:rPr>
              <w:t>Notes receivable from real estate developers and operators</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284.0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284.0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284.0</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Derivative assets</w:t>
            </w:r>
          </w:p>
        </w:tc>
        <w:tc>
          <w:tcPr>
            <w:tcW w:w="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200"/>
        </w:trPr>
        <w:tc>
          <w:tcPr>
            <w:tcW w:w="4440" w:type="dxa"/>
            <w:vAlign w:val="bottom"/>
          </w:tcPr>
          <w:p>
            <w:pPr>
              <w:ind w:left="140"/>
              <w:spacing w:after="0"/>
              <w:rPr>
                <w:sz w:val="20"/>
                <w:szCs w:val="20"/>
                <w:color w:val="auto"/>
              </w:rPr>
            </w:pPr>
            <w:r>
              <w:rPr>
                <w:rFonts w:ascii="Arial" w:cs="Arial" w:eastAsia="Arial" w:hAnsi="Arial"/>
                <w:sz w:val="15"/>
                <w:szCs w:val="15"/>
                <w:b w:val="1"/>
                <w:bCs w:val="1"/>
                <w:color w:val="auto"/>
              </w:rPr>
              <w:t>Total assets measured at fair value</w:t>
            </w:r>
          </w:p>
        </w:tc>
        <w:tc>
          <w:tcPr>
            <w:tcW w:w="36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628.6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265.1</w:t>
            </w:r>
          </w:p>
        </w:tc>
        <w:tc>
          <w:tcPr>
            <w:tcW w:w="240" w:type="dxa"/>
            <w:vAlign w:val="bottom"/>
            <w:gridSpan w:val="4"/>
          </w:tcPr>
          <w:p>
            <w:pPr>
              <w:ind w:left="16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0.4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363.1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628.6</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440" w:type="dxa"/>
            <w:vAlign w:val="bottom"/>
          </w:tcPr>
          <w:p>
            <w:pPr>
              <w:ind w:left="20"/>
              <w:spacing w:after="0"/>
              <w:rPr>
                <w:sz w:val="20"/>
                <w:szCs w:val="20"/>
                <w:color w:val="auto"/>
              </w:rPr>
            </w:pPr>
            <w:r>
              <w:rPr>
                <w:rFonts w:ascii="Arial" w:cs="Arial" w:eastAsia="Arial" w:hAnsi="Arial"/>
                <w:sz w:val="15"/>
                <w:szCs w:val="15"/>
                <w:b w:val="1"/>
                <w:bCs w:val="1"/>
                <w:color w:val="auto"/>
              </w:rPr>
              <w:t>Financial Liabilities</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Secured debt</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3,380.7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4"/>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3,380.7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3,405.9</w:t>
            </w:r>
          </w:p>
        </w:tc>
        <w:tc>
          <w:tcPr>
            <w:tcW w:w="0" w:type="dxa"/>
            <w:vAlign w:val="bottom"/>
          </w:tcPr>
          <w:p>
            <w:pPr>
              <w:spacing w:after="0"/>
              <w:rPr>
                <w:sz w:val="1"/>
                <w:szCs w:val="1"/>
                <w:color w:val="auto"/>
              </w:rPr>
            </w:pPr>
          </w:p>
        </w:tc>
      </w:tr>
      <w:tr>
        <w:trPr>
          <w:trHeight w:val="199"/>
        </w:trPr>
        <w:tc>
          <w:tcPr>
            <w:tcW w:w="4440" w:type="dxa"/>
            <w:vAlign w:val="bottom"/>
          </w:tcPr>
          <w:p>
            <w:pPr>
              <w:ind w:left="140"/>
              <w:spacing w:after="0"/>
              <w:rPr>
                <w:sz w:val="20"/>
                <w:szCs w:val="20"/>
                <w:color w:val="auto"/>
              </w:rPr>
            </w:pPr>
            <w:r>
              <w:rPr>
                <w:rFonts w:ascii="Arial" w:cs="Arial" w:eastAsia="Arial" w:hAnsi="Arial"/>
                <w:sz w:val="15"/>
                <w:szCs w:val="15"/>
                <w:color w:val="auto"/>
              </w:rPr>
              <w:t>Unsecured debt</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Senior unsecured notes</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1,186.4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1,186.4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1,201.8</w:t>
            </w:r>
          </w:p>
        </w:tc>
        <w:tc>
          <w:tcPr>
            <w:tcW w:w="0" w:type="dxa"/>
            <w:vAlign w:val="bottom"/>
          </w:tcPr>
          <w:p>
            <w:pPr>
              <w:spacing w:after="0"/>
              <w:rPr>
                <w:sz w:val="1"/>
                <w:szCs w:val="1"/>
                <w:color w:val="auto"/>
              </w:rPr>
            </w:pPr>
          </w:p>
        </w:tc>
      </w:tr>
      <w:tr>
        <w:trPr>
          <w:trHeight w:val="199"/>
        </w:trPr>
        <w:tc>
          <w:tcPr>
            <w:tcW w:w="444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Line of credit and other unsecured debt</w:t>
            </w:r>
          </w:p>
        </w:tc>
        <w:tc>
          <w:tcPr>
            <w:tcW w:w="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1,104.7</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1,104.7</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1,104.7</w:t>
            </w:r>
          </w:p>
        </w:tc>
        <w:tc>
          <w:tcPr>
            <w:tcW w:w="0" w:type="dxa"/>
            <w:vAlign w:val="bottom"/>
          </w:tcPr>
          <w:p>
            <w:pPr>
              <w:spacing w:after="0"/>
              <w:rPr>
                <w:sz w:val="1"/>
                <w:szCs w:val="1"/>
                <w:color w:val="auto"/>
              </w:rPr>
            </w:pPr>
          </w:p>
        </w:tc>
      </w:tr>
      <w:tr>
        <w:trPr>
          <w:trHeight w:val="200"/>
        </w:trPr>
        <w:tc>
          <w:tcPr>
            <w:tcW w:w="44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 unsecured debt</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2,291.1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2,306.5</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CCEEFF"/>
            </w:tcBorders>
          </w:tcPr>
          <w:p>
            <w:pPr>
              <w:ind w:left="140"/>
              <w:spacing w:after="0" w:line="203" w:lineRule="exact"/>
              <w:rPr>
                <w:sz w:val="20"/>
                <w:szCs w:val="20"/>
                <w:color w:val="auto"/>
              </w:rPr>
            </w:pPr>
            <w:r>
              <w:rPr>
                <w:rFonts w:ascii="Arial" w:cs="Arial" w:eastAsia="Arial" w:hAnsi="Arial"/>
                <w:sz w:val="15"/>
                <w:szCs w:val="15"/>
                <w:color w:val="auto"/>
              </w:rPr>
              <w:t>Other financial liabilities (contingent consideration)</w:t>
            </w:r>
            <w:r>
              <w:rPr>
                <w:rFonts w:ascii="Arial" w:cs="Arial" w:eastAsia="Arial" w:hAnsi="Arial"/>
                <w:sz w:val="19"/>
                <w:szCs w:val="19"/>
                <w:color w:val="auto"/>
                <w:vertAlign w:val="superscript"/>
              </w:rPr>
              <w:t>(1)</w:t>
            </w:r>
          </w:p>
        </w:tc>
        <w:tc>
          <w:tcPr>
            <w:tcW w:w="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Total liabilities measured at fair value</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5,692.0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4"/>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5,671.8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5,732.6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180" w:hanging="172"/>
        <w:spacing w:after="0" w:line="273" w:lineRule="auto"/>
        <w:tabs>
          <w:tab w:leader="none" w:pos="167" w:val="left"/>
        </w:tabs>
        <w:numPr>
          <w:ilvl w:val="0"/>
          <w:numId w:val="28"/>
        </w:numPr>
        <w:rPr>
          <w:rFonts w:ascii="Arial" w:cs="Arial" w:eastAsia="Arial" w:hAnsi="Arial"/>
          <w:sz w:val="9"/>
          <w:szCs w:val="9"/>
          <w:color w:val="auto"/>
        </w:rPr>
      </w:pPr>
      <w:r>
        <w:rPr>
          <w:rFonts w:ascii="Arial" w:cs="Arial" w:eastAsia="Arial" w:hAnsi="Arial"/>
          <w:sz w:val="14"/>
          <w:szCs w:val="14"/>
          <w:color w:val="auto"/>
        </w:rPr>
        <w:t>Balance updated to include contingent consideration related to a marina acquisition. This contingent consideration was included within Other liabilities on the Consolidated Balance Sheets at December 31, 2021.</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utilize fair value measurements to record fair value adjustments to certain assets and liabilities and to determine fair value disclosures. The following methods and assumptions were used in order to estimate the fair value of each class of financial instruments for which it is practicable to estimate that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cash equivalents and restricted cash approximate their fair market values due to the short-term nature of the instruments. These are classified as Level 1 in the hierarchy.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Marketable securities held by us and accounted for under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are measured at fair value. Any change in fair value is recognized in the Consolidated Statement of Operations in Gain / (loss) on Remeasurement of marketable securities in accordance with ASU 2016-01 "</w:t>
      </w:r>
      <w:r>
        <w:rPr>
          <w:rFonts w:ascii="Arial" w:cs="Arial" w:eastAsia="Arial" w:hAnsi="Arial"/>
          <w:sz w:val="18"/>
          <w:szCs w:val="18"/>
          <w:i w:val="1"/>
          <w:iCs w:val="1"/>
          <w:color w:val="auto"/>
        </w:rPr>
        <w:t>Financial Instruments - Overall (Subtopic 825-10): Recognition and measurement of financial assets and financial liabilities</w:t>
      </w:r>
      <w:r>
        <w:rPr>
          <w:rFonts w:ascii="Arial" w:cs="Arial" w:eastAsia="Arial" w:hAnsi="Arial"/>
          <w:sz w:val="18"/>
          <w:szCs w:val="18"/>
          <w:color w:val="auto"/>
        </w:rPr>
        <w:t>." The fair value is measured by the quoted unadjusted share price which is readily available in active markets (Level 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marketable securities balance is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4"/>
              </w:rPr>
              <w:t>Three Months Ended</w:t>
            </w:r>
          </w:p>
        </w:tc>
        <w:tc>
          <w:tcPr>
            <w:tcW w:w="200" w:type="dxa"/>
            <w:vAlign w:val="bottom"/>
          </w:tcPr>
          <w:p>
            <w:pPr>
              <w:spacing w:after="0"/>
              <w:rPr>
                <w:sz w:val="17"/>
                <w:szCs w:val="17"/>
                <w:color w:val="auto"/>
              </w:rPr>
            </w:pPr>
          </w:p>
        </w:tc>
        <w:tc>
          <w:tcPr>
            <w:tcW w:w="1660" w:type="dxa"/>
            <w:vAlign w:val="bottom"/>
          </w:tcPr>
          <w:p>
            <w:pPr>
              <w:jc w:val="right"/>
              <w:ind w:right="464"/>
              <w:spacing w:after="0"/>
              <w:rPr>
                <w:sz w:val="20"/>
                <w:szCs w:val="20"/>
                <w:color w:val="auto"/>
              </w:rPr>
            </w:pPr>
            <w:r>
              <w:rPr>
                <w:rFonts w:ascii="Arial" w:cs="Arial" w:eastAsia="Arial" w:hAnsi="Arial"/>
                <w:sz w:val="15"/>
                <w:szCs w:val="15"/>
                <w:b w:val="1"/>
                <w:bCs w:val="1"/>
                <w:color w:val="auto"/>
              </w:rPr>
              <w:t>Year Ended</w:t>
            </w:r>
          </w:p>
        </w:tc>
      </w:tr>
      <w:tr>
        <w:trPr>
          <w:trHeight w:val="207"/>
        </w:trPr>
        <w:tc>
          <w:tcPr>
            <w:tcW w:w="7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3"/>
              </w:rPr>
              <w:t>March 31, 2022</w:t>
            </w:r>
          </w:p>
        </w:tc>
        <w:tc>
          <w:tcPr>
            <w:tcW w:w="200" w:type="dxa"/>
            <w:vAlign w:val="bottom"/>
          </w:tcPr>
          <w:p>
            <w:pPr>
              <w:spacing w:after="0"/>
              <w:rPr>
                <w:sz w:val="17"/>
                <w:szCs w:val="17"/>
                <w:color w:val="auto"/>
              </w:rPr>
            </w:pPr>
          </w:p>
        </w:tc>
        <w:tc>
          <w:tcPr>
            <w:tcW w:w="1660" w:type="dxa"/>
            <w:vAlign w:val="bottom"/>
          </w:tcPr>
          <w:p>
            <w:pPr>
              <w:jc w:val="right"/>
              <w:ind w:right="244"/>
              <w:spacing w:after="0"/>
              <w:rPr>
                <w:sz w:val="20"/>
                <w:szCs w:val="20"/>
                <w:color w:val="auto"/>
              </w:rPr>
            </w:pPr>
            <w:r>
              <w:rPr>
                <w:rFonts w:ascii="Arial" w:cs="Arial" w:eastAsia="Arial" w:hAnsi="Arial"/>
                <w:sz w:val="15"/>
                <w:szCs w:val="15"/>
                <w:b w:val="1"/>
                <w:bCs w:val="1"/>
                <w:color w:val="auto"/>
                <w:w w:val="97"/>
              </w:rPr>
              <w:t>December 31, 2021</w:t>
            </w:r>
          </w:p>
        </w:tc>
      </w:tr>
      <w:tr>
        <w:trPr>
          <w:trHeight w:val="200"/>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Beginning Balance</w:t>
            </w: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124.7</w:t>
            </w:r>
          </w:p>
        </w:tc>
      </w:tr>
      <w:tr>
        <w:trPr>
          <w:trHeight w:val="198"/>
        </w:trPr>
        <w:tc>
          <w:tcPr>
            <w:tcW w:w="7400" w:type="dxa"/>
            <w:vAlign w:val="bottom"/>
          </w:tcPr>
          <w:p>
            <w:pPr>
              <w:ind w:left="220"/>
              <w:spacing w:after="0"/>
              <w:rPr>
                <w:sz w:val="20"/>
                <w:szCs w:val="20"/>
                <w:color w:val="auto"/>
              </w:rPr>
            </w:pPr>
            <w:r>
              <w:rPr>
                <w:rFonts w:ascii="Arial" w:cs="Arial" w:eastAsia="Arial" w:hAnsi="Arial"/>
                <w:sz w:val="15"/>
                <w:szCs w:val="15"/>
                <w:color w:val="auto"/>
              </w:rPr>
              <w:t>Additional purchases</w:t>
            </w:r>
          </w:p>
        </w:tc>
        <w:tc>
          <w:tcPr>
            <w:tcW w:w="180" w:type="dxa"/>
            <w:vAlign w:val="bottom"/>
          </w:tcPr>
          <w:p>
            <w:pPr>
              <w:spacing w:after="0"/>
              <w:rPr>
                <w:sz w:val="17"/>
                <w:szCs w:val="17"/>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35.5</w:t>
            </w:r>
          </w:p>
        </w:tc>
      </w:tr>
      <w:tr>
        <w:trPr>
          <w:trHeight w:val="207"/>
        </w:trPr>
        <w:tc>
          <w:tcPr>
            <w:tcW w:w="7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Change in fair value measurement</w:t>
            </w: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33.4</w:t>
            </w:r>
          </w:p>
        </w:tc>
      </w:tr>
      <w:tr>
        <w:trPr>
          <w:trHeight w:val="198"/>
        </w:trPr>
        <w:tc>
          <w:tcPr>
            <w:tcW w:w="7400" w:type="dxa"/>
            <w:vAlign w:val="bottom"/>
          </w:tcPr>
          <w:p>
            <w:pPr>
              <w:ind w:left="220"/>
              <w:spacing w:after="0"/>
              <w:rPr>
                <w:sz w:val="20"/>
                <w:szCs w:val="20"/>
                <w:color w:val="auto"/>
              </w:rPr>
            </w:pPr>
            <w:r>
              <w:rPr>
                <w:rFonts w:ascii="Arial" w:cs="Arial" w:eastAsia="Arial" w:hAnsi="Arial"/>
                <w:sz w:val="15"/>
                <w:szCs w:val="15"/>
                <w:color w:val="auto"/>
              </w:rPr>
              <w:t>Foreign currency translation adjustment</w:t>
            </w: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4.4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(9.2)</w:t>
            </w:r>
          </w:p>
        </w:tc>
      </w:tr>
      <w:tr>
        <w:trPr>
          <w:trHeight w:val="203"/>
        </w:trPr>
        <w:tc>
          <w:tcPr>
            <w:tcW w:w="7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Dividend reinvestment, net of tax</w:t>
            </w:r>
          </w:p>
        </w:tc>
        <w:tc>
          <w:tcPr>
            <w:tcW w:w="18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w:t>
            </w:r>
          </w:p>
        </w:tc>
      </w:tr>
      <w:tr>
        <w:trPr>
          <w:trHeight w:val="200"/>
        </w:trPr>
        <w:tc>
          <w:tcPr>
            <w:tcW w:w="7400" w:type="dxa"/>
            <w:vAlign w:val="bottom"/>
          </w:tcPr>
          <w:p>
            <w:pPr>
              <w:ind w:left="20"/>
              <w:spacing w:after="0"/>
              <w:rPr>
                <w:sz w:val="20"/>
                <w:szCs w:val="20"/>
                <w:color w:val="auto"/>
              </w:rPr>
            </w:pPr>
            <w:r>
              <w:rPr>
                <w:rFonts w:ascii="Arial" w:cs="Arial" w:eastAsia="Arial" w:hAnsi="Arial"/>
                <w:sz w:val="15"/>
                <w:szCs w:val="15"/>
                <w:b w:val="1"/>
                <w:bCs w:val="1"/>
                <w:color w:val="auto"/>
              </w:rPr>
              <w:t>Ending Balance</w:t>
            </w: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158.3</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186.9</w:t>
            </w:r>
          </w:p>
        </w:tc>
      </w:tr>
      <w:tr>
        <w:trPr>
          <w:trHeight w:val="20"/>
        </w:trPr>
        <w:tc>
          <w:tcPr>
            <w:tcW w:w="7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Installment Notes Receivable on Manufactured Homes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Installment notes receivable on manufactured homes are recorded at fair value and are measured using model-derived indicative pricing using primarily unobservable inputs, inclusive of default rates, interest rates and recovery rates (Level 3). Refer to Note 4, "Notes and Other Receivables,"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 from Real Estate Developers and Operators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Notes receivable from real estate developers and operators are recorded at fair value and are measured using model-derived indicative pricing using primarily unobservable inputs including interest rates and counterparty performance (Level 3). The carrying values of the notes generally approximate their fair market values either due to the nature of the note and / or the note being secured by underlying collateral and / or personal guarantees. Refer to Note 4, "Notes and Other Receivables," for additional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Assets- Interest Rate Derivatives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rate derivatives are recorded at fair value and consist of Treasury locks. The fair value of the Treasury lock is measured using observable inputs based on the 10-year Treasury note rate (Level 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Debt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Secured debt consists primarily of our mortgage term loans. The fair value of mortgage term loans is based on the estimates of management and on rates currently quoted, rates currently prevailing for comparable loans and instruments of comparable maturities (Level 2). Refer to Note 8, "Debt and Line of Credit," for additional information.</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Unsecured Debt</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Senior unsecured notes - the fair value of senior unsecured notes is based on the estimates of management and on rates currently quoted, rates currently prevailing for comparable loans and instruments of comparable maturities (Level 2). Refer to Note 8, "Debt and Line of Credit," for additional information.</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Line of credit and other unsecured debt - consists primarily of our Senior Credit Facility. We have variable rates on our Senior Credit Facility. The fair value of the debt with variable rates approximates carrying value as the interest rates of these amounts approximate market rates. The estimated fair value of our indebtedness as of March 31, 2022 approximated its gross carrying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Financial Liabilities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estimate the fair value of contingent consideration liabilities based on valuation models using significant unobservable inputs that generally consider discounting of future cash flows using market interest rates and adjusting for non-performance risk over the remaining term of the liability (Level 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 Reconciliation, Measurements and Transfers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at the beginning fair value for the reporting period in which the changes occur. Availability of secondary market activity and consistency of pricing from third-party sources impacts our ability to classify securities as Level 2 or Level 3. There were no transfers into or out of Level 3 during the three months ended March 31, 2022.</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changes to our financial instruments carried at fair value and classified within Level 3 of the fair value hierarchy for the three months ended March 31, 2022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5"/>
                <w:szCs w:val="15"/>
                <w:b w:val="1"/>
                <w:bCs w:val="1"/>
                <w:color w:val="auto"/>
                <w:w w:val="94"/>
              </w:rPr>
              <w:t>Three Months Ended</w:t>
            </w:r>
          </w:p>
        </w:tc>
        <w:tc>
          <w:tcPr>
            <w:tcW w:w="3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5"/>
                <w:szCs w:val="15"/>
                <w:b w:val="1"/>
                <w:bCs w:val="1"/>
                <w:color w:val="auto"/>
                <w:w w:val="95"/>
              </w:rPr>
              <w:t>March 31, 2022</w:t>
            </w:r>
          </w:p>
        </w:tc>
        <w:tc>
          <w:tcPr>
            <w:tcW w:w="3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5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92"/>
              </w:rPr>
              <w:t>Installment Notes</w:t>
            </w:r>
          </w:p>
        </w:tc>
        <w:tc>
          <w:tcPr>
            <w:tcW w:w="120" w:type="dxa"/>
            <w:vAlign w:val="bottom"/>
          </w:tcPr>
          <w:p>
            <w:pPr>
              <w:spacing w:after="0"/>
              <w:rPr>
                <w:sz w:val="12"/>
                <w:szCs w:val="12"/>
                <w:color w:val="auto"/>
              </w:rPr>
            </w:pPr>
          </w:p>
        </w:tc>
        <w:tc>
          <w:tcPr>
            <w:tcW w:w="1820" w:type="dxa"/>
            <w:vAlign w:val="bottom"/>
            <w:gridSpan w:val="2"/>
          </w:tcPr>
          <w:p>
            <w:pPr>
              <w:jc w:val="center"/>
              <w:ind w:right="200"/>
              <w:spacing w:after="0" w:line="144" w:lineRule="exact"/>
              <w:rPr>
                <w:sz w:val="20"/>
                <w:szCs w:val="20"/>
                <w:color w:val="auto"/>
              </w:rPr>
            </w:pPr>
            <w:r>
              <w:rPr>
                <w:rFonts w:ascii="Arial" w:cs="Arial" w:eastAsia="Arial" w:hAnsi="Arial"/>
                <w:sz w:val="15"/>
                <w:szCs w:val="15"/>
                <w:b w:val="1"/>
                <w:bCs w:val="1"/>
                <w:color w:val="auto"/>
                <w:w w:val="90"/>
              </w:rPr>
              <w:t>Notes Receivable From</w:t>
            </w: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Assets:</w:t>
            </w:r>
          </w:p>
        </w:tc>
        <w:tc>
          <w:tcPr>
            <w:tcW w:w="16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940" w:type="dxa"/>
            <w:vAlign w:val="bottom"/>
            <w:gridSpan w:val="3"/>
          </w:tcPr>
          <w:p>
            <w:pPr>
              <w:jc w:val="center"/>
              <w:ind w:right="80"/>
              <w:spacing w:after="0" w:line="149" w:lineRule="exact"/>
              <w:rPr>
                <w:sz w:val="20"/>
                <w:szCs w:val="20"/>
                <w:color w:val="auto"/>
              </w:rPr>
            </w:pPr>
            <w:r>
              <w:rPr>
                <w:rFonts w:ascii="Arial" w:cs="Arial" w:eastAsia="Arial" w:hAnsi="Arial"/>
                <w:sz w:val="15"/>
                <w:szCs w:val="15"/>
                <w:b w:val="1"/>
                <w:bCs w:val="1"/>
                <w:color w:val="auto"/>
                <w:w w:val="90"/>
              </w:rPr>
              <w:t>Real Estate Developers and</w:t>
            </w:r>
          </w:p>
        </w:tc>
        <w:tc>
          <w:tcPr>
            <w:tcW w:w="360" w:type="dxa"/>
            <w:vAlign w:val="bottom"/>
          </w:tcPr>
          <w:p>
            <w:pPr>
              <w:spacing w:after="0"/>
              <w:rPr>
                <w:sz w:val="12"/>
                <w:szCs w:val="12"/>
                <w:color w:val="auto"/>
              </w:rPr>
            </w:pPr>
          </w:p>
        </w:tc>
        <w:tc>
          <w:tcPr>
            <w:tcW w:w="1500" w:type="dxa"/>
            <w:vAlign w:val="bottom"/>
            <w:vMerge w:val="restart"/>
          </w:tcPr>
          <w:p>
            <w:pPr>
              <w:jc w:val="right"/>
              <w:ind w:right="544"/>
              <w:spacing w:after="0"/>
              <w:rPr>
                <w:sz w:val="20"/>
                <w:szCs w:val="20"/>
                <w:color w:val="auto"/>
              </w:rPr>
            </w:pPr>
            <w:r>
              <w:rPr>
                <w:rFonts w:ascii="Arial" w:cs="Arial" w:eastAsia="Arial" w:hAnsi="Arial"/>
                <w:sz w:val="15"/>
                <w:szCs w:val="15"/>
                <w:b w:val="1"/>
                <w:bCs w:val="1"/>
                <w:color w:val="auto"/>
              </w:rPr>
              <w:t>Warrants</w:t>
            </w:r>
          </w:p>
        </w:tc>
        <w:tc>
          <w:tcPr>
            <w:tcW w:w="0" w:type="dxa"/>
            <w:vAlign w:val="bottom"/>
          </w:tcPr>
          <w:p>
            <w:pPr>
              <w:spacing w:after="0"/>
              <w:rPr>
                <w:sz w:val="1"/>
                <w:szCs w:val="1"/>
                <w:color w:val="auto"/>
              </w:rPr>
            </w:pPr>
          </w:p>
        </w:tc>
      </w:tr>
      <w:tr>
        <w:trPr>
          <w:trHeight w:val="200"/>
        </w:trPr>
        <w:tc>
          <w:tcPr>
            <w:tcW w:w="54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2"/>
              </w:rPr>
              <w:t>Receivable on MH, net</w:t>
            </w:r>
          </w:p>
        </w:tc>
        <w:tc>
          <w:tcPr>
            <w:tcW w:w="120" w:type="dxa"/>
            <w:vAlign w:val="bottom"/>
          </w:tcPr>
          <w:p>
            <w:pPr>
              <w:spacing w:after="0"/>
              <w:rPr>
                <w:sz w:val="17"/>
                <w:szCs w:val="17"/>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4"/>
              </w:rPr>
              <w:t>Operators</w:t>
            </w:r>
          </w:p>
        </w:tc>
        <w:tc>
          <w:tcPr>
            <w:tcW w:w="36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Level 3 beginning balance at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79.1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284.0</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5480" w:type="dxa"/>
            <w:vAlign w:val="bottom"/>
          </w:tcPr>
          <w:p>
            <w:pPr>
              <w:ind w:left="20"/>
              <w:spacing w:after="0"/>
              <w:rPr>
                <w:sz w:val="20"/>
                <w:szCs w:val="20"/>
                <w:color w:val="auto"/>
              </w:rPr>
            </w:pPr>
            <w:r>
              <w:rPr>
                <w:rFonts w:ascii="Arial" w:cs="Arial" w:eastAsia="Arial" w:hAnsi="Arial"/>
                <w:sz w:val="15"/>
                <w:szCs w:val="15"/>
                <w:color w:val="auto"/>
              </w:rPr>
              <w:t>Realized gains / (losses)</w:t>
            </w:r>
          </w:p>
        </w:tc>
        <w:tc>
          <w:tcPr>
            <w:tcW w:w="160" w:type="dxa"/>
            <w:vAlign w:val="bottom"/>
          </w:tcPr>
          <w:p>
            <w:pPr>
              <w:spacing w:after="0"/>
              <w:rPr>
                <w:sz w:val="17"/>
                <w:szCs w:val="17"/>
                <w:color w:val="auto"/>
              </w:rPr>
            </w:pPr>
          </w:p>
        </w:tc>
        <w:tc>
          <w:tcPr>
            <w:tcW w:w="1720" w:type="dxa"/>
            <w:vAlign w:val="bottom"/>
          </w:tcPr>
          <w:p>
            <w:pPr>
              <w:jc w:val="right"/>
              <w:ind w:right="4"/>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207"/>
        </w:trPr>
        <w:tc>
          <w:tcPr>
            <w:tcW w:w="5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Purchases and issuances</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98"/>
        </w:trPr>
        <w:tc>
          <w:tcPr>
            <w:tcW w:w="5480" w:type="dxa"/>
            <w:vAlign w:val="bottom"/>
          </w:tcPr>
          <w:p>
            <w:pPr>
              <w:ind w:left="20"/>
              <w:spacing w:after="0"/>
              <w:rPr>
                <w:sz w:val="20"/>
                <w:szCs w:val="20"/>
                <w:color w:val="auto"/>
              </w:rPr>
            </w:pPr>
            <w:r>
              <w:rPr>
                <w:rFonts w:ascii="Arial" w:cs="Arial" w:eastAsia="Arial" w:hAnsi="Arial"/>
                <w:sz w:val="15"/>
                <w:szCs w:val="15"/>
                <w:color w:val="auto"/>
              </w:rPr>
              <w:t>Sales and settlements</w:t>
            </w:r>
          </w:p>
        </w:tc>
        <w:tc>
          <w:tcPr>
            <w:tcW w:w="1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(4.1)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adjustments</w:t>
            </w:r>
          </w:p>
        </w:tc>
        <w:tc>
          <w:tcPr>
            <w:tcW w:w="1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5480" w:type="dxa"/>
            <w:vAlign w:val="bottom"/>
          </w:tcPr>
          <w:p>
            <w:pPr>
              <w:ind w:left="20"/>
              <w:spacing w:after="0"/>
              <w:rPr>
                <w:sz w:val="20"/>
                <w:szCs w:val="20"/>
                <w:color w:val="auto"/>
              </w:rPr>
            </w:pPr>
            <w:r>
              <w:rPr>
                <w:rFonts w:ascii="Arial" w:cs="Arial" w:eastAsia="Arial" w:hAnsi="Arial"/>
                <w:sz w:val="15"/>
                <w:szCs w:val="15"/>
                <w:color w:val="auto"/>
              </w:rPr>
              <w:t>Level 3 ending balance at March 31, 2022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77.2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304.4</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color w:val="auto"/>
                <w:w w:val="95"/>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liabilities (Contingent Consideration) was $20.2 million at March 31, 2022 and December 31, 2021 respectively, and there were no changes to these Level 3 liabilities during the three months ended March 31, 2022. The balance at December 31, 2021 includes $8.9 million related to an acquisition in the marina segment that was previously included in Other Liabilities.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we have determined the estimated fair value amounts using available market information and commonly accepted valuation methodologies, considerable judgment is required in interpreting market data to develop fair value estimates. The fair value estimates are based on information available as of March 31, 2022. As such, our estimates of fair value could differ significantly from the actual carrying value.</w:t>
      </w:r>
    </w:p>
    <w:p>
      <w:pPr>
        <w:spacing w:after="0" w:line="1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involved in various legal proceedings arising in the ordinary course of business. All such proceedings, taken together, are not expected to have a material adverse impact on our results of operations or financial condition.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3"/>
          <w:szCs w:val="13"/>
          <w:b w:val="1"/>
          <w:bCs w:val="1"/>
          <w:color w:val="auto"/>
        </w:rPr>
        <w:t>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lease land under non-cancelable operating leases at certain MH, RV and marina properties expiring at various dates through 2094. The majority of the leases have terms requiring fixed payments plus additional rents based on a percentage of revenues at those properties. We also have other operating leases, primarily office space and equipment expiring at various dates through 2041.</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non-cancellable leases as of the three months ended March 31, 2022 where we are the lessee include: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Maturity of Lease Liabilities (in millions)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w w:val="96"/>
              </w:rPr>
              <w:t>Operating Leases</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Finance Leases</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b w:val="1"/>
                <w:bCs w:val="1"/>
                <w:color w:val="auto"/>
              </w:rPr>
              <w:t>Total</w:t>
            </w:r>
          </w:p>
        </w:tc>
      </w:tr>
      <w:tr>
        <w:trPr>
          <w:trHeight w:val="200"/>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2022 (excluding three months ended March 31, 2022)</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204"/>
              <w:spacing w:after="0"/>
              <w:rPr>
                <w:sz w:val="20"/>
                <w:szCs w:val="20"/>
                <w:color w:val="auto"/>
              </w:rPr>
            </w:pPr>
            <w:r>
              <w:rPr>
                <w:rFonts w:ascii="Arial" w:cs="Arial" w:eastAsia="Arial" w:hAnsi="Arial"/>
                <w:sz w:val="15"/>
                <w:szCs w:val="15"/>
                <w:color w:val="auto"/>
                <w:w w:val="95"/>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r>
      <w:tr>
        <w:trPr>
          <w:trHeight w:val="198"/>
        </w:trPr>
        <w:tc>
          <w:tcPr>
            <w:tcW w:w="5740" w:type="dxa"/>
            <w:vAlign w:val="bottom"/>
          </w:tcPr>
          <w:p>
            <w:pPr>
              <w:ind w:left="20"/>
              <w:spacing w:after="0"/>
              <w:rPr>
                <w:sz w:val="20"/>
                <w:szCs w:val="20"/>
                <w:color w:val="auto"/>
              </w:rPr>
            </w:pPr>
            <w:r>
              <w:rPr>
                <w:rFonts w:ascii="Arial" w:cs="Arial" w:eastAsia="Arial" w:hAnsi="Arial"/>
                <w:sz w:val="15"/>
                <w:szCs w:val="15"/>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10.2</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0.2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10.4</w:t>
            </w:r>
          </w:p>
        </w:tc>
      </w:tr>
      <w:tr>
        <w:trPr>
          <w:trHeight w:val="207"/>
        </w:trPr>
        <w:tc>
          <w:tcPr>
            <w:tcW w:w="5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w:t>
            </w:r>
          </w:p>
        </w:tc>
      </w:tr>
      <w:tr>
        <w:trPr>
          <w:trHeight w:val="198"/>
        </w:trPr>
        <w:tc>
          <w:tcPr>
            <w:tcW w:w="5740" w:type="dxa"/>
            <w:vAlign w:val="bottom"/>
          </w:tcPr>
          <w:p>
            <w:pPr>
              <w:ind w:left="20"/>
              <w:spacing w:after="0"/>
              <w:rPr>
                <w:sz w:val="20"/>
                <w:szCs w:val="20"/>
                <w:color w:val="auto"/>
              </w:rPr>
            </w:pPr>
            <w:r>
              <w:rPr>
                <w:rFonts w:ascii="Arial" w:cs="Arial" w:eastAsia="Arial" w:hAnsi="Arial"/>
                <w:sz w:val="15"/>
                <w:szCs w:val="15"/>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10.4</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10.4</w:t>
            </w:r>
          </w:p>
        </w:tc>
      </w:tr>
      <w:tr>
        <w:trPr>
          <w:trHeight w:val="207"/>
        </w:trPr>
        <w:tc>
          <w:tcPr>
            <w:tcW w:w="5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r>
      <w:tr>
        <w:trPr>
          <w:trHeight w:val="198"/>
        </w:trPr>
        <w:tc>
          <w:tcPr>
            <w:tcW w:w="5840" w:type="dxa"/>
            <w:vAlign w:val="bottom"/>
            <w:gridSpan w:val="2"/>
          </w:tcPr>
          <w:p>
            <w:pPr>
              <w:ind w:left="20"/>
              <w:spacing w:after="0"/>
              <w:rPr>
                <w:sz w:val="20"/>
                <w:szCs w:val="20"/>
                <w:color w:val="auto"/>
              </w:rPr>
            </w:pPr>
            <w:r>
              <w:rPr>
                <w:rFonts w:ascii="Arial" w:cs="Arial" w:eastAsia="Arial" w:hAnsi="Arial"/>
                <w:sz w:val="15"/>
                <w:szCs w:val="15"/>
                <w:color w:val="auto"/>
              </w:rPr>
              <w:t>Thereafter</w:t>
            </w: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196.8</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196.8</w:t>
            </w:r>
          </w:p>
        </w:tc>
      </w:tr>
      <w:tr>
        <w:trPr>
          <w:trHeight w:val="200"/>
        </w:trPr>
        <w:tc>
          <w:tcPr>
            <w:tcW w:w="58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Total Lease Payments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245.0</w:t>
            </w: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1204"/>
              <w:spacing w:after="0"/>
              <w:rPr>
                <w:sz w:val="20"/>
                <w:szCs w:val="20"/>
                <w:color w:val="auto"/>
              </w:rPr>
            </w:pPr>
            <w:r>
              <w:rPr>
                <w:rFonts w:ascii="Arial" w:cs="Arial" w:eastAsia="Arial" w:hAnsi="Arial"/>
                <w:sz w:val="15"/>
                <w:szCs w:val="15"/>
                <w:color w:val="auto"/>
                <w:w w:val="95"/>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249.5</w:t>
            </w:r>
          </w:p>
        </w:tc>
      </w:tr>
      <w:tr>
        <w:trPr>
          <w:trHeight w:val="198"/>
        </w:trPr>
        <w:tc>
          <w:tcPr>
            <w:tcW w:w="58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Less: Imputed interest</w:t>
            </w: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(112.9)</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7"/>
              </w:rPr>
              <w:t>(0.2)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(113.1)</w:t>
            </w:r>
          </w:p>
        </w:tc>
      </w:tr>
      <w:tr>
        <w:trPr>
          <w:trHeight w:val="225"/>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Present Value of Lease Liabilities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132.1</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204"/>
              <w:spacing w:after="0"/>
              <w:rPr>
                <w:sz w:val="20"/>
                <w:szCs w:val="20"/>
                <w:color w:val="auto"/>
              </w:rPr>
            </w:pPr>
            <w:r>
              <w:rPr>
                <w:rFonts w:ascii="Arial" w:cs="Arial" w:eastAsia="Arial" w:hAnsi="Arial"/>
                <w:sz w:val="15"/>
                <w:szCs w:val="15"/>
                <w:color w:val="auto"/>
                <w:w w:val="95"/>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136.4</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Right-of-use (ROU) assets and lease liabilities for finance and operating leases as included in our Consolidated Balance Sheets are as follows (in millions):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gridSpan w:val="2"/>
          </w:tcPr>
          <w:p>
            <w:pPr>
              <w:ind w:left="380"/>
              <w:spacing w:after="0"/>
              <w:rPr>
                <w:sz w:val="20"/>
                <w:szCs w:val="20"/>
                <w:color w:val="auto"/>
              </w:rPr>
            </w:pPr>
            <w:r>
              <w:rPr>
                <w:rFonts w:ascii="Arial" w:cs="Arial" w:eastAsia="Arial" w:hAnsi="Arial"/>
                <w:sz w:val="15"/>
                <w:szCs w:val="15"/>
                <w:b w:val="1"/>
                <w:bCs w:val="1"/>
                <w:color w:val="auto"/>
              </w:rPr>
              <w:t>Financial Statement</w:t>
            </w:r>
          </w:p>
        </w:tc>
        <w:tc>
          <w:tcPr>
            <w:tcW w:w="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5"/>
                <w:szCs w:val="15"/>
                <w:b w:val="1"/>
                <w:bCs w:val="1"/>
                <w:color w:val="auto"/>
              </w:rPr>
              <w:t>As of</w:t>
            </w:r>
          </w:p>
        </w:tc>
        <w:tc>
          <w:tcPr>
            <w:tcW w:w="1540" w:type="dxa"/>
            <w:vAlign w:val="bottom"/>
            <w:tcBorders>
              <w:bottom w:val="single" w:sz="8" w:color="auto"/>
            </w:tcBorders>
          </w:tcPr>
          <w:p>
            <w:pPr>
              <w:spacing w:after="0"/>
              <w:rPr>
                <w:sz w:val="17"/>
                <w:szCs w:val="17"/>
                <w:color w:val="auto"/>
              </w:rPr>
            </w:pPr>
          </w:p>
        </w:tc>
      </w:tr>
      <w:tr>
        <w:trPr>
          <w:trHeight w:val="194"/>
        </w:trPr>
        <w:tc>
          <w:tcPr>
            <w:tcW w:w="5400" w:type="dxa"/>
            <w:vAlign w:val="bottom"/>
          </w:tcPr>
          <w:p>
            <w:pPr>
              <w:ind w:left="2320"/>
              <w:spacing w:after="0"/>
              <w:rPr>
                <w:sz w:val="20"/>
                <w:szCs w:val="20"/>
                <w:color w:val="auto"/>
              </w:rPr>
            </w:pPr>
            <w:r>
              <w:rPr>
                <w:rFonts w:ascii="Arial" w:cs="Arial" w:eastAsia="Arial" w:hAnsi="Arial"/>
                <w:sz w:val="15"/>
                <w:szCs w:val="15"/>
                <w:b w:val="1"/>
                <w:bCs w:val="1"/>
                <w:color w:val="auto"/>
              </w:rPr>
              <w:t>Description</w:t>
            </w:r>
          </w:p>
        </w:tc>
        <w:tc>
          <w:tcPr>
            <w:tcW w:w="100" w:type="dxa"/>
            <w:vAlign w:val="bottom"/>
          </w:tcPr>
          <w:p>
            <w:pPr>
              <w:spacing w:after="0"/>
              <w:rPr>
                <w:sz w:val="16"/>
                <w:szCs w:val="16"/>
                <w:color w:val="auto"/>
              </w:rPr>
            </w:pPr>
          </w:p>
        </w:tc>
        <w:tc>
          <w:tcPr>
            <w:tcW w:w="2180" w:type="dxa"/>
            <w:vAlign w:val="bottom"/>
            <w:gridSpan w:val="2"/>
          </w:tcPr>
          <w:p>
            <w:pPr>
              <w:ind w:left="600"/>
              <w:spacing w:after="0"/>
              <w:rPr>
                <w:sz w:val="20"/>
                <w:szCs w:val="20"/>
                <w:color w:val="auto"/>
              </w:rPr>
            </w:pPr>
            <w:r>
              <w:rPr>
                <w:rFonts w:ascii="Arial" w:cs="Arial" w:eastAsia="Arial" w:hAnsi="Arial"/>
                <w:sz w:val="15"/>
                <w:szCs w:val="15"/>
                <w:b w:val="1"/>
                <w:bCs w:val="1"/>
                <w:color w:val="auto"/>
              </w:rPr>
              <w:t>Classification</w:t>
            </w:r>
          </w:p>
        </w:tc>
        <w:tc>
          <w:tcPr>
            <w:tcW w:w="22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2022</w:t>
            </w:r>
          </w:p>
        </w:tc>
        <w:tc>
          <w:tcPr>
            <w:tcW w:w="180" w:type="dxa"/>
            <w:vAlign w:val="bottom"/>
          </w:tcPr>
          <w:p>
            <w:pPr>
              <w:spacing w:after="0"/>
              <w:rPr>
                <w:sz w:val="16"/>
                <w:szCs w:val="16"/>
                <w:color w:val="auto"/>
              </w:rPr>
            </w:pPr>
          </w:p>
        </w:tc>
        <w:tc>
          <w:tcPr>
            <w:tcW w:w="1540" w:type="dxa"/>
            <w:vAlign w:val="bottom"/>
          </w:tcPr>
          <w:p>
            <w:pPr>
              <w:jc w:val="right"/>
              <w:ind w:right="164"/>
              <w:spacing w:after="0"/>
              <w:rPr>
                <w:sz w:val="20"/>
                <w:szCs w:val="20"/>
                <w:color w:val="auto"/>
              </w:rPr>
            </w:pPr>
            <w:r>
              <w:rPr>
                <w:rFonts w:ascii="Arial" w:cs="Arial" w:eastAsia="Arial" w:hAnsi="Arial"/>
                <w:sz w:val="15"/>
                <w:szCs w:val="15"/>
                <w:b w:val="1"/>
                <w:bCs w:val="1"/>
                <w:color w:val="auto"/>
                <w:w w:val="94"/>
              </w:rPr>
              <w:t>December 31, 2021</w:t>
            </w:r>
          </w:p>
        </w:tc>
      </w:tr>
      <w:tr>
        <w:trPr>
          <w:trHeight w:val="198"/>
        </w:trPr>
        <w:tc>
          <w:tcPr>
            <w:tcW w:w="5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Lease Assets</w:t>
            </w:r>
          </w:p>
        </w:tc>
        <w:tc>
          <w:tcPr>
            <w:tcW w:w="10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198"/>
        </w:trPr>
        <w:tc>
          <w:tcPr>
            <w:tcW w:w="5400" w:type="dxa"/>
            <w:vAlign w:val="bottom"/>
          </w:tcPr>
          <w:p>
            <w:pPr>
              <w:ind w:left="20"/>
              <w:spacing w:after="0"/>
              <w:rPr>
                <w:sz w:val="20"/>
                <w:szCs w:val="20"/>
                <w:color w:val="auto"/>
              </w:rPr>
            </w:pPr>
            <w:r>
              <w:rPr>
                <w:rFonts w:ascii="Arial" w:cs="Arial" w:eastAsia="Arial" w:hAnsi="Arial"/>
                <w:sz w:val="15"/>
                <w:szCs w:val="15"/>
                <w:color w:val="auto"/>
              </w:rPr>
              <w:t>ROU asset obtained in exchange for new finance lease liabilities</w:t>
            </w:r>
          </w:p>
        </w:tc>
        <w:tc>
          <w:tcPr>
            <w:tcW w:w="100" w:type="dxa"/>
            <w:vAlign w:val="bottom"/>
          </w:tcPr>
          <w:p>
            <w:pPr>
              <w:spacing w:after="0"/>
              <w:rPr>
                <w:sz w:val="17"/>
                <w:szCs w:val="17"/>
                <w:color w:val="auto"/>
              </w:rPr>
            </w:pPr>
          </w:p>
        </w:tc>
        <w:tc>
          <w:tcPr>
            <w:tcW w:w="2180" w:type="dxa"/>
            <w:vAlign w:val="bottom"/>
            <w:gridSpan w:val="2"/>
          </w:tcPr>
          <w:p>
            <w:pPr>
              <w:ind w:left="20"/>
              <w:spacing w:after="0"/>
              <w:rPr>
                <w:sz w:val="20"/>
                <w:szCs w:val="20"/>
                <w:color w:val="auto"/>
              </w:rPr>
            </w:pPr>
            <w:r>
              <w:rPr>
                <w:rFonts w:ascii="Arial" w:cs="Arial" w:eastAsia="Arial" w:hAnsi="Arial"/>
                <w:sz w:val="15"/>
                <w:szCs w:val="15"/>
                <w:color w:val="auto"/>
              </w:rPr>
              <w:t>Investment property, net</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4.5</w:t>
            </w:r>
          </w:p>
        </w:tc>
        <w:tc>
          <w:tcPr>
            <w:tcW w:w="1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207"/>
        </w:trPr>
        <w:tc>
          <w:tcPr>
            <w:tcW w:w="5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ROU asset obtained in exchange for new operating lease liabilities</w:t>
            </w:r>
          </w:p>
        </w:tc>
        <w:tc>
          <w:tcPr>
            <w:tcW w:w="10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assets, net</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138.2</w:t>
            </w:r>
          </w:p>
        </w:tc>
      </w:tr>
      <w:tr>
        <w:trPr>
          <w:trHeight w:val="198"/>
        </w:trPr>
        <w:tc>
          <w:tcPr>
            <w:tcW w:w="5400" w:type="dxa"/>
            <w:vAlign w:val="bottom"/>
          </w:tcPr>
          <w:p>
            <w:pPr>
              <w:ind w:left="20"/>
              <w:spacing w:after="0"/>
              <w:rPr>
                <w:sz w:val="20"/>
                <w:szCs w:val="20"/>
                <w:color w:val="auto"/>
              </w:rPr>
            </w:pPr>
            <w:r>
              <w:rPr>
                <w:rFonts w:ascii="Arial" w:cs="Arial" w:eastAsia="Arial" w:hAnsi="Arial"/>
                <w:sz w:val="15"/>
                <w:szCs w:val="15"/>
                <w:color w:val="auto"/>
              </w:rPr>
              <w:t>ROU asset obtained relative to below market operating lease</w:t>
            </w:r>
          </w:p>
        </w:tc>
        <w:tc>
          <w:tcPr>
            <w:tcW w:w="100" w:type="dxa"/>
            <w:vAlign w:val="bottom"/>
          </w:tcPr>
          <w:p>
            <w:pPr>
              <w:spacing w:after="0"/>
              <w:rPr>
                <w:sz w:val="17"/>
                <w:szCs w:val="17"/>
                <w:color w:val="auto"/>
              </w:rPr>
            </w:pPr>
          </w:p>
        </w:tc>
        <w:tc>
          <w:tcPr>
            <w:tcW w:w="2180" w:type="dxa"/>
            <w:vAlign w:val="bottom"/>
            <w:gridSpan w:val="2"/>
          </w:tcPr>
          <w:p>
            <w:pPr>
              <w:ind w:left="20"/>
              <w:spacing w:after="0"/>
              <w:rPr>
                <w:sz w:val="20"/>
                <w:szCs w:val="20"/>
                <w:color w:val="auto"/>
              </w:rPr>
            </w:pPr>
            <w:r>
              <w:rPr>
                <w:rFonts w:ascii="Arial" w:cs="Arial" w:eastAsia="Arial" w:hAnsi="Arial"/>
                <w:sz w:val="15"/>
                <w:szCs w:val="15"/>
                <w:color w:val="auto"/>
              </w:rPr>
              <w:t>Other assets, net</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92.5</w:t>
            </w:r>
          </w:p>
        </w:tc>
        <w:tc>
          <w:tcPr>
            <w:tcW w:w="1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93.1</w:t>
            </w:r>
          </w:p>
        </w:tc>
      </w:tr>
      <w:tr>
        <w:trPr>
          <w:trHeight w:val="207"/>
        </w:trPr>
        <w:tc>
          <w:tcPr>
            <w:tcW w:w="54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Lease Liabilities</w:t>
            </w: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198"/>
        </w:trPr>
        <w:tc>
          <w:tcPr>
            <w:tcW w:w="5400" w:type="dxa"/>
            <w:vAlign w:val="bottom"/>
          </w:tcPr>
          <w:p>
            <w:pPr>
              <w:ind w:left="20"/>
              <w:spacing w:after="0"/>
              <w:rPr>
                <w:sz w:val="20"/>
                <w:szCs w:val="20"/>
                <w:color w:val="auto"/>
              </w:rPr>
            </w:pPr>
            <w:r>
              <w:rPr>
                <w:rFonts w:ascii="Arial" w:cs="Arial" w:eastAsia="Arial" w:hAnsi="Arial"/>
                <w:sz w:val="15"/>
                <w:szCs w:val="15"/>
                <w:color w:val="auto"/>
              </w:rPr>
              <w:t>Finance lease liabilities</w:t>
            </w:r>
          </w:p>
        </w:tc>
        <w:tc>
          <w:tcPr>
            <w:tcW w:w="100" w:type="dxa"/>
            <w:vAlign w:val="bottom"/>
          </w:tcPr>
          <w:p>
            <w:pPr>
              <w:spacing w:after="0"/>
              <w:rPr>
                <w:sz w:val="17"/>
                <w:szCs w:val="17"/>
                <w:color w:val="auto"/>
              </w:rPr>
            </w:pPr>
          </w:p>
        </w:tc>
        <w:tc>
          <w:tcPr>
            <w:tcW w:w="2180" w:type="dxa"/>
            <w:vAlign w:val="bottom"/>
            <w:gridSpan w:val="2"/>
          </w:tcPr>
          <w:p>
            <w:pPr>
              <w:ind w:left="20"/>
              <w:spacing w:after="0"/>
              <w:rPr>
                <w:sz w:val="20"/>
                <w:szCs w:val="20"/>
                <w:color w:val="auto"/>
              </w:rPr>
            </w:pPr>
            <w:r>
              <w:rPr>
                <w:rFonts w:ascii="Arial" w:cs="Arial" w:eastAsia="Arial" w:hAnsi="Arial"/>
                <w:sz w:val="15"/>
                <w:szCs w:val="15"/>
                <w:color w:val="auto"/>
              </w:rPr>
              <w:t>Other liabilities</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4.3</w:t>
            </w:r>
          </w:p>
        </w:tc>
        <w:tc>
          <w:tcPr>
            <w:tcW w:w="1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206"/>
        </w:trPr>
        <w:tc>
          <w:tcPr>
            <w:tcW w:w="5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liabilities</w:t>
            </w:r>
          </w:p>
        </w:tc>
        <w:tc>
          <w:tcPr>
            <w:tcW w:w="10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Other liabilities</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129.2</w:t>
            </w: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 expense for finance and operating leases, and short term lease cost as included in our Consolidated Statements of Operations are as follows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744"/>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200"/>
        </w:trPr>
        <w:tc>
          <w:tcPr>
            <w:tcW w:w="3980" w:type="dxa"/>
            <w:vAlign w:val="bottom"/>
            <w:tcBorders>
              <w:bottom w:val="single" w:sz="8" w:color="auto"/>
            </w:tcBorders>
          </w:tcPr>
          <w:p>
            <w:pPr>
              <w:ind w:left="1620"/>
              <w:spacing w:after="0"/>
              <w:rPr>
                <w:sz w:val="20"/>
                <w:szCs w:val="20"/>
                <w:color w:val="auto"/>
              </w:rPr>
            </w:pPr>
            <w:r>
              <w:rPr>
                <w:rFonts w:ascii="Arial" w:cs="Arial" w:eastAsia="Arial" w:hAnsi="Arial"/>
                <w:sz w:val="15"/>
                <w:szCs w:val="15"/>
                <w:b w:val="1"/>
                <w:bCs w:val="1"/>
                <w:color w:val="auto"/>
              </w:rPr>
              <w:t>Description</w:t>
            </w:r>
          </w:p>
        </w:tc>
        <w:tc>
          <w:tcPr>
            <w:tcW w:w="100" w:type="dxa"/>
            <w:vAlign w:val="bottom"/>
            <w:tcBorders>
              <w:bottom w:val="single" w:sz="8" w:color="CCEEFF"/>
            </w:tcBorders>
          </w:tcPr>
          <w:p>
            <w:pPr>
              <w:spacing w:after="0"/>
              <w:rPr>
                <w:sz w:val="17"/>
                <w:szCs w:val="17"/>
                <w:color w:val="auto"/>
              </w:rPr>
            </w:pPr>
          </w:p>
        </w:tc>
        <w:tc>
          <w:tcPr>
            <w:tcW w:w="4000" w:type="dxa"/>
            <w:vAlign w:val="bottom"/>
            <w:tcBorders>
              <w:bottom w:val="single" w:sz="8" w:color="auto"/>
            </w:tcBorders>
          </w:tcPr>
          <w:p>
            <w:pPr>
              <w:ind w:left="880"/>
              <w:spacing w:after="0"/>
              <w:rPr>
                <w:sz w:val="20"/>
                <w:szCs w:val="20"/>
                <w:color w:val="auto"/>
              </w:rPr>
            </w:pPr>
            <w:r>
              <w:rPr>
                <w:rFonts w:ascii="Arial" w:cs="Arial" w:eastAsia="Arial" w:hAnsi="Arial"/>
                <w:sz w:val="15"/>
                <w:szCs w:val="15"/>
                <w:b w:val="1"/>
                <w:bCs w:val="1"/>
                <w:color w:val="auto"/>
              </w:rPr>
              <w:t>Financial Statement Classification</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w w:val="99"/>
              </w:rPr>
              <w:t>March 31, 2022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w w:val="99"/>
              </w:rPr>
              <w:t>March 31, 2021</w:t>
            </w:r>
          </w:p>
        </w:tc>
        <w:tc>
          <w:tcPr>
            <w:tcW w:w="0" w:type="dxa"/>
            <w:vAlign w:val="bottom"/>
          </w:tcPr>
          <w:p>
            <w:pPr>
              <w:spacing w:after="0"/>
              <w:rPr>
                <w:sz w:val="1"/>
                <w:szCs w:val="1"/>
                <w:color w:val="auto"/>
              </w:rPr>
            </w:pPr>
          </w:p>
        </w:tc>
      </w:tr>
      <w:tr>
        <w:trPr>
          <w:trHeight w:val="198"/>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Finance Lease Expense</w:t>
            </w:r>
          </w:p>
        </w:tc>
        <w:tc>
          <w:tcPr>
            <w:tcW w:w="4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gridSpan w:val="2"/>
          </w:tcPr>
          <w:p>
            <w:pPr>
              <w:ind w:left="140"/>
              <w:spacing w:after="0"/>
              <w:rPr>
                <w:sz w:val="20"/>
                <w:szCs w:val="20"/>
                <w:color w:val="auto"/>
              </w:rPr>
            </w:pPr>
            <w:r>
              <w:rPr>
                <w:rFonts w:ascii="Arial" w:cs="Arial" w:eastAsia="Arial" w:hAnsi="Arial"/>
                <w:sz w:val="15"/>
                <w:szCs w:val="15"/>
                <w:color w:val="auto"/>
              </w:rPr>
              <w:t>Interest on lease liabilities</w:t>
            </w:r>
          </w:p>
        </w:tc>
        <w:tc>
          <w:tcPr>
            <w:tcW w:w="4100" w:type="dxa"/>
            <w:vAlign w:val="bottom"/>
            <w:gridSpan w:val="2"/>
          </w:tcPr>
          <w:p>
            <w:pPr>
              <w:ind w:left="20"/>
              <w:spacing w:after="0"/>
              <w:rPr>
                <w:sz w:val="20"/>
                <w:szCs w:val="20"/>
                <w:color w:val="auto"/>
              </w:rPr>
            </w:pPr>
            <w:r>
              <w:rPr>
                <w:rFonts w:ascii="Arial" w:cs="Arial" w:eastAsia="Arial" w:hAnsi="Arial"/>
                <w:sz w:val="15"/>
                <w:szCs w:val="15"/>
                <w:color w:val="auto"/>
              </w:rPr>
              <w:t>Interest expense</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3"/>
        </w:trPr>
        <w:tc>
          <w:tcPr>
            <w:tcW w:w="408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Operating lease cost</w:t>
            </w:r>
          </w:p>
        </w:tc>
        <w:tc>
          <w:tcPr>
            <w:tcW w:w="410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5"/>
                <w:szCs w:val="15"/>
                <w:color w:val="auto"/>
              </w:rPr>
              <w:t>General and administrative expense, Property operating and</w:t>
            </w:r>
          </w:p>
        </w:tc>
        <w:tc>
          <w:tcPr>
            <w:tcW w:w="16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02"/>
        </w:trPr>
        <w:tc>
          <w:tcPr>
            <w:tcW w:w="4080" w:type="dxa"/>
            <w:vAlign w:val="bottom"/>
            <w:gridSpan w:val="2"/>
            <w:vMerge w:val="continue"/>
            <w:shd w:val="clear" w:color="auto" w:fill="CCEEFF"/>
          </w:tcPr>
          <w:p>
            <w:pPr>
              <w:spacing w:after="0"/>
              <w:rPr>
                <w:sz w:val="17"/>
                <w:szCs w:val="17"/>
                <w:color w:val="auto"/>
              </w:rPr>
            </w:pP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maintenance</w:t>
            </w:r>
          </w:p>
        </w:tc>
        <w:tc>
          <w:tcPr>
            <w:tcW w:w="16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gridSpan w:val="2"/>
          </w:tcPr>
          <w:p>
            <w:pPr>
              <w:ind w:left="20"/>
              <w:spacing w:after="0"/>
              <w:rPr>
                <w:sz w:val="20"/>
                <w:szCs w:val="20"/>
                <w:color w:val="auto"/>
              </w:rPr>
            </w:pPr>
            <w:r>
              <w:rPr>
                <w:rFonts w:ascii="Arial" w:cs="Arial" w:eastAsia="Arial" w:hAnsi="Arial"/>
                <w:sz w:val="15"/>
                <w:szCs w:val="15"/>
                <w:color w:val="auto"/>
              </w:rPr>
              <w:t>Variable lease cost</w:t>
            </w:r>
          </w:p>
        </w:tc>
        <w:tc>
          <w:tcPr>
            <w:tcW w:w="4100" w:type="dxa"/>
            <w:vAlign w:val="bottom"/>
            <w:gridSpan w:val="2"/>
          </w:tcPr>
          <w:p>
            <w:pPr>
              <w:ind w:left="20"/>
              <w:spacing w:after="0"/>
              <w:rPr>
                <w:sz w:val="20"/>
                <w:szCs w:val="20"/>
                <w:color w:val="auto"/>
              </w:rPr>
            </w:pPr>
            <w:r>
              <w:rPr>
                <w:rFonts w:ascii="Arial" w:cs="Arial" w:eastAsia="Arial" w:hAnsi="Arial"/>
                <w:sz w:val="15"/>
                <w:szCs w:val="15"/>
                <w:color w:val="auto"/>
              </w:rPr>
              <w:t>Property operating and maintenance</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03"/>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Short term lease cost</w:t>
            </w: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Property operating and maintenance</w:t>
            </w: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200"/>
        </w:trPr>
        <w:tc>
          <w:tcPr>
            <w:tcW w:w="408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 Lease Expense</w:t>
            </w:r>
          </w:p>
        </w:tc>
        <w:tc>
          <w:tcPr>
            <w:tcW w:w="4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Lease term, discount rates and additional information for finance and operating leases are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9400" w:type="dxa"/>
            <w:vAlign w:val="bottom"/>
          </w:tcPr>
          <w:p>
            <w:pPr>
              <w:spacing w:after="0"/>
              <w:rPr>
                <w:sz w:val="17"/>
                <w:szCs w:val="17"/>
                <w:color w:val="auto"/>
              </w:rPr>
            </w:pPr>
          </w:p>
        </w:tc>
        <w:tc>
          <w:tcPr>
            <w:tcW w:w="1840" w:type="dxa"/>
            <w:vAlign w:val="bottom"/>
            <w:tcBorders>
              <w:bottom w:val="single" w:sz="8" w:color="auto"/>
            </w:tcBorders>
          </w:tcPr>
          <w:p>
            <w:pPr>
              <w:jc w:val="right"/>
              <w:ind w:right="684"/>
              <w:spacing w:after="0"/>
              <w:rPr>
                <w:sz w:val="20"/>
                <w:szCs w:val="20"/>
                <w:color w:val="auto"/>
              </w:rPr>
            </w:pPr>
            <w:r>
              <w:rPr>
                <w:rFonts w:ascii="Arial" w:cs="Arial" w:eastAsia="Arial" w:hAnsi="Arial"/>
                <w:sz w:val="15"/>
                <w:szCs w:val="15"/>
                <w:b w:val="1"/>
                <w:bCs w:val="1"/>
                <w:color w:val="auto"/>
              </w:rPr>
              <w:t>As of</w:t>
            </w:r>
          </w:p>
        </w:tc>
      </w:tr>
      <w:tr>
        <w:trPr>
          <w:trHeight w:val="20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Lease Term and Discount Rate</w:t>
            </w:r>
          </w:p>
        </w:tc>
        <w:tc>
          <w:tcPr>
            <w:tcW w:w="184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March 31, 2022</w:t>
            </w:r>
          </w:p>
        </w:tc>
      </w:tr>
      <w:tr>
        <w:trPr>
          <w:trHeight w:val="185"/>
        </w:trPr>
        <w:tc>
          <w:tcPr>
            <w:tcW w:w="9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Weighted-average Remaining Lease Terms (years)</w:t>
            </w:r>
          </w:p>
        </w:tc>
        <w:tc>
          <w:tcPr>
            <w:tcW w:w="1840" w:type="dxa"/>
            <w:vAlign w:val="bottom"/>
            <w:shd w:val="clear" w:color="auto" w:fill="CCEEFF"/>
          </w:tcPr>
          <w:p>
            <w:pPr>
              <w:spacing w:after="0"/>
              <w:rPr>
                <w:sz w:val="16"/>
                <w:szCs w:val="16"/>
                <w:color w:val="auto"/>
              </w:rPr>
            </w:pPr>
          </w:p>
        </w:tc>
      </w:tr>
      <w:tr>
        <w:trPr>
          <w:trHeight w:val="198"/>
        </w:trPr>
        <w:tc>
          <w:tcPr>
            <w:tcW w:w="9400" w:type="dxa"/>
            <w:vAlign w:val="bottom"/>
          </w:tcPr>
          <w:p>
            <w:pPr>
              <w:ind w:left="140"/>
              <w:spacing w:after="0"/>
              <w:rPr>
                <w:sz w:val="20"/>
                <w:szCs w:val="20"/>
                <w:color w:val="auto"/>
              </w:rPr>
            </w:pPr>
            <w:r>
              <w:rPr>
                <w:rFonts w:ascii="Arial" w:cs="Arial" w:eastAsia="Arial" w:hAnsi="Arial"/>
                <w:sz w:val="15"/>
                <w:szCs w:val="15"/>
                <w:color w:val="auto"/>
              </w:rPr>
              <w:t>Finance lease</w:t>
            </w:r>
          </w:p>
        </w:tc>
        <w:tc>
          <w:tcPr>
            <w:tcW w:w="1840" w:type="dxa"/>
            <w:vAlign w:val="bottom"/>
          </w:tcPr>
          <w:p>
            <w:pPr>
              <w:jc w:val="right"/>
              <w:spacing w:after="0"/>
              <w:rPr>
                <w:sz w:val="20"/>
                <w:szCs w:val="20"/>
                <w:color w:val="auto"/>
              </w:rPr>
            </w:pPr>
            <w:r>
              <w:rPr>
                <w:rFonts w:ascii="Arial" w:cs="Arial" w:eastAsia="Arial" w:hAnsi="Arial"/>
                <w:sz w:val="15"/>
                <w:szCs w:val="15"/>
                <w:color w:val="auto"/>
              </w:rPr>
              <w:t>2.26</w:t>
            </w:r>
          </w:p>
        </w:tc>
      </w:tr>
      <w:tr>
        <w:trPr>
          <w:trHeight w:val="206"/>
        </w:trPr>
        <w:tc>
          <w:tcPr>
            <w:tcW w:w="9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Operating lease</w:t>
            </w: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34.27</w:t>
            </w:r>
          </w:p>
        </w:tc>
      </w:tr>
      <w:tr>
        <w:trPr>
          <w:trHeight w:val="198"/>
        </w:trPr>
        <w:tc>
          <w:tcPr>
            <w:tcW w:w="9400" w:type="dxa"/>
            <w:vAlign w:val="bottom"/>
          </w:tcPr>
          <w:p>
            <w:pPr>
              <w:ind w:left="20"/>
              <w:spacing w:after="0"/>
              <w:rPr>
                <w:sz w:val="20"/>
                <w:szCs w:val="20"/>
                <w:color w:val="auto"/>
              </w:rPr>
            </w:pPr>
            <w:r>
              <w:rPr>
                <w:rFonts w:ascii="Arial" w:cs="Arial" w:eastAsia="Arial" w:hAnsi="Arial"/>
                <w:sz w:val="15"/>
                <w:szCs w:val="15"/>
                <w:color w:val="auto"/>
              </w:rPr>
              <w:t>Weighted-average Discount Rate</w:t>
            </w:r>
          </w:p>
        </w:tc>
        <w:tc>
          <w:tcPr>
            <w:tcW w:w="1840" w:type="dxa"/>
            <w:vAlign w:val="bottom"/>
          </w:tcPr>
          <w:p>
            <w:pPr>
              <w:spacing w:after="0"/>
              <w:rPr>
                <w:sz w:val="17"/>
                <w:szCs w:val="17"/>
                <w:color w:val="auto"/>
              </w:rPr>
            </w:pPr>
          </w:p>
        </w:tc>
      </w:tr>
      <w:tr>
        <w:trPr>
          <w:trHeight w:val="207"/>
        </w:trPr>
        <w:tc>
          <w:tcPr>
            <w:tcW w:w="9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Finance lease</w:t>
            </w: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2.47 %</w:t>
            </w:r>
          </w:p>
        </w:tc>
      </w:tr>
      <w:tr>
        <w:trPr>
          <w:trHeight w:val="195"/>
        </w:trPr>
        <w:tc>
          <w:tcPr>
            <w:tcW w:w="9400" w:type="dxa"/>
            <w:vAlign w:val="bottom"/>
          </w:tcPr>
          <w:p>
            <w:pPr>
              <w:ind w:left="140"/>
              <w:spacing w:after="0"/>
              <w:rPr>
                <w:sz w:val="20"/>
                <w:szCs w:val="20"/>
                <w:color w:val="auto"/>
              </w:rPr>
            </w:pPr>
            <w:r>
              <w:rPr>
                <w:rFonts w:ascii="Arial" w:cs="Arial" w:eastAsia="Arial" w:hAnsi="Arial"/>
                <w:sz w:val="15"/>
                <w:szCs w:val="15"/>
                <w:color w:val="auto"/>
              </w:rPr>
              <w:t>Operating lease</w:t>
            </w:r>
          </w:p>
        </w:tc>
        <w:tc>
          <w:tcPr>
            <w:tcW w:w="1840" w:type="dxa"/>
            <w:vAlign w:val="bottom"/>
          </w:tcPr>
          <w:p>
            <w:pPr>
              <w:jc w:val="right"/>
              <w:spacing w:after="0"/>
              <w:rPr>
                <w:sz w:val="20"/>
                <w:szCs w:val="20"/>
                <w:color w:val="auto"/>
              </w:rPr>
            </w:pPr>
            <w:r>
              <w:rPr>
                <w:rFonts w:ascii="Arial" w:cs="Arial" w:eastAsia="Arial" w:hAnsi="Arial"/>
                <w:sz w:val="15"/>
                <w:szCs w:val="15"/>
                <w:color w:val="auto"/>
              </w:rPr>
              <w:t>3.85 %</w:t>
            </w:r>
          </w:p>
        </w:tc>
      </w:tr>
    </w:tbl>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tcPr>
          <w:p>
            <w:pPr>
              <w:jc w:val="right"/>
              <w:ind w:right="1024"/>
              <w:spacing w:after="0"/>
              <w:rPr>
                <w:sz w:val="20"/>
                <w:szCs w:val="20"/>
                <w:color w:val="auto"/>
              </w:rPr>
            </w:pPr>
            <w:r>
              <w:rPr>
                <w:rFonts w:ascii="Arial" w:cs="Arial" w:eastAsia="Arial" w:hAnsi="Arial"/>
                <w:sz w:val="15"/>
                <w:szCs w:val="15"/>
                <w:b w:val="1"/>
                <w:bCs w:val="1"/>
                <w:color w:val="auto"/>
              </w:rPr>
              <w:t>Three Months Ended</w:t>
            </w:r>
          </w:p>
        </w:tc>
      </w:tr>
      <w:tr>
        <w:trPr>
          <w:trHeight w:val="200"/>
        </w:trPr>
        <w:tc>
          <w:tcPr>
            <w:tcW w:w="7640" w:type="dxa"/>
            <w:vAlign w:val="bottom"/>
          </w:tcPr>
          <w:p>
            <w:pPr>
              <w:ind w:left="20"/>
              <w:spacing w:after="0"/>
              <w:rPr>
                <w:sz w:val="20"/>
                <w:szCs w:val="20"/>
                <w:color w:val="auto"/>
              </w:rPr>
            </w:pPr>
            <w:r>
              <w:rPr>
                <w:rFonts w:ascii="Arial" w:cs="Arial" w:eastAsia="Arial" w:hAnsi="Arial"/>
                <w:sz w:val="15"/>
                <w:szCs w:val="15"/>
                <w:b w:val="1"/>
                <w:bCs w:val="1"/>
                <w:color w:val="auto"/>
              </w:rPr>
              <w:t>Other Information (in millions)</w:t>
            </w:r>
          </w:p>
        </w:tc>
        <w:tc>
          <w:tcPr>
            <w:tcW w:w="240" w:type="dxa"/>
            <w:vAlign w:val="bottom"/>
          </w:tcPr>
          <w:p>
            <w:pPr>
              <w:spacing w:after="0"/>
              <w:rPr>
                <w:sz w:val="17"/>
                <w:szCs w:val="17"/>
                <w:color w:val="auto"/>
              </w:rPr>
            </w:pPr>
          </w:p>
        </w:tc>
        <w:tc>
          <w:tcPr>
            <w:tcW w:w="162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 2022</w:t>
            </w:r>
          </w:p>
        </w:tc>
        <w:tc>
          <w:tcPr>
            <w:tcW w:w="220" w:type="dxa"/>
            <w:vAlign w:val="bottom"/>
          </w:tcPr>
          <w:p>
            <w:pPr>
              <w:spacing w:after="0"/>
              <w:rPr>
                <w:sz w:val="17"/>
                <w:szCs w:val="17"/>
                <w:color w:val="auto"/>
              </w:rPr>
            </w:pPr>
          </w:p>
        </w:tc>
        <w:tc>
          <w:tcPr>
            <w:tcW w:w="1520" w:type="dxa"/>
            <w:vAlign w:val="bottom"/>
          </w:tcPr>
          <w:p>
            <w:pPr>
              <w:jc w:val="right"/>
              <w:ind w:right="284"/>
              <w:spacing w:after="0"/>
              <w:rPr>
                <w:sz w:val="20"/>
                <w:szCs w:val="20"/>
                <w:color w:val="auto"/>
              </w:rPr>
            </w:pPr>
            <w:r>
              <w:rPr>
                <w:rFonts w:ascii="Arial" w:cs="Arial" w:eastAsia="Arial" w:hAnsi="Arial"/>
                <w:sz w:val="15"/>
                <w:szCs w:val="15"/>
                <w:b w:val="1"/>
                <w:bCs w:val="1"/>
                <w:color w:val="auto"/>
              </w:rPr>
              <w:t>March 31, 2021</w:t>
            </w:r>
          </w:p>
        </w:tc>
      </w:tr>
      <w:tr>
        <w:trPr>
          <w:trHeight w:val="185"/>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Paid for Amounts Included in the Measurement of Lease Liabilities</w:t>
            </w:r>
          </w:p>
        </w:tc>
        <w:tc>
          <w:tcPr>
            <w:tcW w:w="24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r>
      <w:tr>
        <w:trPr>
          <w:trHeight w:val="198"/>
        </w:trPr>
        <w:tc>
          <w:tcPr>
            <w:tcW w:w="7640" w:type="dxa"/>
            <w:vAlign w:val="bottom"/>
          </w:tcPr>
          <w:p>
            <w:pPr>
              <w:ind w:left="140"/>
              <w:spacing w:after="0"/>
              <w:rPr>
                <w:sz w:val="20"/>
                <w:szCs w:val="20"/>
                <w:color w:val="auto"/>
              </w:rPr>
            </w:pPr>
            <w:r>
              <w:rPr>
                <w:rFonts w:ascii="Arial" w:cs="Arial" w:eastAsia="Arial" w:hAnsi="Arial"/>
                <w:sz w:val="15"/>
                <w:szCs w:val="15"/>
                <w:color w:val="auto"/>
              </w:rPr>
              <w:t>Operating cash flow from operating leases</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ind w:right="4"/>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03"/>
        </w:trPr>
        <w:tc>
          <w:tcPr>
            <w:tcW w:w="76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Financing cash flow from finance leases</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0"/>
        </w:trPr>
        <w:tc>
          <w:tcPr>
            <w:tcW w:w="7640" w:type="dxa"/>
            <w:vAlign w:val="bottom"/>
          </w:tcPr>
          <w:p>
            <w:pPr>
              <w:ind w:left="140"/>
              <w:spacing w:after="0"/>
              <w:rPr>
                <w:sz w:val="20"/>
                <w:szCs w:val="20"/>
                <w:color w:val="auto"/>
              </w:rPr>
            </w:pPr>
            <w:r>
              <w:rPr>
                <w:rFonts w:ascii="Arial" w:cs="Arial" w:eastAsia="Arial" w:hAnsi="Arial"/>
                <w:sz w:val="15"/>
                <w:szCs w:val="15"/>
                <w:b w:val="1"/>
                <w:bCs w:val="1"/>
                <w:color w:val="auto"/>
              </w:rPr>
              <w:t>Total Cash Paid On Lease Liabilities</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are not the lessor for any finance leases at our MH, RV or marina properties as of March 31, 2022.</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Almost all of our operating leases at our MH and RV properties where we are the lessor are either month-to-month or for a time period not to exceed one year. As of March 31, 2022, future minimum lease payments would not exceed 12 months.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lease payments under non-cancellable leases at our RV resorts and marinas as of the three months ended March 31, 2022 where we are the lessor include: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4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Maturity of Lease Payments (in millions)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96"/>
              </w:rPr>
              <w:t>Operating Leases</w:t>
            </w:r>
          </w:p>
        </w:tc>
      </w:tr>
      <w:tr>
        <w:trPr>
          <w:trHeight w:val="200"/>
        </w:trPr>
        <w:tc>
          <w:tcPr>
            <w:tcW w:w="95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2022 (excluding the three months ended March 31, 2022)</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w:t>
            </w:r>
          </w:p>
        </w:tc>
      </w:tr>
      <w:tr>
        <w:trPr>
          <w:trHeight w:val="198"/>
        </w:trPr>
        <w:tc>
          <w:tcPr>
            <w:tcW w:w="9400" w:type="dxa"/>
            <w:vAlign w:val="bottom"/>
          </w:tcPr>
          <w:p>
            <w:pPr>
              <w:ind w:left="20"/>
              <w:spacing w:after="0"/>
              <w:rPr>
                <w:sz w:val="20"/>
                <w:szCs w:val="20"/>
                <w:color w:val="auto"/>
              </w:rPr>
            </w:pPr>
            <w:r>
              <w:rPr>
                <w:rFonts w:ascii="Arial" w:cs="Arial" w:eastAsia="Arial" w:hAnsi="Arial"/>
                <w:sz w:val="15"/>
                <w:szCs w:val="15"/>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22.5</w:t>
            </w:r>
          </w:p>
        </w:tc>
      </w:tr>
      <w:tr>
        <w:trPr>
          <w:trHeight w:val="207"/>
        </w:trPr>
        <w:tc>
          <w:tcPr>
            <w:tcW w:w="9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w:t>
            </w:r>
          </w:p>
        </w:tc>
      </w:tr>
      <w:tr>
        <w:trPr>
          <w:trHeight w:val="198"/>
        </w:trPr>
        <w:tc>
          <w:tcPr>
            <w:tcW w:w="9400" w:type="dxa"/>
            <w:vAlign w:val="bottom"/>
          </w:tcPr>
          <w:p>
            <w:pPr>
              <w:ind w:left="20"/>
              <w:spacing w:after="0"/>
              <w:rPr>
                <w:sz w:val="20"/>
                <w:szCs w:val="20"/>
                <w:color w:val="auto"/>
              </w:rPr>
            </w:pPr>
            <w:r>
              <w:rPr>
                <w:rFonts w:ascii="Arial" w:cs="Arial" w:eastAsia="Arial" w:hAnsi="Arial"/>
                <w:sz w:val="15"/>
                <w:szCs w:val="15"/>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207"/>
        </w:trPr>
        <w:tc>
          <w:tcPr>
            <w:tcW w:w="9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r>
      <w:tr>
        <w:trPr>
          <w:trHeight w:val="198"/>
        </w:trPr>
        <w:tc>
          <w:tcPr>
            <w:tcW w:w="95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Thereafter</w:t>
            </w: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w:t>
            </w:r>
          </w:p>
        </w:tc>
      </w:tr>
      <w:tr>
        <w:trPr>
          <w:trHeight w:val="225"/>
        </w:trPr>
        <w:tc>
          <w:tcPr>
            <w:tcW w:w="9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Total Undiscounted Cash Flows</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74.9</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lease income for our operating leases, as included in our Consolidated Statement of Operations are as follows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884"/>
              <w:spacing w:after="0"/>
              <w:rPr>
                <w:sz w:val="20"/>
                <w:szCs w:val="20"/>
                <w:color w:val="auto"/>
              </w:rPr>
            </w:pPr>
            <w:r>
              <w:rPr>
                <w:rFonts w:ascii="Arial" w:cs="Arial" w:eastAsia="Arial" w:hAnsi="Arial"/>
                <w:sz w:val="15"/>
                <w:szCs w:val="15"/>
                <w:b w:val="1"/>
                <w:bCs w:val="1"/>
                <w:color w:val="auto"/>
              </w:rPr>
              <w:t>Three Months Ended</w:t>
            </w:r>
          </w:p>
        </w:tc>
      </w:tr>
      <w:tr>
        <w:trPr>
          <w:trHeight w:val="200"/>
        </w:trPr>
        <w:tc>
          <w:tcPr>
            <w:tcW w:w="2340" w:type="dxa"/>
            <w:vAlign w:val="bottom"/>
            <w:gridSpan w:val="2"/>
          </w:tcPr>
          <w:p>
            <w:pPr>
              <w:ind w:left="740"/>
              <w:spacing w:after="0"/>
              <w:rPr>
                <w:sz w:val="20"/>
                <w:szCs w:val="20"/>
                <w:color w:val="auto"/>
              </w:rPr>
            </w:pPr>
            <w:r>
              <w:rPr>
                <w:rFonts w:ascii="Arial" w:cs="Arial" w:eastAsia="Arial" w:hAnsi="Arial"/>
                <w:sz w:val="15"/>
                <w:szCs w:val="15"/>
                <w:b w:val="1"/>
                <w:bCs w:val="1"/>
                <w:color w:val="auto"/>
              </w:rPr>
              <w:t>Description</w:t>
            </w:r>
          </w:p>
        </w:tc>
        <w:tc>
          <w:tcPr>
            <w:tcW w:w="5600" w:type="dxa"/>
            <w:vAlign w:val="bottom"/>
            <w:gridSpan w:val="2"/>
          </w:tcPr>
          <w:p>
            <w:pPr>
              <w:ind w:left="1640"/>
              <w:spacing w:after="0"/>
              <w:rPr>
                <w:sz w:val="20"/>
                <w:szCs w:val="20"/>
                <w:color w:val="auto"/>
              </w:rPr>
            </w:pPr>
            <w:r>
              <w:rPr>
                <w:rFonts w:ascii="Arial" w:cs="Arial" w:eastAsia="Arial" w:hAnsi="Arial"/>
                <w:sz w:val="15"/>
                <w:szCs w:val="15"/>
                <w:b w:val="1"/>
                <w:bCs w:val="1"/>
                <w:color w:val="auto"/>
              </w:rPr>
              <w:t>Financial Statement Classification</w:t>
            </w:r>
          </w:p>
        </w:tc>
        <w:tc>
          <w:tcPr>
            <w:tcW w:w="180" w:type="dxa"/>
            <w:vAlign w:val="bottom"/>
          </w:tcPr>
          <w:p>
            <w:pPr>
              <w:spacing w:after="0"/>
              <w:rPr>
                <w:sz w:val="17"/>
                <w:szCs w:val="17"/>
                <w:color w:val="auto"/>
              </w:rPr>
            </w:pPr>
          </w:p>
        </w:tc>
        <w:tc>
          <w:tcPr>
            <w:tcW w:w="152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2022</w:t>
            </w:r>
          </w:p>
        </w:tc>
        <w:tc>
          <w:tcPr>
            <w:tcW w:w="180" w:type="dxa"/>
            <w:vAlign w:val="bottom"/>
          </w:tcPr>
          <w:p>
            <w:pPr>
              <w:spacing w:after="0"/>
              <w:rPr>
                <w:sz w:val="17"/>
                <w:szCs w:val="17"/>
                <w:color w:val="auto"/>
              </w:rPr>
            </w:pPr>
          </w:p>
        </w:tc>
        <w:tc>
          <w:tcPr>
            <w:tcW w:w="1420" w:type="dxa"/>
            <w:vAlign w:val="bottom"/>
          </w:tcPr>
          <w:p>
            <w:pPr>
              <w:jc w:val="right"/>
              <w:ind w:right="224"/>
              <w:spacing w:after="0"/>
              <w:rPr>
                <w:sz w:val="20"/>
                <w:szCs w:val="20"/>
                <w:color w:val="auto"/>
              </w:rPr>
            </w:pPr>
            <w:r>
              <w:rPr>
                <w:rFonts w:ascii="Arial" w:cs="Arial" w:eastAsia="Arial" w:hAnsi="Arial"/>
                <w:sz w:val="15"/>
                <w:szCs w:val="15"/>
                <w:b w:val="1"/>
                <w:bCs w:val="1"/>
                <w:color w:val="auto"/>
              </w:rPr>
              <w:t>March 31, 2021</w:t>
            </w:r>
          </w:p>
        </w:tc>
      </w:tr>
      <w:tr>
        <w:trPr>
          <w:trHeight w:val="198"/>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Operating Leases</w:t>
            </w:r>
          </w:p>
        </w:tc>
        <w:tc>
          <w:tcPr>
            <w:tcW w:w="100" w:type="dxa"/>
            <w:vAlign w:val="bottom"/>
            <w:tcBorders>
              <w:top w:val="single" w:sz="8" w:color="CCEEFF"/>
            </w:tcBorders>
            <w:shd w:val="clear" w:color="auto" w:fill="CCEEFF"/>
          </w:tcPr>
          <w:p>
            <w:pPr>
              <w:spacing w:after="0"/>
              <w:rPr>
                <w:sz w:val="17"/>
                <w:szCs w:val="17"/>
                <w:color w:val="auto"/>
              </w:rPr>
            </w:pPr>
          </w:p>
        </w:tc>
        <w:tc>
          <w:tcPr>
            <w:tcW w:w="5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198"/>
        </w:trPr>
        <w:tc>
          <w:tcPr>
            <w:tcW w:w="2340" w:type="dxa"/>
            <w:vAlign w:val="bottom"/>
            <w:gridSpan w:val="2"/>
          </w:tcPr>
          <w:p>
            <w:pPr>
              <w:ind w:left="20"/>
              <w:spacing w:after="0"/>
              <w:rPr>
                <w:sz w:val="20"/>
                <w:szCs w:val="20"/>
                <w:color w:val="auto"/>
              </w:rPr>
            </w:pPr>
            <w:r>
              <w:rPr>
                <w:rFonts w:ascii="Arial" w:cs="Arial" w:eastAsia="Arial" w:hAnsi="Arial"/>
                <w:sz w:val="15"/>
                <w:szCs w:val="15"/>
                <w:color w:val="auto"/>
              </w:rPr>
              <w:t>Fixed lease income</w:t>
            </w:r>
          </w:p>
        </w:tc>
        <w:tc>
          <w:tcPr>
            <w:tcW w:w="5600" w:type="dxa"/>
            <w:vAlign w:val="bottom"/>
            <w:gridSpan w:val="2"/>
          </w:tcPr>
          <w:p>
            <w:pPr>
              <w:ind w:left="20"/>
              <w:spacing w:after="0"/>
              <w:rPr>
                <w:sz w:val="20"/>
                <w:szCs w:val="20"/>
                <w:color w:val="auto"/>
              </w:rPr>
            </w:pPr>
            <w:r>
              <w:rPr>
                <w:rFonts w:ascii="Arial" w:cs="Arial" w:eastAsia="Arial" w:hAnsi="Arial"/>
                <w:sz w:val="15"/>
                <w:szCs w:val="15"/>
                <w:color w:val="auto"/>
              </w:rPr>
              <w:t>Income from real property; Brokerage commissions and other revenue, net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7.1</w:t>
            </w:r>
          </w:p>
        </w:tc>
        <w:tc>
          <w:tcPr>
            <w:tcW w:w="1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3.7</w:t>
            </w:r>
          </w:p>
        </w:tc>
      </w:tr>
      <w:tr>
        <w:trPr>
          <w:trHeight w:val="207"/>
        </w:trPr>
        <w:tc>
          <w:tcPr>
            <w:tcW w:w="234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5"/>
                <w:szCs w:val="15"/>
                <w:color w:val="auto"/>
              </w:rPr>
              <w:t>Variable lease income</w:t>
            </w:r>
            <w:r>
              <w:rPr>
                <w:rFonts w:ascii="Arial" w:cs="Arial" w:eastAsia="Arial" w:hAnsi="Arial"/>
                <w:sz w:val="19"/>
                <w:szCs w:val="19"/>
                <w:color w:val="auto"/>
                <w:vertAlign w:val="superscript"/>
              </w:rPr>
              <w:t>(1)</w:t>
            </w:r>
          </w:p>
        </w:tc>
        <w:tc>
          <w:tcPr>
            <w:tcW w:w="56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Income from real property; Brokerage commissions and other revenue, net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r>
    </w:tbl>
    <w:p>
      <w:pPr>
        <w:spacing w:after="0" w:line="51" w:lineRule="exact"/>
        <w:rPr>
          <w:sz w:val="20"/>
          <w:szCs w:val="20"/>
          <w:color w:val="auto"/>
        </w:rPr>
      </w:pPr>
    </w:p>
    <w:p>
      <w:pPr>
        <w:ind w:left="160" w:hanging="152"/>
        <w:spacing w:after="0"/>
        <w:tabs>
          <w:tab w:leader="none" w:pos="16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Consists of rent primarily based on a percentage of acquisition costs and net operating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Adopted</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2020, the FASB issued ASU 2020-06, "</w:t>
      </w:r>
      <w:r>
        <w:rPr>
          <w:rFonts w:ascii="Arial" w:cs="Arial" w:eastAsia="Arial" w:hAnsi="Arial"/>
          <w:sz w:val="17"/>
          <w:szCs w:val="17"/>
          <w:i w:val="1"/>
          <w:iCs w:val="1"/>
          <w:color w:val="auto"/>
        </w:rPr>
        <w:t>Debt</w:t>
      </w:r>
      <w:r>
        <w:rPr>
          <w:rFonts w:ascii="Arial" w:cs="Arial" w:eastAsia="Arial" w:hAnsi="Arial"/>
          <w:sz w:val="17"/>
          <w:szCs w:val="17"/>
          <w:color w:val="auto"/>
        </w:rPr>
        <w:t>—</w:t>
      </w:r>
      <w:r>
        <w:rPr>
          <w:rFonts w:ascii="Arial" w:cs="Arial" w:eastAsia="Arial" w:hAnsi="Arial"/>
          <w:sz w:val="17"/>
          <w:szCs w:val="17"/>
          <w:i w:val="1"/>
          <w:iCs w:val="1"/>
          <w:color w:val="auto"/>
        </w:rPr>
        <w:t>Debt with Conversion and Other Options (Subtopic 470-20) 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in Entity’s Own Equity (Subtopic 815-40): Accounting for Convertible Instruments and Contracts in an Entity's Own Equity</w:t>
      </w:r>
      <w:r>
        <w:rPr>
          <w:rFonts w:ascii="Arial" w:cs="Arial" w:eastAsia="Arial" w:hAnsi="Arial"/>
          <w:sz w:val="17"/>
          <w:szCs w:val="17"/>
          <w:color w:val="auto"/>
        </w:rPr>
        <w:t>." This update</w:t>
      </w:r>
      <w:r>
        <w:rPr>
          <w:rFonts w:ascii="Arial" w:cs="Arial" w:eastAsia="Arial" w:hAnsi="Arial"/>
          <w:sz w:val="17"/>
          <w:szCs w:val="17"/>
          <w:i w:val="1"/>
          <w:iCs w:val="1"/>
          <w:color w:val="auto"/>
        </w:rPr>
        <w:t xml:space="preserve"> </w:t>
      </w:r>
      <w:r>
        <w:rPr>
          <w:rFonts w:ascii="Arial" w:cs="Arial" w:eastAsia="Arial" w:hAnsi="Arial"/>
          <w:sz w:val="17"/>
          <w:szCs w:val="17"/>
          <w:color w:val="auto"/>
        </w:rPr>
        <w:t>simplifies the accounting for convertible instruments by eliminating the models that require separation of a cash conversion or beneficial conversion feature from the host contract. Under the amended guidance, a convertible debt instrument is treated as one liability accounted for at its amortized cost and convertible preferred stock is considered one equity instrument accounted for at its historical cost, unless (a) there are other features that require bifurcation as a derivative, or (b) convertible debt was issued at a substantial premium. This update also eliminates several triggers for derivative accounting, including a requirement to settle certain contracts by delivering registered shares. Additionally, this update provides clarifications to improve the consistency of earnings per share (EPS) calculations. We adopted the ASU on January 1, 2022. The adoption of this ASU did not have an impact on our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2020, the FASB issued ASU 2020-04, "</w:t>
      </w:r>
      <w:r>
        <w:rPr>
          <w:rFonts w:ascii="Arial" w:cs="Arial" w:eastAsia="Arial" w:hAnsi="Arial"/>
          <w:sz w:val="18"/>
          <w:szCs w:val="18"/>
          <w:i w:val="1"/>
          <w:iCs w:val="1"/>
          <w:color w:val="auto"/>
        </w:rPr>
        <w:t>Reference Rate Reform (Topic 848) -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which provides optional guidance for accounting for contracts, hedging relationships and other transactions affected by the reference rate</w:t>
      </w:r>
      <w:r>
        <w:rPr>
          <w:rFonts w:ascii="Arial" w:cs="Arial" w:eastAsia="Arial" w:hAnsi="Arial"/>
          <w:sz w:val="18"/>
          <w:szCs w:val="18"/>
          <w:i w:val="1"/>
          <w:iCs w:val="1"/>
          <w:color w:val="auto"/>
        </w:rPr>
        <w:t xml:space="preserve"> </w:t>
      </w:r>
      <w:r>
        <w:rPr>
          <w:rFonts w:ascii="Arial" w:cs="Arial" w:eastAsia="Arial" w:hAnsi="Arial"/>
          <w:sz w:val="18"/>
          <w:szCs w:val="18"/>
          <w:color w:val="auto"/>
        </w:rPr>
        <w:t>reform, if certain criteria are met. The provisions of this standard are available for election through December 31, 2022. As of March 31, 2022, we do not expect the reference rate reform will have a material impact on our Consolidated Financial Statements as the majority of our debt has fixed interest rates. Refer to Note 19, "Subsequent Events," for information regarding the amendment of our Senior Credit Facility, now based on SOFR after amendment, completed after March 31, 2022. amendment.</w:t>
      </w:r>
    </w:p>
    <w:p>
      <w:pPr>
        <w:spacing w:after="0" w:line="2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Subsequent to the three months ended March 31, 2022, we completed our previously announced acquisition of Park Holidays in the UK for £950 million (or approximately $1.2 billion). As consideration for the acquisition, we (i) issued an aggregate of 186,044 shares of our common stock with a value of approximately $34.0 million as of the closing to certain individual sellers who are also members of Park Holidays' senior management team, and (ii) paid the remainder of the purchase price in cash.</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Sites, Wet Slips and</w:t>
            </w:r>
          </w:p>
        </w:tc>
        <w:tc>
          <w:tcPr>
            <w:tcW w:w="1360" w:type="dxa"/>
            <w:vAlign w:val="bottom"/>
            <w:vMerge w:val="restart"/>
          </w:tcPr>
          <w:p>
            <w:pPr>
              <w:jc w:val="right"/>
              <w:ind w:right="184"/>
              <w:spacing w:after="0"/>
              <w:rPr>
                <w:sz w:val="20"/>
                <w:szCs w:val="20"/>
                <w:color w:val="auto"/>
              </w:rPr>
            </w:pPr>
            <w:r>
              <w:rPr>
                <w:rFonts w:ascii="Arial" w:cs="Arial" w:eastAsia="Arial" w:hAnsi="Arial"/>
                <w:sz w:val="15"/>
                <w:szCs w:val="15"/>
                <w:b w:val="1"/>
                <w:bCs w:val="1"/>
                <w:color w:val="auto"/>
              </w:rPr>
              <w:t>Development</w:t>
            </w:r>
          </w:p>
        </w:tc>
        <w:tc>
          <w:tcPr>
            <w:tcW w:w="120" w:type="dxa"/>
            <w:vAlign w:val="bottom"/>
          </w:tcPr>
          <w:p>
            <w:pPr>
              <w:spacing w:after="0"/>
              <w:rPr>
                <w:sz w:val="15"/>
                <w:szCs w:val="15"/>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w w:val="92"/>
              </w:rPr>
              <w:t>State / Province or</w:t>
            </w:r>
          </w:p>
        </w:tc>
        <w:tc>
          <w:tcPr>
            <w:tcW w:w="140" w:type="dxa"/>
            <w:vAlign w:val="bottom"/>
          </w:tcPr>
          <w:p>
            <w:pPr>
              <w:spacing w:after="0"/>
              <w:rPr>
                <w:sz w:val="15"/>
                <w:szCs w:val="15"/>
                <w:color w:val="auto"/>
              </w:rPr>
            </w:pPr>
          </w:p>
        </w:tc>
        <w:tc>
          <w:tcPr>
            <w:tcW w:w="1220" w:type="dxa"/>
            <w:vAlign w:val="bottom"/>
          </w:tcPr>
          <w:p>
            <w:pPr>
              <w:jc w:val="center"/>
              <w:ind w:right="84"/>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48"/>
        </w:trPr>
        <w:tc>
          <w:tcPr>
            <w:tcW w:w="3860" w:type="dxa"/>
            <w:vAlign w:val="bottom"/>
            <w:vMerge w:val="restart"/>
          </w:tcPr>
          <w:p>
            <w:pPr>
              <w:ind w:left="1440"/>
              <w:spacing w:after="0"/>
              <w:rPr>
                <w:sz w:val="20"/>
                <w:szCs w:val="20"/>
                <w:color w:val="auto"/>
              </w:rPr>
            </w:pPr>
            <w:r>
              <w:rPr>
                <w:rFonts w:ascii="Arial" w:cs="Arial" w:eastAsia="Arial" w:hAnsi="Arial"/>
                <w:sz w:val="15"/>
                <w:szCs w:val="15"/>
                <w:b w:val="1"/>
                <w:bCs w:val="1"/>
                <w:color w:val="auto"/>
              </w:rPr>
              <w:t>Property Name</w:t>
            </w:r>
          </w:p>
        </w:tc>
        <w:tc>
          <w:tcPr>
            <w:tcW w:w="120" w:type="dxa"/>
            <w:vAlign w:val="bottom"/>
            <w:vMerge w:val="restart"/>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Property Type</w:t>
            </w:r>
          </w:p>
        </w:tc>
        <w:tc>
          <w:tcPr>
            <w:tcW w:w="100" w:type="dxa"/>
            <w:vAlign w:val="bottom"/>
            <w:vMerge w:val="restart"/>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84"/>
              <w:spacing w:after="0" w:line="149" w:lineRule="exact"/>
              <w:rPr>
                <w:sz w:val="20"/>
                <w:szCs w:val="20"/>
                <w:color w:val="auto"/>
              </w:rPr>
            </w:pPr>
            <w:r>
              <w:rPr>
                <w:rFonts w:ascii="Arial" w:cs="Arial" w:eastAsia="Arial" w:hAnsi="Arial"/>
                <w:sz w:val="15"/>
                <w:szCs w:val="15"/>
                <w:b w:val="1"/>
                <w:bCs w:val="1"/>
                <w:color w:val="auto"/>
                <w:w w:val="90"/>
              </w:rPr>
              <w:t>Purchase Price</w:t>
            </w:r>
          </w:p>
        </w:tc>
        <w:tc>
          <w:tcPr>
            <w:tcW w:w="0" w:type="dxa"/>
            <w:vAlign w:val="bottom"/>
          </w:tcPr>
          <w:p>
            <w:pPr>
              <w:spacing w:after="0"/>
              <w:rPr>
                <w:sz w:val="1"/>
                <w:szCs w:val="1"/>
                <w:color w:val="auto"/>
              </w:rPr>
            </w:pPr>
          </w:p>
        </w:tc>
      </w:tr>
      <w:tr>
        <w:trPr>
          <w:trHeight w:val="200"/>
        </w:trPr>
        <w:tc>
          <w:tcPr>
            <w:tcW w:w="38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94"/>
              </w:rPr>
              <w:t>Dry Storage Spaces</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Sites</w:t>
            </w:r>
          </w:p>
        </w:tc>
        <w:tc>
          <w:tcPr>
            <w:tcW w:w="1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Country</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92"/>
              </w:rPr>
              <w:t>(in millions)</w:t>
            </w:r>
          </w:p>
        </w:tc>
        <w:tc>
          <w:tcPr>
            <w:tcW w:w="0" w:type="dxa"/>
            <w:vAlign w:val="bottom"/>
          </w:tcPr>
          <w:p>
            <w:pPr>
              <w:spacing w:after="0"/>
              <w:rPr>
                <w:sz w:val="1"/>
                <w:szCs w:val="1"/>
                <w:color w:val="auto"/>
              </w:rPr>
            </w:pPr>
          </w:p>
        </w:tc>
      </w:tr>
      <w:tr>
        <w:trPr>
          <w:trHeight w:val="198"/>
        </w:trPr>
        <w:tc>
          <w:tcPr>
            <w:tcW w:w="3860" w:type="dxa"/>
            <w:vAlign w:val="bottom"/>
            <w:shd w:val="clear" w:color="auto" w:fill="CCEEFF"/>
          </w:tcPr>
          <w:p>
            <w:pPr>
              <w:ind w:left="20"/>
              <w:spacing w:after="0" w:line="198" w:lineRule="exact"/>
              <w:rPr>
                <w:sz w:val="20"/>
                <w:szCs w:val="20"/>
                <w:color w:val="auto"/>
              </w:rPr>
            </w:pPr>
            <w:r>
              <w:rPr>
                <w:rFonts w:ascii="Arial" w:cs="Arial" w:eastAsia="Arial" w:hAnsi="Arial"/>
                <w:sz w:val="15"/>
                <w:szCs w:val="15"/>
                <w:color w:val="auto"/>
              </w:rPr>
              <w:t>Park Holidays</w:t>
            </w:r>
            <w:r>
              <w:rPr>
                <w:rFonts w:ascii="Arial" w:cs="Arial" w:eastAsia="Arial" w:hAnsi="Arial"/>
                <w:sz w:val="19"/>
                <w:szCs w:val="19"/>
                <w:color w:val="auto"/>
                <w:vertAlign w:val="superscript"/>
              </w:rPr>
              <w:t>(1)</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rPr>
              <w:t>MH</w:t>
            </w: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15,906</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1,140</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rPr>
              <w:t>UK</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1,242.1</w:t>
            </w:r>
          </w:p>
        </w:tc>
        <w:tc>
          <w:tcPr>
            <w:tcW w:w="0" w:type="dxa"/>
            <w:vAlign w:val="bottom"/>
          </w:tcPr>
          <w:p>
            <w:pPr>
              <w:spacing w:after="0"/>
              <w:rPr>
                <w:sz w:val="1"/>
                <w:szCs w:val="1"/>
                <w:color w:val="auto"/>
              </w:rPr>
            </w:pPr>
          </w:p>
        </w:tc>
      </w:tr>
      <w:tr>
        <w:trPr>
          <w:trHeight w:val="203"/>
        </w:trPr>
        <w:tc>
          <w:tcPr>
            <w:tcW w:w="398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Christies Parks</w:t>
            </w:r>
            <w:r>
              <w:rPr>
                <w:rFonts w:ascii="Arial" w:cs="Arial" w:eastAsia="Arial" w:hAnsi="Arial"/>
                <w:sz w:val="19"/>
                <w:szCs w:val="19"/>
                <w:color w:val="auto"/>
                <w:vertAlign w:val="superscript"/>
              </w:rPr>
              <w:t>(2)</w:t>
            </w:r>
          </w:p>
        </w:tc>
        <w:tc>
          <w:tcPr>
            <w:tcW w:w="1440" w:type="dxa"/>
            <w:vAlign w:val="bottom"/>
            <w:gridSpan w:val="2"/>
          </w:tcPr>
          <w:p>
            <w:pPr>
              <w:jc w:val="center"/>
              <w:ind w:right="120"/>
              <w:spacing w:after="0"/>
              <w:rPr>
                <w:sz w:val="20"/>
                <w:szCs w:val="20"/>
                <w:color w:val="auto"/>
              </w:rPr>
            </w:pPr>
            <w:r>
              <w:rPr>
                <w:rFonts w:ascii="Arial" w:cs="Arial" w:eastAsia="Arial" w:hAnsi="Arial"/>
                <w:sz w:val="15"/>
                <w:szCs w:val="15"/>
                <w:color w:val="auto"/>
              </w:rPr>
              <w:t>MH</w:t>
            </w:r>
          </w:p>
        </w:tc>
        <w:tc>
          <w:tcPr>
            <w:tcW w:w="1440" w:type="dxa"/>
            <w:vAlign w:val="bottom"/>
          </w:tcPr>
          <w:p>
            <w:pPr>
              <w:jc w:val="right"/>
              <w:ind w:right="4"/>
              <w:spacing w:after="0"/>
              <w:rPr>
                <w:sz w:val="20"/>
                <w:szCs w:val="20"/>
                <w:color w:val="auto"/>
              </w:rPr>
            </w:pPr>
            <w:r>
              <w:rPr>
                <w:rFonts w:ascii="Arial" w:cs="Arial" w:eastAsia="Arial" w:hAnsi="Arial"/>
                <w:sz w:val="15"/>
                <w:szCs w:val="15"/>
                <w:color w:val="auto"/>
              </w:rPr>
              <w:t>249</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5"/>
                <w:szCs w:val="15"/>
                <w:color w:val="auto"/>
              </w:rPr>
              <w:t>UK</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10.1</w:t>
            </w:r>
          </w:p>
        </w:tc>
        <w:tc>
          <w:tcPr>
            <w:tcW w:w="0" w:type="dxa"/>
            <w:vAlign w:val="bottom"/>
          </w:tcPr>
          <w:p>
            <w:pPr>
              <w:spacing w:after="0"/>
              <w:rPr>
                <w:sz w:val="1"/>
                <w:szCs w:val="1"/>
                <w:color w:val="auto"/>
              </w:rPr>
            </w:pPr>
          </w:p>
        </w:tc>
      </w:tr>
      <w:tr>
        <w:trPr>
          <w:trHeight w:val="203"/>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Bluewater Yacht Sales</w:t>
            </w:r>
          </w:p>
        </w:tc>
        <w:tc>
          <w:tcPr>
            <w:tcW w:w="144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5"/>
              </w:rPr>
              <w:t>Marina</w:t>
            </w: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200</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0"/>
              </w:rPr>
              <w:t>Various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203"/>
        </w:trPr>
        <w:tc>
          <w:tcPr>
            <w:tcW w:w="398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Jarrett Bay Bluewater Yacht Sales</w:t>
            </w:r>
            <w:r>
              <w:rPr>
                <w:rFonts w:ascii="Arial" w:cs="Arial" w:eastAsia="Arial" w:hAnsi="Arial"/>
                <w:sz w:val="19"/>
                <w:szCs w:val="19"/>
                <w:color w:val="auto"/>
                <w:vertAlign w:val="superscript"/>
              </w:rPr>
              <w:t>(3)</w:t>
            </w:r>
          </w:p>
        </w:tc>
        <w:tc>
          <w:tcPr>
            <w:tcW w:w="1440" w:type="dxa"/>
            <w:vAlign w:val="bottom"/>
            <w:gridSpan w:val="2"/>
          </w:tcPr>
          <w:p>
            <w:pPr>
              <w:jc w:val="center"/>
              <w:ind w:right="120"/>
              <w:spacing w:after="0"/>
              <w:rPr>
                <w:sz w:val="20"/>
                <w:szCs w:val="20"/>
                <w:color w:val="auto"/>
              </w:rPr>
            </w:pPr>
            <w:r>
              <w:rPr>
                <w:rFonts w:ascii="Arial" w:cs="Arial" w:eastAsia="Arial" w:hAnsi="Arial"/>
                <w:sz w:val="15"/>
                <w:szCs w:val="15"/>
                <w:color w:val="auto"/>
                <w:w w:val="95"/>
              </w:rPr>
              <w:t>Marina</w:t>
            </w:r>
          </w:p>
        </w:tc>
        <w:tc>
          <w:tcPr>
            <w:tcW w:w="15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5"/>
                <w:szCs w:val="15"/>
                <w:color w:val="auto"/>
                <w:w w:val="90"/>
              </w:rPr>
              <w:t>Various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17.6</w:t>
            </w:r>
          </w:p>
        </w:tc>
        <w:tc>
          <w:tcPr>
            <w:tcW w:w="0" w:type="dxa"/>
            <w:vAlign w:val="bottom"/>
          </w:tcPr>
          <w:p>
            <w:pPr>
              <w:spacing w:after="0"/>
              <w:rPr>
                <w:sz w:val="1"/>
                <w:szCs w:val="1"/>
                <w:color w:val="auto"/>
              </w:rPr>
            </w:pPr>
          </w:p>
        </w:tc>
      </w:tr>
      <w:tr>
        <w:trPr>
          <w:trHeight w:val="221"/>
        </w:trPr>
        <w:tc>
          <w:tcPr>
            <w:tcW w:w="398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b w:val="1"/>
                <w:bCs w:val="1"/>
                <w:color w:val="auto"/>
              </w:rPr>
              <w:t>Total Subsequent Acquisitions</w:t>
            </w: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16,355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1,294.8</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160" w:hanging="152"/>
        <w:spacing w:after="0"/>
        <w:tabs>
          <w:tab w:leader="none" w:pos="16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Includes 40 owned and two managed properties.</w:t>
      </w:r>
    </w:p>
    <w:p>
      <w:pPr>
        <w:spacing w:after="0" w:line="45"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Combined with an existing adjacent MH community.</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Combined with an existing marina.</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Senior Credit Facility Amendment</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April 7, 2022, in connection with the closing of the Park Holidays acquisition, the Operating Partnership as borrower, and Sun Communities, Inc., as guarantor, and certain lenders entered into Amendment No. 1 to the Fourth Amended and Restated Credit Agreement and Other Loan Documents (the "Credit Facility Amendment"), which amended our Senior Credit Facility.</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6"/>
          <w:szCs w:val="16"/>
          <w:b w:val="1"/>
          <w:bCs w:val="1"/>
          <w:color w:val="auto"/>
        </w:rPr>
        <w:t>SUN COMMUNITIES, INC.</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Credit Facility Amendment increases the aggregate amount of our Senior Credit Facility to $4.2 billion with the ability to upsize the total borrowings by an additional $800 million, subject to certain conditions. The increased aggregate amount under the Senior Credit Facility consists of the following: (a) a revolving loan in an amount up to $3.05 billion and (b) a term loan facility of $1.15 billion, with the ability to draw funds from the combined facilities in U.S. dollars, Pounds sterling, Euros, Canadian dollars and Australian dollars, subject to certain limitations. The Credit Facility Amendment extends the maturity date of the revolving loan facility to April 7, 2027, assuming the Operating Partnership's exercise of each of its two six-month extension options and, further, the Credit Facility Amendment also extends the maturity date of the term loan facility to April 7, 2025, which may not be extended. Prior to the amendment, the Senior Credit Facility permitted aggregate borrowings of up to $2.0 billion, with an accordion feature that allowed for additional commitments of up to $1.0 billion, subject to the satisfaction of certain conditions.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Credit Facility bears interest at a floating rate based on Adjusted Term SOFR, the Adjusted Eurocurrency Rate, the Daily RFR Rate, the Australian Bank Bill Swap Bid Rate (BBSY), the Daily SONIA Rate or the Canadian Dollar Offered Rate, as applicable, plus, in all cases, a margin, which can range from 0.725 percent to 1.6 percent, subject to certain adjustments. As of March 31, 2022, the margin based on our credit ratings would have been 0.85 percent on the revolving loan facility and 0.95 percent on the term loan facility.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Senior Unsecured Notes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12, 2022, the Operating Partnership issued $600.0 million of senior unsecured notes with an interest rate of 4.2 percent and a 10-year term, due April 15, 2032 (the "2032 Notes"). The net proceeds from the offering were $592.3 million after deducting underwriters' discounts and estimated offering expenses. We used the net proceeds from the offering to repay borrowings outstanding under our Senior Credit Facility. In connection with the 2032 Notes issuance, we settled four 10-year Treasury rate locks totaling $600.0 million and received a settlement payment of $35.3 million. The balance is included in the Accumulated other comprehensive income in our Consolidated Balance Sheets, and will be amortized as a reduction of interest expense on a straight line basis over the 10-year term of the hedged transaction.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Transactions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15, 2022, we settled forward sale agreements with respect to 1,200,000 shares of common stock under our at the market offering program. We also settled forward sale agreements with respect to 4,025,000 shares of common stock under the November 2021 Forward Sale Agreements related to an underwritten registered public offering. The aggregate net proceeds from the settlement of these forward sale agreements was $934.9 million. We used the net proceeds to repay borrowings outstanding under our Senior Credit Facility.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our Consolidated Financial Statements for subsequent events through the date that this Form 10-Q was issued.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and analysis of the consolidated financial condition and results of operations should be read in conjunction with the Consolidated Financial Statements and the accompanying Notes, along with our 2021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fully integrated, self-administered and self-managed REIT. As of March 31, 2022, we owned and operated or held an interest in a portfolio of 603 developed properties located in 39 states throughout the United States, Ontario, Canada, Puerto Rico and the United Kingdom including 283 MH communities, 161 RV resorts, 31 properties containing both MH and RV sites, and 128 marinas. We have been in the business of acquiring, operating, developing and expanding MH communities and RV resorts since 1975 and marinas since 2020. We lease individual sites with utilities access for placement of manufactured homes, RVs or boats to our customers. We are also engaged in the marketing, selling and leasing of new and pre-owned homes to current and future residents in our MH communities. The Rental Program operations within our MH communities support and enhance our occupancy levels, property performance and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identified significant accounting policies that, as a result of the judgments, uncertainties and complexities of the underlying accounting standards and operations involved could result in material changes to our financial condition or results of operations under different conditions or using different assumptions. Details regarding significant accounting policies are described fully in our 2021 Annual Report.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results reported in accordance with GAAP in our "Results of Operations" below, we have provided information regarding net operating income ("NOI") and funds from operations ("FFO") as supplemental performance measures. We believe NOI and FFO are appropriate measures given their wide use by and relevance to investors and analysts following the real estate industry. NOI provides a measure of rental operations and does not factor in depreciation, amortization and non-property specific expenses such as general and administrative expenses. FFO, reflecting the assumption that real estate values rise or fall with market conditions, principally adjusts for the effects of GAAP depreciation / amortization of real estate assets. In addition, NOI and FFO are commonly used in various ratios, pricing multiples / yields and returns and valuation calculations used to measure financial position, performance and value.</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NOI is derived from operating revenues minus property operating expenses and real estate taxes. NOI is a non-GAAP financial measure that we believe is helpful to investors as a supplemental measure of operating performance because it is an indicator of the return on property investment and provides a method of comparing property performance over time. We use NOI as a key measure when evaluating performance and growth of particular properties and</w:t>
      </w:r>
    </w:p>
    <w:p>
      <w:pPr>
        <w:spacing w:after="0" w:line="2" w:lineRule="exact"/>
        <w:rPr>
          <w:sz w:val="20"/>
          <w:szCs w:val="20"/>
          <w:color w:val="auto"/>
        </w:rPr>
      </w:pPr>
    </w:p>
    <w:p>
      <w:pPr>
        <w:jc w:val="both"/>
        <w:ind w:firstLine="8"/>
        <w:spacing w:after="0" w:line="255" w:lineRule="auto"/>
        <w:tabs>
          <w:tab w:leader="none" w:pos="98" w:val="left"/>
        </w:tabs>
        <w:numPr>
          <w:ilvl w:val="0"/>
          <w:numId w:val="32"/>
        </w:numPr>
        <w:rPr>
          <w:rFonts w:ascii="Arial" w:cs="Arial" w:eastAsia="Arial" w:hAnsi="Arial"/>
          <w:sz w:val="18"/>
          <w:szCs w:val="18"/>
          <w:color w:val="auto"/>
        </w:rPr>
      </w:pPr>
      <w:r>
        <w:rPr>
          <w:rFonts w:ascii="Arial" w:cs="Arial" w:eastAsia="Arial" w:hAnsi="Arial"/>
          <w:sz w:val="18"/>
          <w:szCs w:val="18"/>
          <w:color w:val="auto"/>
        </w:rPr>
        <w:t>or groups of properties. The principal limitation of NOI is that it excludes depreciation, amortization, interest expense and non-property specific expenses such as general and administrative expenses, all of which are significant costs. Therefore, NOI is a measure of the operating performance of our properties rather than of the Company overall.</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GAAP net income (loss) is the most directly comparable measure to NOI. NOI should not be considered to be an alternative to GAAP net income (loss) as an indication of our financial performance or GAAP cash flow from operating activities as a measure of our liquidity; nor is it indicative of funds available for our cash needs, including our ability to make cash distributions. Because of the inclusion of items such as interest, depreciation and amortization, the use of GAAP net income (loss) as a performance measure is limited as these items may not accurately reflect the actual change in market value of a property, in the case of depreciation and in the case of interest, may not necessarily be linked to the operating performance of a real estate asset, as it is often incurred at a parent company level and not at a property level.</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FFO is defined by the National Association of Real Estate Investment Trusts ("NAREIT") as GAAP net income (loss), excluding gains (or losses) from sales of depreciable operating property, plus real estate related depreciation and amortization, real estate related impairments, and after adjustments for unconsolidated partnerships and joint ventures. FFO is a non-GAAP financial measure that management believes is a useful supplemental measure of our operating performance. By excluding gains and losses related to sales of previously depreciated operating real estate assets, impairment and excluding real estate asset depreciation and amortization (which can vary among owners of identical assets in similar condition based on historical cost accounting and useful life estimates), FFO provides a performance measure that, when compared period-over-period, reflects the impact to operations from trends in occupancy rates, rental rates, and operating costs, providing perspective not readily apparent from GAAP net income (loss). Management believes the use of FFO has been beneficial in improving the understanding of operating results of REITs among the investing public and making comparisons of REIT operating results more meaningful. We also use FFO excluding certain gain and loss items that management considers unrelated to the operational and financial performance of our core business ("Core FFO"). We believe that Core FFO provides enhanced comparability for investor evaluations of period-over-period results.</w:t>
      </w:r>
    </w:p>
    <w:p>
      <w:pPr>
        <w:spacing w:after="0" w:line="20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GAAP net income (loss) is the most directly comparable measure to FFO. The principal limitation of FFO is that it does not replace GAAP net income (loss) as a performance measure or GAAP cash flow from operations as a liquidity measure. Because FFO excludes significant economic components of GAAP net income (loss) including depreciation and amortization, FFO should be used as a supplement to GAAP net income (loss) and not as an alternative to it. Furthermore, FFO is not intended as a measure of a REIT's ability to meet debt principal repayments and other cash requirements, nor as a measure of working capital. FFO is calculated in accordance with our interpretation of standards established by NAREIT, which may not be comparable to FFO reported by other REITs that interpret the NAREIT definition differently.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reconcile the Net income attributable to Sun Communities, Inc. common shareholders to NOI and summarize our consolidated financial results for the three months ended March 31, 2022 and 2021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664"/>
              <w:spacing w:after="0"/>
              <w:rPr>
                <w:sz w:val="20"/>
                <w:szCs w:val="20"/>
                <w:color w:val="auto"/>
              </w:rPr>
            </w:pPr>
            <w:r>
              <w:rPr>
                <w:rFonts w:ascii="Arial" w:cs="Arial" w:eastAsia="Arial" w:hAnsi="Arial"/>
                <w:sz w:val="15"/>
                <w:szCs w:val="15"/>
                <w:b w:val="1"/>
                <w:bCs w:val="1"/>
                <w:color w:val="auto"/>
              </w:rPr>
              <w:t>Three Months Ended</w:t>
            </w:r>
          </w:p>
        </w:tc>
      </w:tr>
      <w:tr>
        <w:trPr>
          <w:trHeight w:val="198"/>
        </w:trPr>
        <w:tc>
          <w:tcPr>
            <w:tcW w:w="8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b w:val="1"/>
                <w:bCs w:val="1"/>
                <w:color w:val="auto"/>
              </w:rPr>
              <w:t>March 31, 2022</w:t>
            </w:r>
          </w:p>
        </w:tc>
        <w:tc>
          <w:tcPr>
            <w:tcW w:w="140" w:type="dxa"/>
            <w:vAlign w:val="bottom"/>
          </w:tcPr>
          <w:p>
            <w:pPr>
              <w:spacing w:after="0"/>
              <w:rPr>
                <w:sz w:val="17"/>
                <w:szCs w:val="17"/>
                <w:color w:val="auto"/>
              </w:rPr>
            </w:pPr>
          </w:p>
        </w:tc>
        <w:tc>
          <w:tcPr>
            <w:tcW w:w="1240" w:type="dxa"/>
            <w:vAlign w:val="bottom"/>
          </w:tcPr>
          <w:p>
            <w:pPr>
              <w:jc w:val="right"/>
              <w:ind w:right="104"/>
              <w:spacing w:after="0"/>
              <w:rPr>
                <w:sz w:val="20"/>
                <w:szCs w:val="20"/>
                <w:color w:val="auto"/>
              </w:rPr>
            </w:pPr>
            <w:r>
              <w:rPr>
                <w:rFonts w:ascii="Arial" w:cs="Arial" w:eastAsia="Arial" w:hAnsi="Arial"/>
                <w:sz w:val="15"/>
                <w:szCs w:val="15"/>
                <w:b w:val="1"/>
                <w:bCs w:val="1"/>
                <w:color w:val="auto"/>
                <w:w w:val="97"/>
              </w:rPr>
              <w:t>March 31, 2021</w:t>
            </w:r>
          </w:p>
        </w:tc>
      </w:tr>
      <w:tr>
        <w:trPr>
          <w:trHeight w:val="198"/>
        </w:trPr>
        <w:tc>
          <w:tcPr>
            <w:tcW w:w="8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Attributable to Sun Communities, Inc. Common Shareholders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24.8</w:t>
            </w:r>
          </w:p>
        </w:tc>
      </w:tr>
      <w:tr>
        <w:trPr>
          <w:trHeight w:val="199"/>
        </w:trPr>
        <w:tc>
          <w:tcPr>
            <w:tcW w:w="8380" w:type="dxa"/>
            <w:vAlign w:val="bottom"/>
          </w:tcPr>
          <w:p>
            <w:pPr>
              <w:ind w:left="220"/>
              <w:spacing w:after="0"/>
              <w:rPr>
                <w:sz w:val="20"/>
                <w:szCs w:val="20"/>
                <w:color w:val="auto"/>
              </w:rPr>
            </w:pPr>
            <w:r>
              <w:rPr>
                <w:rFonts w:ascii="Arial" w:cs="Arial" w:eastAsia="Arial" w:hAnsi="Arial"/>
                <w:sz w:val="15"/>
                <w:szCs w:val="15"/>
                <w:color w:val="auto"/>
              </w:rPr>
              <w:t>Interest income</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206"/>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Brokerage commissions and other revenues, net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r>
      <w:tr>
        <w:trPr>
          <w:trHeight w:val="199"/>
        </w:trPr>
        <w:tc>
          <w:tcPr>
            <w:tcW w:w="8380" w:type="dxa"/>
            <w:vAlign w:val="bottom"/>
          </w:tcPr>
          <w:p>
            <w:pPr>
              <w:ind w:left="220"/>
              <w:spacing w:after="0"/>
              <w:rPr>
                <w:sz w:val="20"/>
                <w:szCs w:val="20"/>
                <w:color w:val="auto"/>
              </w:rPr>
            </w:pPr>
            <w:r>
              <w:rPr>
                <w:rFonts w:ascii="Arial" w:cs="Arial" w:eastAsia="Arial" w:hAnsi="Arial"/>
                <w:sz w:val="15"/>
                <w:szCs w:val="15"/>
                <w:color w:val="auto"/>
              </w:rPr>
              <w:t>General and administrative expense</w:t>
            </w:r>
          </w:p>
        </w:tc>
        <w:tc>
          <w:tcPr>
            <w:tcW w:w="14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55.7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38.2</w:t>
            </w:r>
          </w:p>
        </w:tc>
      </w:tr>
      <w:tr>
        <w:trPr>
          <w:trHeight w:val="206"/>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Catastrophic event-related charges, net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r>
      <w:tr>
        <w:trPr>
          <w:trHeight w:val="199"/>
        </w:trPr>
        <w:tc>
          <w:tcPr>
            <w:tcW w:w="8380" w:type="dxa"/>
            <w:vAlign w:val="bottom"/>
          </w:tcPr>
          <w:p>
            <w:pPr>
              <w:ind w:left="220"/>
              <w:spacing w:after="0"/>
              <w:rPr>
                <w:sz w:val="20"/>
                <w:szCs w:val="20"/>
                <w:color w:val="auto"/>
              </w:rPr>
            </w:pPr>
            <w:r>
              <w:rPr>
                <w:rFonts w:ascii="Arial" w:cs="Arial" w:eastAsia="Arial" w:hAnsi="Arial"/>
                <w:sz w:val="15"/>
                <w:szCs w:val="15"/>
                <w:color w:val="auto"/>
              </w:rPr>
              <w:t>Business combination expense</w:t>
            </w:r>
          </w:p>
        </w:tc>
        <w:tc>
          <w:tcPr>
            <w:tcW w:w="14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206"/>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123.9</w:t>
            </w:r>
          </w:p>
        </w:tc>
      </w:tr>
      <w:tr>
        <w:trPr>
          <w:trHeight w:val="199"/>
        </w:trPr>
        <w:tc>
          <w:tcPr>
            <w:tcW w:w="8380" w:type="dxa"/>
            <w:vAlign w:val="bottom"/>
          </w:tcPr>
          <w:p>
            <w:pPr>
              <w:ind w:left="220"/>
              <w:spacing w:after="0"/>
              <w:rPr>
                <w:sz w:val="20"/>
                <w:szCs w:val="20"/>
                <w:color w:val="auto"/>
              </w:rPr>
            </w:pPr>
            <w:r>
              <w:rPr>
                <w:rFonts w:ascii="Arial" w:cs="Arial" w:eastAsia="Arial" w:hAnsi="Arial"/>
                <w:sz w:val="15"/>
                <w:szCs w:val="15"/>
                <w:color w:val="auto"/>
              </w:rPr>
              <w:t>Loss on extinguishment of debt (see Note 8)</w:t>
            </w:r>
          </w:p>
        </w:tc>
        <w:tc>
          <w:tcPr>
            <w:tcW w:w="14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6"/>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Interest expense</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Interest on mandatorily redeemable preferred OP units / equity</w:t>
            </w:r>
          </w:p>
        </w:tc>
        <w:tc>
          <w:tcPr>
            <w:tcW w:w="14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 loss on remeasurement of marketable securities (see Note 15)</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Loss on foreign currency translation</w:t>
            </w:r>
          </w:p>
        </w:tc>
        <w:tc>
          <w:tcPr>
            <w:tcW w:w="14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on disposition of property</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Other expense, net</w:t>
            </w:r>
          </w:p>
        </w:tc>
        <w:tc>
          <w:tcPr>
            <w:tcW w:w="14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0.5</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on remeasurement of notes receivable (see Note 4)</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Income from nonconsolidated affiliates (see Note 6)</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on remeasurement of investment in nonconsolidated affiliates (see Note 6)</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Current tax (benefit) / expense (see Note 12)</w:t>
            </w:r>
          </w:p>
        </w:tc>
        <w:tc>
          <w:tcPr>
            <w:tcW w:w="14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(0.2)</w:t>
            </w:r>
          </w:p>
        </w:tc>
      </w:tr>
      <w:tr>
        <w:trPr>
          <w:trHeight w:val="207"/>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Deferred tax benefit (see Note 12)</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198"/>
        </w:trPr>
        <w:tc>
          <w:tcPr>
            <w:tcW w:w="8380" w:type="dxa"/>
            <w:vAlign w:val="bottom"/>
          </w:tcPr>
          <w:p>
            <w:pPr>
              <w:ind w:left="220"/>
              <w:spacing w:after="0"/>
              <w:rPr>
                <w:sz w:val="20"/>
                <w:szCs w:val="20"/>
                <w:color w:val="auto"/>
              </w:rPr>
            </w:pPr>
            <w:r>
              <w:rPr>
                <w:rFonts w:ascii="Arial" w:cs="Arial" w:eastAsia="Arial" w:hAnsi="Arial"/>
                <w:sz w:val="15"/>
                <w:szCs w:val="15"/>
                <w:color w:val="auto"/>
              </w:rPr>
              <w:t>Preferred return to preferred OP units / equity interests</w:t>
            </w:r>
          </w:p>
        </w:tc>
        <w:tc>
          <w:tcPr>
            <w:tcW w:w="14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03"/>
        </w:trPr>
        <w:tc>
          <w:tcPr>
            <w:tcW w:w="8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Income / (loss) attributable to noncontrolling interests</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w:t>
            </w:r>
          </w:p>
        </w:tc>
      </w:tr>
      <w:tr>
        <w:trPr>
          <w:trHeight w:val="200"/>
        </w:trPr>
        <w:tc>
          <w:tcPr>
            <w:tcW w:w="8380" w:type="dxa"/>
            <w:vAlign w:val="bottom"/>
          </w:tcPr>
          <w:p>
            <w:pPr>
              <w:ind w:left="120"/>
              <w:spacing w:after="0"/>
              <w:rPr>
                <w:sz w:val="20"/>
                <w:szCs w:val="20"/>
                <w:color w:val="auto"/>
              </w:rPr>
            </w:pPr>
            <w:r>
              <w:rPr>
                <w:rFonts w:ascii="Arial" w:cs="Arial" w:eastAsia="Arial" w:hAnsi="Arial"/>
                <w:sz w:val="15"/>
                <w:szCs w:val="15"/>
                <w:b w:val="1"/>
                <w:bCs w:val="1"/>
                <w:color w:val="auto"/>
              </w:rPr>
              <w:t>NOI</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261.9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220.4</w:t>
            </w:r>
          </w:p>
        </w:tc>
      </w:tr>
      <w:tr>
        <w:trPr>
          <w:trHeight w:val="21"/>
        </w:trPr>
        <w:tc>
          <w:tcPr>
            <w:tcW w:w="8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664"/>
              <w:spacing w:after="0"/>
              <w:rPr>
                <w:sz w:val="20"/>
                <w:szCs w:val="20"/>
                <w:color w:val="auto"/>
              </w:rPr>
            </w:pPr>
            <w:r>
              <w:rPr>
                <w:rFonts w:ascii="Arial" w:cs="Arial" w:eastAsia="Arial" w:hAnsi="Arial"/>
                <w:sz w:val="15"/>
                <w:szCs w:val="15"/>
                <w:b w:val="1"/>
                <w:bCs w:val="1"/>
                <w:color w:val="auto"/>
              </w:rPr>
              <w:t>Three Months Ended</w:t>
            </w:r>
          </w:p>
        </w:tc>
      </w:tr>
      <w:tr>
        <w:trPr>
          <w:trHeight w:val="198"/>
        </w:trPr>
        <w:tc>
          <w:tcPr>
            <w:tcW w:w="8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b w:val="1"/>
                <w:bCs w:val="1"/>
                <w:color w:val="auto"/>
              </w:rPr>
              <w:t>March 31, 2022</w:t>
            </w:r>
          </w:p>
        </w:tc>
        <w:tc>
          <w:tcPr>
            <w:tcW w:w="140" w:type="dxa"/>
            <w:vAlign w:val="bottom"/>
          </w:tcPr>
          <w:p>
            <w:pPr>
              <w:spacing w:after="0"/>
              <w:rPr>
                <w:sz w:val="17"/>
                <w:szCs w:val="17"/>
                <w:color w:val="auto"/>
              </w:rPr>
            </w:pPr>
          </w:p>
        </w:tc>
        <w:tc>
          <w:tcPr>
            <w:tcW w:w="1240" w:type="dxa"/>
            <w:vAlign w:val="bottom"/>
          </w:tcPr>
          <w:p>
            <w:pPr>
              <w:jc w:val="right"/>
              <w:ind w:right="104"/>
              <w:spacing w:after="0"/>
              <w:rPr>
                <w:sz w:val="20"/>
                <w:szCs w:val="20"/>
                <w:color w:val="auto"/>
              </w:rPr>
            </w:pPr>
            <w:r>
              <w:rPr>
                <w:rFonts w:ascii="Arial" w:cs="Arial" w:eastAsia="Arial" w:hAnsi="Arial"/>
                <w:sz w:val="15"/>
                <w:szCs w:val="15"/>
                <w:b w:val="1"/>
                <w:bCs w:val="1"/>
                <w:color w:val="auto"/>
                <w:w w:val="97"/>
              </w:rPr>
              <w:t>March 31, 2021</w:t>
            </w:r>
          </w:p>
        </w:tc>
      </w:tr>
      <w:tr>
        <w:trPr>
          <w:trHeight w:val="198"/>
        </w:trPr>
        <w:tc>
          <w:tcPr>
            <w:tcW w:w="8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Real property NOI</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232.8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204.6</w:t>
            </w:r>
          </w:p>
        </w:tc>
      </w:tr>
      <w:tr>
        <w:trPr>
          <w:trHeight w:val="199"/>
        </w:trPr>
        <w:tc>
          <w:tcPr>
            <w:tcW w:w="8380" w:type="dxa"/>
            <w:vAlign w:val="bottom"/>
          </w:tcPr>
          <w:p>
            <w:pPr>
              <w:ind w:left="20"/>
              <w:spacing w:after="0"/>
              <w:rPr>
                <w:sz w:val="20"/>
                <w:szCs w:val="20"/>
                <w:color w:val="auto"/>
              </w:rPr>
            </w:pPr>
            <w:r>
              <w:rPr>
                <w:rFonts w:ascii="Arial" w:cs="Arial" w:eastAsia="Arial" w:hAnsi="Arial"/>
                <w:sz w:val="15"/>
                <w:szCs w:val="15"/>
                <w:color w:val="auto"/>
              </w:rPr>
              <w:t>Home sales NOI</w:t>
            </w:r>
          </w:p>
        </w:tc>
        <w:tc>
          <w:tcPr>
            <w:tcW w:w="14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18.8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10.6</w:t>
            </w:r>
          </w:p>
        </w:tc>
      </w:tr>
      <w:tr>
        <w:trPr>
          <w:trHeight w:val="203"/>
        </w:trPr>
        <w:tc>
          <w:tcPr>
            <w:tcW w:w="8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Service, retail, dining and entertainment expenses NOI</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w:t>
            </w:r>
          </w:p>
        </w:tc>
      </w:tr>
      <w:tr>
        <w:trPr>
          <w:trHeight w:val="200"/>
        </w:trPr>
        <w:tc>
          <w:tcPr>
            <w:tcW w:w="8380" w:type="dxa"/>
            <w:vAlign w:val="bottom"/>
          </w:tcPr>
          <w:p>
            <w:pPr>
              <w:ind w:left="140"/>
              <w:spacing w:after="0"/>
              <w:rPr>
                <w:sz w:val="20"/>
                <w:szCs w:val="20"/>
                <w:color w:val="auto"/>
              </w:rPr>
            </w:pPr>
            <w:r>
              <w:rPr>
                <w:rFonts w:ascii="Arial" w:cs="Arial" w:eastAsia="Arial" w:hAnsi="Arial"/>
                <w:sz w:val="15"/>
                <w:szCs w:val="15"/>
                <w:b w:val="1"/>
                <w:bCs w:val="1"/>
                <w:color w:val="auto"/>
              </w:rPr>
              <w:t>NOI</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261.9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220.4</w:t>
            </w:r>
          </w:p>
        </w:tc>
      </w:tr>
      <w:tr>
        <w:trPr>
          <w:trHeight w:val="20"/>
        </w:trPr>
        <w:tc>
          <w:tcPr>
            <w:tcW w:w="8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 of Revenue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RV and marina industries are seasonal in nature, and the results of operations in any one period may not be indicative of results in future periods.</w:t>
      </w:r>
    </w:p>
    <w:p>
      <w:pPr>
        <w:spacing w:after="0" w:line="2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RV segment, certain properties maintain higher occupancy during the summer months, while other properties maintain higher occupancy during the winter months. Based on the location of our properties with transient RV sites, our portfolio generally produces higher revenues between April and September than between October and March. Real property - transient revenue is included in RV segment revenue. As of March 31, 2022, we recognized $42.7 million of Real property - transient revenue in the first quarter. Real property - transient revenue was $266.6 million for the year ended December 31, 2021. In 2021, Real property - transient revenue was recognized 11.9 percent in the first quarter, 27.3 percent in the second quarter, 44.9 percent in the third quarter and 15.9 percent in the fourth quarter.</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marina segment, demand for wet slip storage increases during the summer months as customers contract for the summer boating season, which also drives non-storage revenue streams such as service, fuel and on-premises restaurants or convenience stores. Demand for dry storage increases during the winter season as seasonal weather patterns require boat owners to store their vessels on dry docks and within covered racks. As of March 31, 2022, we recognized $62.4 million of seasonal Real property revenue in the first quarter. Seasonal Real property revenue was $246.6 million for the year ended December 31, 2021. In 2021, Seasonal Real property revenue was recognized 17.7 percent in the first quarter, 25.0 percent in the second quarter, 29.9 percent in the third quarter and 27.4 percent in the fourth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Months Ended March 31, 2022 and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Property Operations - Total Portfolio</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reflect certain financial and other information for our Total Portfolio as of and for the three months ended March 31, 2022 and 2021 (in millions, except for statistical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8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jc w:val="right"/>
              <w:ind w:right="424"/>
              <w:spacing w:after="0"/>
              <w:rPr>
                <w:sz w:val="20"/>
                <w:szCs w:val="20"/>
                <w:color w:val="auto"/>
              </w:rPr>
            </w:pPr>
            <w:r>
              <w:rPr>
                <w:rFonts w:ascii="Arial" w:cs="Arial" w:eastAsia="Arial" w:hAnsi="Arial"/>
                <w:sz w:val="15"/>
                <w:szCs w:val="15"/>
                <w:b w:val="1"/>
                <w:bCs w:val="1"/>
                <w:color w:val="auto"/>
                <w:w w:val="97"/>
              </w:rPr>
              <w:t>Three Months Ended</w:t>
            </w: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96"/>
        </w:trPr>
        <w:tc>
          <w:tcPr>
            <w:tcW w:w="6840" w:type="dxa"/>
            <w:vAlign w:val="bottom"/>
          </w:tcPr>
          <w:p>
            <w:pPr>
              <w:spacing w:after="0"/>
              <w:rPr>
                <w:sz w:val="17"/>
                <w:szCs w:val="17"/>
                <w:color w:val="auto"/>
              </w:rPr>
            </w:pPr>
          </w:p>
        </w:tc>
        <w:tc>
          <w:tcPr>
            <w:tcW w:w="1260" w:type="dxa"/>
            <w:vAlign w:val="bottom"/>
            <w:gridSpan w:val="3"/>
          </w:tcPr>
          <w:p>
            <w:pPr>
              <w:ind w:left="80"/>
              <w:spacing w:after="0"/>
              <w:rPr>
                <w:sz w:val="20"/>
                <w:szCs w:val="20"/>
                <w:color w:val="auto"/>
              </w:rPr>
            </w:pPr>
            <w:r>
              <w:rPr>
                <w:rFonts w:ascii="Arial" w:cs="Arial" w:eastAsia="Arial" w:hAnsi="Arial"/>
                <w:sz w:val="15"/>
                <w:szCs w:val="15"/>
                <w:b w:val="1"/>
                <w:bCs w:val="1"/>
                <w:color w:val="auto"/>
              </w:rPr>
              <w:t>March 31, 2022</w:t>
            </w:r>
          </w:p>
        </w:tc>
        <w:tc>
          <w:tcPr>
            <w:tcW w:w="1280" w:type="dxa"/>
            <w:vAlign w:val="bottom"/>
            <w:gridSpan w:val="3"/>
          </w:tcPr>
          <w:p>
            <w:pPr>
              <w:ind w:left="100"/>
              <w:spacing w:after="0"/>
              <w:rPr>
                <w:sz w:val="20"/>
                <w:szCs w:val="20"/>
                <w:color w:val="auto"/>
              </w:rPr>
            </w:pPr>
            <w:r>
              <w:rPr>
                <w:rFonts w:ascii="Arial" w:cs="Arial" w:eastAsia="Arial" w:hAnsi="Arial"/>
                <w:sz w:val="15"/>
                <w:szCs w:val="15"/>
                <w:b w:val="1"/>
                <w:bCs w:val="1"/>
                <w:color w:val="auto"/>
              </w:rPr>
              <w:t>March 31, 2022</w:t>
            </w:r>
          </w:p>
        </w:tc>
        <w:tc>
          <w:tcPr>
            <w:tcW w:w="140" w:type="dxa"/>
            <w:vAlign w:val="bottom"/>
          </w:tcPr>
          <w:p>
            <w:pPr>
              <w:spacing w:after="0"/>
              <w:rPr>
                <w:sz w:val="17"/>
                <w:szCs w:val="17"/>
                <w:color w:val="auto"/>
              </w:rPr>
            </w:pPr>
          </w:p>
        </w:tc>
        <w:tc>
          <w:tcPr>
            <w:tcW w:w="720" w:type="dxa"/>
            <w:vAlign w:val="bottom"/>
          </w:tcPr>
          <w:p>
            <w:pPr>
              <w:jc w:val="right"/>
              <w:ind w:right="104"/>
              <w:spacing w:after="0"/>
              <w:rPr>
                <w:sz w:val="20"/>
                <w:szCs w:val="20"/>
                <w:color w:val="auto"/>
              </w:rPr>
            </w:pPr>
            <w:r>
              <w:rPr>
                <w:rFonts w:ascii="Arial" w:cs="Arial" w:eastAsia="Arial" w:hAnsi="Arial"/>
                <w:sz w:val="15"/>
                <w:szCs w:val="15"/>
                <w:b w:val="1"/>
                <w:bCs w:val="1"/>
                <w:color w:val="auto"/>
                <w:w w:val="94"/>
              </w:rPr>
              <w:t>Change</w:t>
            </w:r>
          </w:p>
        </w:tc>
        <w:tc>
          <w:tcPr>
            <w:tcW w:w="8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b w:val="1"/>
                <w:bCs w:val="1"/>
                <w:color w:val="auto"/>
              </w:rPr>
              <w:t>% Change</w:t>
            </w:r>
          </w:p>
        </w:tc>
      </w:tr>
      <w:tr>
        <w:trPr>
          <w:trHeight w:val="183"/>
        </w:trPr>
        <w:tc>
          <w:tcPr>
            <w:tcW w:w="6840" w:type="dxa"/>
            <w:vAlign w:val="bottom"/>
          </w:tcPr>
          <w:p>
            <w:pPr>
              <w:ind w:left="20"/>
              <w:spacing w:after="0"/>
              <w:rPr>
                <w:sz w:val="20"/>
                <w:szCs w:val="20"/>
                <w:color w:val="auto"/>
              </w:rPr>
            </w:pPr>
            <w:r>
              <w:rPr>
                <w:rFonts w:ascii="Arial" w:cs="Arial" w:eastAsia="Arial" w:hAnsi="Arial"/>
                <w:sz w:val="15"/>
                <w:szCs w:val="15"/>
                <w:b w:val="1"/>
                <w:bCs w:val="1"/>
                <w:color w:val="auto"/>
              </w:rPr>
              <w:t>Financial Information</w:t>
            </w:r>
          </w:p>
        </w:tc>
        <w:tc>
          <w:tcPr>
            <w:tcW w:w="4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207"/>
        </w:trPr>
        <w:tc>
          <w:tcPr>
            <w:tcW w:w="68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Revenue</w:t>
            </w: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8"/>
        </w:trPr>
        <w:tc>
          <w:tcPr>
            <w:tcW w:w="6840" w:type="dxa"/>
            <w:vAlign w:val="bottom"/>
          </w:tcPr>
          <w:p>
            <w:pPr>
              <w:ind w:left="240"/>
              <w:spacing w:after="0"/>
              <w:rPr>
                <w:sz w:val="20"/>
                <w:szCs w:val="20"/>
                <w:color w:val="auto"/>
              </w:rPr>
            </w:pPr>
            <w:r>
              <w:rPr>
                <w:rFonts w:ascii="Arial" w:cs="Arial" w:eastAsia="Arial" w:hAnsi="Arial"/>
                <w:sz w:val="15"/>
                <w:szCs w:val="15"/>
                <w:color w:val="auto"/>
              </w:rPr>
              <w:t>Real property (excluding transient)</w:t>
            </w: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306.7</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268.8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37.9</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14.1 %</w:t>
            </w:r>
          </w:p>
        </w:tc>
      </w:tr>
      <w:tr>
        <w:trPr>
          <w:trHeight w:val="207"/>
        </w:trPr>
        <w:tc>
          <w:tcPr>
            <w:tcW w:w="68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Real property - transient</w:t>
            </w: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38.5 %</w:t>
            </w:r>
          </w:p>
        </w:tc>
      </w:tr>
      <w:tr>
        <w:trPr>
          <w:trHeight w:val="198"/>
        </w:trPr>
        <w:tc>
          <w:tcPr>
            <w:tcW w:w="684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Other</w:t>
            </w: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24.6 %</w:t>
            </w:r>
          </w:p>
        </w:tc>
      </w:tr>
      <w:tr>
        <w:trPr>
          <w:trHeight w:val="200"/>
        </w:trPr>
        <w:tc>
          <w:tcPr>
            <w:tcW w:w="68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Operating</w:t>
            </w: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388.2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17.4 %</w:t>
            </w:r>
          </w:p>
        </w:tc>
      </w:tr>
      <w:tr>
        <w:trPr>
          <w:trHeight w:val="200"/>
        </w:trPr>
        <w:tc>
          <w:tcPr>
            <w:tcW w:w="6840" w:type="dxa"/>
            <w:vAlign w:val="bottom"/>
          </w:tcPr>
          <w:p>
            <w:pPr>
              <w:ind w:left="140"/>
              <w:spacing w:after="0"/>
              <w:rPr>
                <w:sz w:val="20"/>
                <w:szCs w:val="20"/>
                <w:color w:val="auto"/>
              </w:rPr>
            </w:pPr>
            <w:r>
              <w:rPr>
                <w:rFonts w:ascii="Arial" w:cs="Arial" w:eastAsia="Arial" w:hAnsi="Arial"/>
                <w:sz w:val="15"/>
                <w:szCs w:val="15"/>
                <w:b w:val="1"/>
                <w:bCs w:val="1"/>
                <w:color w:val="auto"/>
              </w:rPr>
              <w:t>Expense</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1"/>
        </w:trPr>
        <w:tc>
          <w:tcPr>
            <w:tcW w:w="68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Property Operating</w:t>
            </w:r>
          </w:p>
        </w:tc>
        <w:tc>
          <w:tcPr>
            <w:tcW w:w="4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23.3 %</w:t>
            </w:r>
          </w:p>
        </w:tc>
      </w:tr>
      <w:tr>
        <w:trPr>
          <w:trHeight w:val="200"/>
        </w:trPr>
        <w:tc>
          <w:tcPr>
            <w:tcW w:w="6840" w:type="dxa"/>
            <w:vAlign w:val="bottom"/>
          </w:tcPr>
          <w:p>
            <w:pPr>
              <w:ind w:left="240"/>
              <w:spacing w:after="0"/>
              <w:rPr>
                <w:sz w:val="20"/>
                <w:szCs w:val="20"/>
                <w:color w:val="auto"/>
              </w:rPr>
            </w:pPr>
            <w:r>
              <w:rPr>
                <w:rFonts w:ascii="Arial" w:cs="Arial" w:eastAsia="Arial" w:hAnsi="Arial"/>
                <w:sz w:val="15"/>
                <w:szCs w:val="15"/>
                <w:color w:val="auto"/>
              </w:rPr>
              <w:t>Real Property NOI</w:t>
            </w:r>
          </w:p>
        </w:tc>
        <w:tc>
          <w:tcPr>
            <w:tcW w:w="44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232.8</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204.6</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28.2</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13.8 %</w:t>
            </w:r>
          </w:p>
        </w:tc>
      </w:tr>
      <w:tr>
        <w:trPr>
          <w:trHeight w:val="21"/>
        </w:trPr>
        <w:tc>
          <w:tcPr>
            <w:tcW w:w="6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0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5"/>
                <w:szCs w:val="15"/>
                <w:b w:val="1"/>
                <w:bCs w:val="1"/>
                <w:color w:val="auto"/>
              </w:rPr>
              <w:t>As of</w:t>
            </w:r>
          </w:p>
        </w:tc>
        <w:tc>
          <w:tcPr>
            <w:tcW w:w="13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8"/>
        </w:trPr>
        <w:tc>
          <w:tcPr>
            <w:tcW w:w="6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Arial" w:cs="Arial" w:eastAsia="Arial" w:hAnsi="Arial"/>
                <w:sz w:val="15"/>
                <w:szCs w:val="15"/>
                <w:b w:val="1"/>
                <w:bCs w:val="1"/>
                <w:color w:val="auto"/>
              </w:rPr>
              <w:t>March 31, 2022</w:t>
            </w:r>
          </w:p>
        </w:tc>
        <w:tc>
          <w:tcPr>
            <w:tcW w:w="180" w:type="dxa"/>
            <w:vAlign w:val="bottom"/>
          </w:tcPr>
          <w:p>
            <w:pPr>
              <w:spacing w:after="0"/>
              <w:rPr>
                <w:sz w:val="17"/>
                <w:szCs w:val="17"/>
                <w:color w:val="auto"/>
              </w:rPr>
            </w:pPr>
          </w:p>
        </w:tc>
        <w:tc>
          <w:tcPr>
            <w:tcW w:w="1380" w:type="dxa"/>
            <w:vAlign w:val="bottom"/>
          </w:tcPr>
          <w:p>
            <w:pPr>
              <w:jc w:val="right"/>
              <w:ind w:right="204"/>
              <w:spacing w:after="0"/>
              <w:rPr>
                <w:sz w:val="20"/>
                <w:szCs w:val="20"/>
                <w:color w:val="auto"/>
              </w:rPr>
            </w:pPr>
            <w:r>
              <w:rPr>
                <w:rFonts w:ascii="Arial" w:cs="Arial" w:eastAsia="Arial" w:hAnsi="Arial"/>
                <w:sz w:val="15"/>
                <w:szCs w:val="15"/>
                <w:b w:val="1"/>
                <w:bCs w:val="1"/>
                <w:color w:val="auto"/>
              </w:rPr>
              <w:t>March 31, 2021</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ind w:right="484"/>
              <w:spacing w:after="0"/>
              <w:rPr>
                <w:sz w:val="20"/>
                <w:szCs w:val="20"/>
                <w:color w:val="auto"/>
              </w:rPr>
            </w:pPr>
            <w:r>
              <w:rPr>
                <w:rFonts w:ascii="Arial" w:cs="Arial" w:eastAsia="Arial" w:hAnsi="Arial"/>
                <w:sz w:val="15"/>
                <w:szCs w:val="15"/>
                <w:b w:val="1"/>
                <w:bCs w:val="1"/>
                <w:color w:val="auto"/>
              </w:rPr>
              <w:t>Change</w:t>
            </w:r>
          </w:p>
        </w:tc>
      </w:tr>
      <w:tr>
        <w:trPr>
          <w:trHeight w:val="183"/>
        </w:trPr>
        <w:tc>
          <w:tcPr>
            <w:tcW w:w="6020" w:type="dxa"/>
            <w:vAlign w:val="bottom"/>
          </w:tcPr>
          <w:p>
            <w:pPr>
              <w:ind w:left="20"/>
              <w:spacing w:after="0"/>
              <w:rPr>
                <w:sz w:val="20"/>
                <w:szCs w:val="20"/>
                <w:color w:val="auto"/>
              </w:rPr>
            </w:pPr>
            <w:r>
              <w:rPr>
                <w:rFonts w:ascii="Arial" w:cs="Arial" w:eastAsia="Arial" w:hAnsi="Arial"/>
                <w:sz w:val="15"/>
                <w:szCs w:val="15"/>
                <w:b w:val="1"/>
                <w:bCs w:val="1"/>
                <w:color w:val="auto"/>
              </w:rPr>
              <w:t>Other Information</w:t>
            </w:r>
          </w:p>
        </w:tc>
        <w:tc>
          <w:tcPr>
            <w:tcW w:w="2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07"/>
        </w:trPr>
        <w:tc>
          <w:tcPr>
            <w:tcW w:w="6020" w:type="dxa"/>
            <w:vAlign w:val="bottom"/>
            <w:shd w:val="clear" w:color="auto" w:fill="CCEEFF"/>
          </w:tcPr>
          <w:p>
            <w:pPr>
              <w:ind w:left="140"/>
              <w:spacing w:after="0" w:line="206" w:lineRule="exact"/>
              <w:rPr>
                <w:sz w:val="20"/>
                <w:szCs w:val="20"/>
                <w:color w:val="auto"/>
              </w:rPr>
            </w:pPr>
            <w:r>
              <w:rPr>
                <w:rFonts w:ascii="Arial" w:cs="Arial" w:eastAsia="Arial" w:hAnsi="Arial"/>
                <w:sz w:val="15"/>
                <w:szCs w:val="15"/>
                <w:color w:val="auto"/>
              </w:rPr>
              <w:t>Number of properties</w:t>
            </w:r>
            <w:r>
              <w:rPr>
                <w:rFonts w:ascii="Arial" w:cs="Arial" w:eastAsia="Arial" w:hAnsi="Arial"/>
                <w:sz w:val="19"/>
                <w:szCs w:val="19"/>
                <w:color w:val="auto"/>
                <w:vertAlign w:val="superscript"/>
              </w:rPr>
              <w:t>(1)</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603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562</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41</w:t>
            </w:r>
          </w:p>
        </w:tc>
      </w:tr>
      <w:tr>
        <w:trPr>
          <w:trHeight w:val="216"/>
        </w:trPr>
        <w:tc>
          <w:tcPr>
            <w:tcW w:w="6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MH occupancy</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96.7 %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6020" w:type="dxa"/>
            <w:vAlign w:val="bottom"/>
          </w:tcPr>
          <w:p>
            <w:pPr>
              <w:ind w:left="140"/>
              <w:spacing w:after="0" w:line="203" w:lineRule="exact"/>
              <w:rPr>
                <w:sz w:val="20"/>
                <w:szCs w:val="20"/>
                <w:color w:val="auto"/>
              </w:rPr>
            </w:pPr>
            <w:r>
              <w:rPr>
                <w:rFonts w:ascii="Arial" w:cs="Arial" w:eastAsia="Arial" w:hAnsi="Arial"/>
                <w:sz w:val="15"/>
                <w:szCs w:val="15"/>
                <w:color w:val="auto"/>
              </w:rPr>
              <w:t>RV occupancy</w:t>
            </w:r>
            <w:r>
              <w:rPr>
                <w:rFonts w:ascii="Arial" w:cs="Arial" w:eastAsia="Arial" w:hAnsi="Arial"/>
                <w:sz w:val="19"/>
                <w:szCs w:val="19"/>
                <w:color w:val="auto"/>
                <w:vertAlign w:val="superscript"/>
              </w:rPr>
              <w:t>(2)</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100.0 %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020" w:type="dxa"/>
            <w:vAlign w:val="bottom"/>
            <w:shd w:val="clear" w:color="auto" w:fill="CCEEFF"/>
          </w:tcPr>
          <w:p>
            <w:pPr>
              <w:ind w:left="140"/>
              <w:spacing w:after="0" w:line="203" w:lineRule="exact"/>
              <w:rPr>
                <w:sz w:val="20"/>
                <w:szCs w:val="20"/>
                <w:color w:val="auto"/>
              </w:rPr>
            </w:pPr>
            <w:r>
              <w:rPr>
                <w:rFonts w:ascii="Arial" w:cs="Arial" w:eastAsia="Arial" w:hAnsi="Arial"/>
                <w:sz w:val="15"/>
                <w:szCs w:val="15"/>
                <w:color w:val="auto"/>
              </w:rPr>
              <w:t>MH &amp; RV blended occupancy</w:t>
            </w:r>
            <w:r>
              <w:rPr>
                <w:rFonts w:ascii="Arial" w:cs="Arial" w:eastAsia="Arial" w:hAnsi="Arial"/>
                <w:sz w:val="19"/>
                <w:szCs w:val="19"/>
                <w:color w:val="auto"/>
                <w:vertAlign w:val="superscript"/>
              </w:rPr>
              <w:t>(3)</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97.5 %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97.3 %</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0.2 %</w:t>
            </w:r>
          </w:p>
        </w:tc>
      </w:tr>
      <w:tr>
        <w:trPr>
          <w:trHeight w:val="216"/>
        </w:trPr>
        <w:tc>
          <w:tcPr>
            <w:tcW w:w="6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Sites available for MH &amp; RV development</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11,377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9,646</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1,731</w:t>
            </w:r>
          </w:p>
        </w:tc>
      </w:tr>
      <w:tr>
        <w:trPr>
          <w:trHeight w:val="216"/>
        </w:trPr>
        <w:tc>
          <w:tcPr>
            <w:tcW w:w="6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2"/>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Monthly base rent per site - MH</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615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598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97"/>
              </w:rPr>
              <w:t>(5)</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17</w:t>
            </w:r>
          </w:p>
        </w:tc>
      </w:tr>
      <w:tr>
        <w:trPr>
          <w:trHeight w:val="203"/>
        </w:trPr>
        <w:tc>
          <w:tcPr>
            <w:tcW w:w="6020" w:type="dxa"/>
            <w:vAlign w:val="bottom"/>
          </w:tcPr>
          <w:p>
            <w:pPr>
              <w:ind w:left="140"/>
              <w:spacing w:after="0" w:line="203" w:lineRule="exact"/>
              <w:rPr>
                <w:sz w:val="20"/>
                <w:szCs w:val="20"/>
                <w:color w:val="auto"/>
              </w:rPr>
            </w:pPr>
            <w:r>
              <w:rPr>
                <w:rFonts w:ascii="Arial" w:cs="Arial" w:eastAsia="Arial" w:hAnsi="Arial"/>
                <w:sz w:val="15"/>
                <w:szCs w:val="15"/>
                <w:color w:val="auto"/>
              </w:rPr>
              <w:t>Monthly base rent per site - RV</w:t>
            </w:r>
            <w:r>
              <w:rPr>
                <w:rFonts w:ascii="Arial" w:cs="Arial" w:eastAsia="Arial" w:hAnsi="Arial"/>
                <w:sz w:val="19"/>
                <w:szCs w:val="19"/>
                <w:color w:val="auto"/>
                <w:vertAlign w:val="superscript"/>
              </w:rPr>
              <w:t>(4)</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104"/>
              <w:spacing w:after="0"/>
              <w:rPr>
                <w:sz w:val="20"/>
                <w:szCs w:val="20"/>
                <w:color w:val="auto"/>
              </w:rPr>
            </w:pPr>
            <w:r>
              <w:rPr>
                <w:rFonts w:ascii="Arial" w:cs="Arial" w:eastAsia="Arial" w:hAnsi="Arial"/>
                <w:sz w:val="15"/>
                <w:szCs w:val="15"/>
                <w:color w:val="auto"/>
              </w:rPr>
              <w:t>542</w:t>
            </w:r>
          </w:p>
        </w:tc>
        <w:tc>
          <w:tcPr>
            <w:tcW w:w="12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104"/>
              <w:spacing w:after="0"/>
              <w:rPr>
                <w:sz w:val="20"/>
                <w:szCs w:val="20"/>
                <w:color w:val="auto"/>
              </w:rPr>
            </w:pPr>
            <w:r>
              <w:rPr>
                <w:rFonts w:ascii="Arial" w:cs="Arial" w:eastAsia="Arial" w:hAnsi="Arial"/>
                <w:sz w:val="15"/>
                <w:szCs w:val="15"/>
                <w:color w:val="auto"/>
              </w:rPr>
              <w:t>522</w:t>
            </w:r>
          </w:p>
        </w:tc>
        <w:tc>
          <w:tcPr>
            <w:tcW w:w="280" w:type="dxa"/>
            <w:vAlign w:val="bottom"/>
          </w:tcPr>
          <w:p>
            <w:pPr>
              <w:jc w:val="right"/>
              <w:ind w:right="90"/>
              <w:spacing w:after="0"/>
              <w:rPr>
                <w:sz w:val="20"/>
                <w:szCs w:val="20"/>
                <w:color w:val="auto"/>
              </w:rPr>
            </w:pPr>
            <w:r>
              <w:rPr>
                <w:rFonts w:ascii="Arial" w:cs="Arial" w:eastAsia="Arial" w:hAnsi="Arial"/>
                <w:sz w:val="10"/>
                <w:szCs w:val="10"/>
                <w:color w:val="auto"/>
                <w:w w:val="97"/>
              </w:rPr>
              <w:t>(5)</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124"/>
              <w:spacing w:after="0"/>
              <w:rPr>
                <w:sz w:val="20"/>
                <w:szCs w:val="20"/>
                <w:color w:val="auto"/>
              </w:rPr>
            </w:pPr>
            <w:r>
              <w:rPr>
                <w:rFonts w:ascii="Arial" w:cs="Arial" w:eastAsia="Arial" w:hAnsi="Arial"/>
                <w:sz w:val="15"/>
                <w:szCs w:val="15"/>
                <w:color w:val="auto"/>
              </w:rPr>
              <w:t>20</w:t>
            </w:r>
          </w:p>
        </w:tc>
      </w:tr>
      <w:tr>
        <w:trPr>
          <w:trHeight w:val="203"/>
        </w:trPr>
        <w:tc>
          <w:tcPr>
            <w:tcW w:w="60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Monthly base rent per site - Total</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597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580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97"/>
              </w:rPr>
              <w:t>(5)</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17</w:t>
            </w:r>
          </w:p>
        </w:tc>
      </w:tr>
    </w:tbl>
    <w:p>
      <w:pPr>
        <w:spacing w:after="0" w:line="51" w:lineRule="exact"/>
        <w:rPr>
          <w:sz w:val="20"/>
          <w:szCs w:val="20"/>
          <w:color w:val="auto"/>
        </w:rPr>
      </w:pPr>
    </w:p>
    <w:p>
      <w:pPr>
        <w:ind w:left="160" w:hanging="152"/>
        <w:spacing w:after="0"/>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Includes MH communities, RV resorts and marinas.</w:t>
      </w:r>
    </w:p>
    <w:p>
      <w:pPr>
        <w:spacing w:after="0" w:line="45"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Occupancy percentages include annual RV sites and exclude transient RV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Occupancy percentages include MH and annual RV sites, and exclude transient RV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Monthly base rent pertains to annual RV sites and excludes transient RV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Canadian currency figures included within the three months ended March 31, 2021 have been translated at 2022 average exchange rates.</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2022, the $28.2 million increase in Real Property NOI consists of $13.6 million from Same Property MH and RV and $0.3 million from Same Property marina as detailed below, and $14.3 million from recently acquired properties as compared to the same period in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Property Operations - Same Property</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key management tool used when evaluating performance and growth of our properties is a comparison of the Same Property portfolio. Same Property refers to properties that we have owned for at least the preceding year, exclusive of properties recently completed or under construction, and other properties as determined by management. The Same Property data may change from time-to-time depending on acquisitions, dispositions, management discretion, significant transactions or unique situations. In order to evaluate the growth of the Same Property portfolio, management has classified certain items differently than our GAAP statements. The reclassification difference between our GAAP statements and our Same Property portfolio is the reclassification of utility revenues from real property revenue to operating expenses. A significant portion of our utility charges are re-billed to our residents.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Property Operations - Same Property - MH and RV</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reflect certain financial and other information for our Same Property MH and RV as of and for the three months ended March 31, 2022 and 2021 (in millions, except for statistical information).</w:t>
      </w: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5"/>
          <w:szCs w:val="15"/>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4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120" w:type="dxa"/>
            <w:vAlign w:val="bottom"/>
            <w:tcBorders>
              <w:top w:val="single" w:sz="8" w:color="auto"/>
            </w:tcBorders>
            <w:gridSpan w:val="10"/>
          </w:tcPr>
          <w:p>
            <w:pPr>
              <w:ind w:left="280"/>
              <w:spacing w:after="0"/>
              <w:rPr>
                <w:sz w:val="20"/>
                <w:szCs w:val="20"/>
                <w:color w:val="auto"/>
              </w:rPr>
            </w:pPr>
            <w:r>
              <w:rPr>
                <w:rFonts w:ascii="Arial" w:cs="Arial" w:eastAsia="Arial" w:hAnsi="Arial"/>
                <w:sz w:val="15"/>
                <w:szCs w:val="15"/>
                <w:b w:val="1"/>
                <w:bCs w:val="1"/>
                <w:color w:val="auto"/>
              </w:rPr>
              <w:t>Total Same Property - MH and RV</w:t>
            </w: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ind w:left="420"/>
              <w:spacing w:after="0"/>
              <w:rPr>
                <w:sz w:val="20"/>
                <w:szCs w:val="20"/>
                <w:color w:val="auto"/>
              </w:rPr>
            </w:pPr>
            <w:r>
              <w:rPr>
                <w:rFonts w:ascii="Arial" w:cs="Arial" w:eastAsia="Arial" w:hAnsi="Arial"/>
                <w:sz w:val="15"/>
                <w:szCs w:val="15"/>
                <w:b w:val="1"/>
                <w:bCs w:val="1"/>
                <w:color w:val="auto"/>
              </w:rPr>
              <w:t>MH</w:t>
            </w:r>
          </w:p>
        </w:tc>
        <w:tc>
          <w:tcPr>
            <w:tcW w:w="1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ind w:left="420"/>
              <w:spacing w:after="0"/>
              <w:rPr>
                <w:sz w:val="20"/>
                <w:szCs w:val="20"/>
                <w:color w:val="auto"/>
              </w:rPr>
            </w:pPr>
            <w:r>
              <w:rPr>
                <w:rFonts w:ascii="Arial" w:cs="Arial" w:eastAsia="Arial" w:hAnsi="Arial"/>
                <w:sz w:val="15"/>
                <w:szCs w:val="15"/>
                <w:b w:val="1"/>
                <w:bCs w:val="1"/>
                <w:color w:val="auto"/>
              </w:rPr>
              <w:t>RV</w:t>
            </w:r>
          </w:p>
        </w:tc>
        <w:tc>
          <w:tcPr>
            <w:tcW w:w="1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420" w:type="dxa"/>
            <w:vAlign w:val="bottom"/>
          </w:tcPr>
          <w:p>
            <w:pPr>
              <w:spacing w:after="0"/>
              <w:rPr>
                <w:sz w:val="12"/>
                <w:szCs w:val="12"/>
                <w:color w:val="auto"/>
              </w:rPr>
            </w:pPr>
          </w:p>
        </w:tc>
        <w:tc>
          <w:tcPr>
            <w:tcW w:w="880" w:type="dxa"/>
            <w:vAlign w:val="bottom"/>
            <w:tcBorders>
              <w:top w:val="single" w:sz="8" w:color="auto"/>
            </w:tcBorders>
            <w:gridSpan w:val="3"/>
          </w:tcPr>
          <w:p>
            <w:pPr>
              <w:ind w:left="60"/>
              <w:spacing w:after="0" w:line="144" w:lineRule="exact"/>
              <w:rPr>
                <w:sz w:val="20"/>
                <w:szCs w:val="20"/>
                <w:color w:val="auto"/>
              </w:rPr>
            </w:pPr>
            <w:r>
              <w:rPr>
                <w:rFonts w:ascii="Arial" w:cs="Arial" w:eastAsia="Arial" w:hAnsi="Arial"/>
                <w:sz w:val="15"/>
                <w:szCs w:val="15"/>
                <w:b w:val="1"/>
                <w:bCs w:val="1"/>
                <w:color w:val="auto"/>
              </w:rPr>
              <w:t>March 31,</w:t>
            </w:r>
          </w:p>
        </w:tc>
        <w:tc>
          <w:tcPr>
            <w:tcW w:w="880" w:type="dxa"/>
            <w:vAlign w:val="bottom"/>
            <w:tcBorders>
              <w:top w:val="single" w:sz="8" w:color="auto"/>
            </w:tcBorders>
            <w:gridSpan w:val="3"/>
          </w:tcPr>
          <w:p>
            <w:pPr>
              <w:ind w:left="60"/>
              <w:spacing w:after="0" w:line="144" w:lineRule="exact"/>
              <w:rPr>
                <w:sz w:val="20"/>
                <w:szCs w:val="20"/>
                <w:color w:val="auto"/>
              </w:rPr>
            </w:pPr>
            <w:r>
              <w:rPr>
                <w:rFonts w:ascii="Arial" w:cs="Arial" w:eastAsia="Arial" w:hAnsi="Arial"/>
                <w:sz w:val="15"/>
                <w:szCs w:val="15"/>
                <w:b w:val="1"/>
                <w:bCs w:val="1"/>
                <w:color w:val="auto"/>
              </w:rPr>
              <w:t>March 31,</w:t>
            </w:r>
          </w:p>
        </w:tc>
        <w:tc>
          <w:tcPr>
            <w:tcW w:w="5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5"/>
                <w:szCs w:val="15"/>
                <w:b w:val="1"/>
                <w:bCs w:val="1"/>
                <w:color w:val="auto"/>
                <w:w w:val="94"/>
              </w:rPr>
              <w:t>Change</w:t>
            </w:r>
          </w:p>
        </w:tc>
        <w:tc>
          <w:tcPr>
            <w:tcW w:w="860" w:type="dxa"/>
            <w:vAlign w:val="bottom"/>
            <w:tcBorders>
              <w:top w:val="single" w:sz="8" w:color="auto"/>
            </w:tcBorders>
            <w:gridSpan w:val="2"/>
          </w:tcPr>
          <w:p>
            <w:pPr>
              <w:jc w:val="right"/>
              <w:ind w:right="244"/>
              <w:spacing w:after="0" w:line="144" w:lineRule="exact"/>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2"/>
                <w:szCs w:val="12"/>
                <w:color w:val="auto"/>
              </w:rPr>
            </w:pPr>
          </w:p>
        </w:tc>
        <w:tc>
          <w:tcPr>
            <w:tcW w:w="880" w:type="dxa"/>
            <w:vAlign w:val="bottom"/>
            <w:tcBorders>
              <w:top w:val="single" w:sz="8" w:color="auto"/>
            </w:tcBorders>
            <w:gridSpan w:val="3"/>
          </w:tcPr>
          <w:p>
            <w:pPr>
              <w:ind w:left="60"/>
              <w:spacing w:after="0" w:line="144" w:lineRule="exact"/>
              <w:rPr>
                <w:sz w:val="20"/>
                <w:szCs w:val="20"/>
                <w:color w:val="auto"/>
              </w:rPr>
            </w:pPr>
            <w:r>
              <w:rPr>
                <w:rFonts w:ascii="Arial" w:cs="Arial" w:eastAsia="Arial" w:hAnsi="Arial"/>
                <w:sz w:val="15"/>
                <w:szCs w:val="15"/>
                <w:b w:val="1"/>
                <w:bCs w:val="1"/>
                <w:color w:val="auto"/>
              </w:rPr>
              <w:t>March 31,</w:t>
            </w:r>
          </w:p>
        </w:tc>
        <w:tc>
          <w:tcPr>
            <w:tcW w:w="880" w:type="dxa"/>
            <w:vAlign w:val="bottom"/>
            <w:tcBorders>
              <w:top w:val="single" w:sz="8" w:color="auto"/>
            </w:tcBorders>
            <w:gridSpan w:val="3"/>
          </w:tcPr>
          <w:p>
            <w:pPr>
              <w:ind w:left="60"/>
              <w:spacing w:after="0" w:line="144" w:lineRule="exact"/>
              <w:rPr>
                <w:sz w:val="20"/>
                <w:szCs w:val="20"/>
                <w:color w:val="auto"/>
              </w:rPr>
            </w:pPr>
            <w:r>
              <w:rPr>
                <w:rFonts w:ascii="Arial" w:cs="Arial" w:eastAsia="Arial" w:hAnsi="Arial"/>
                <w:sz w:val="15"/>
                <w:szCs w:val="15"/>
                <w:b w:val="1"/>
                <w:bCs w:val="1"/>
                <w:color w:val="auto"/>
              </w:rPr>
              <w:t>March 31,</w:t>
            </w:r>
          </w:p>
        </w:tc>
        <w:tc>
          <w:tcPr>
            <w:tcW w:w="5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5"/>
                <w:szCs w:val="15"/>
                <w:b w:val="1"/>
                <w:bCs w:val="1"/>
                <w:color w:val="auto"/>
                <w:w w:val="90"/>
              </w:rPr>
              <w:t>Change</w:t>
            </w:r>
          </w:p>
        </w:tc>
        <w:tc>
          <w:tcPr>
            <w:tcW w:w="880" w:type="dxa"/>
            <w:vAlign w:val="bottom"/>
            <w:tcBorders>
              <w:top w:val="single" w:sz="8" w:color="auto"/>
            </w:tcBorders>
            <w:gridSpan w:val="2"/>
          </w:tcPr>
          <w:p>
            <w:pPr>
              <w:jc w:val="right"/>
              <w:ind w:right="244"/>
              <w:spacing w:after="0" w:line="144" w:lineRule="exact"/>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2"/>
                <w:szCs w:val="12"/>
                <w:color w:val="auto"/>
              </w:rPr>
            </w:pPr>
          </w:p>
        </w:tc>
        <w:tc>
          <w:tcPr>
            <w:tcW w:w="880" w:type="dxa"/>
            <w:vAlign w:val="bottom"/>
            <w:tcBorders>
              <w:top w:val="single" w:sz="8" w:color="auto"/>
            </w:tcBorders>
            <w:gridSpan w:val="3"/>
          </w:tcPr>
          <w:p>
            <w:pPr>
              <w:ind w:left="60"/>
              <w:spacing w:after="0" w:line="144" w:lineRule="exact"/>
              <w:rPr>
                <w:sz w:val="20"/>
                <w:szCs w:val="20"/>
                <w:color w:val="auto"/>
              </w:rPr>
            </w:pPr>
            <w:r>
              <w:rPr>
                <w:rFonts w:ascii="Arial" w:cs="Arial" w:eastAsia="Arial" w:hAnsi="Arial"/>
                <w:sz w:val="15"/>
                <w:szCs w:val="15"/>
                <w:b w:val="1"/>
                <w:bCs w:val="1"/>
                <w:color w:val="auto"/>
              </w:rPr>
              <w:t>March 31,</w:t>
            </w:r>
          </w:p>
        </w:tc>
        <w:tc>
          <w:tcPr>
            <w:tcW w:w="900" w:type="dxa"/>
            <w:vAlign w:val="bottom"/>
            <w:tcBorders>
              <w:top w:val="single" w:sz="8" w:color="auto"/>
            </w:tcBorders>
            <w:gridSpan w:val="3"/>
          </w:tcPr>
          <w:p>
            <w:pPr>
              <w:ind w:left="80"/>
              <w:spacing w:after="0" w:line="144" w:lineRule="exact"/>
              <w:rPr>
                <w:sz w:val="20"/>
                <w:szCs w:val="20"/>
                <w:color w:val="auto"/>
              </w:rPr>
            </w:pPr>
            <w:r>
              <w:rPr>
                <w:rFonts w:ascii="Arial" w:cs="Arial" w:eastAsia="Arial" w:hAnsi="Arial"/>
                <w:sz w:val="15"/>
                <w:szCs w:val="15"/>
                <w:b w:val="1"/>
                <w:bCs w:val="1"/>
                <w:color w:val="auto"/>
              </w:rPr>
              <w:t>March 31,</w:t>
            </w:r>
          </w:p>
        </w:tc>
        <w:tc>
          <w:tcPr>
            <w:tcW w:w="5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5"/>
                <w:szCs w:val="15"/>
                <w:b w:val="1"/>
                <w:bCs w:val="1"/>
                <w:color w:val="auto"/>
                <w:w w:val="90"/>
              </w:rPr>
              <w:t>Change</w:t>
            </w:r>
          </w:p>
        </w:tc>
        <w:tc>
          <w:tcPr>
            <w:tcW w:w="880" w:type="dxa"/>
            <w:vAlign w:val="bottom"/>
            <w:tcBorders>
              <w:top w:val="single" w:sz="8" w:color="auto"/>
            </w:tcBorders>
            <w:gridSpan w:val="2"/>
          </w:tcPr>
          <w:p>
            <w:pPr>
              <w:jc w:val="right"/>
              <w:ind w:right="244"/>
              <w:spacing w:after="0" w:line="144"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164"/>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164"/>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ind w:left="80"/>
              <w:spacing w:after="0" w:line="203" w:lineRule="exact"/>
              <w:rPr>
                <w:sz w:val="20"/>
                <w:szCs w:val="20"/>
                <w:color w:val="auto"/>
              </w:rPr>
            </w:pPr>
            <w:r>
              <w:rPr>
                <w:rFonts w:ascii="Arial" w:cs="Arial" w:eastAsia="Arial" w:hAnsi="Arial"/>
                <w:sz w:val="15"/>
                <w:szCs w:val="15"/>
                <w:b w:val="1"/>
                <w:bCs w:val="1"/>
                <w:color w:val="auto"/>
              </w:rPr>
              <w:t>Change</w:t>
            </w:r>
            <w:r>
              <w:rPr>
                <w:rFonts w:ascii="Arial" w:cs="Arial" w:eastAsia="Arial" w:hAnsi="Arial"/>
                <w:sz w:val="19"/>
                <w:szCs w:val="19"/>
                <w:color w:val="auto"/>
                <w:vertAlign w:val="superscript"/>
              </w:rPr>
              <w:t>(1)</w:t>
            </w:r>
          </w:p>
        </w:tc>
        <w:tc>
          <w:tcPr>
            <w:tcW w:w="160" w:type="dxa"/>
            <w:vAlign w:val="bottom"/>
          </w:tcPr>
          <w:p>
            <w:pPr>
              <w:spacing w:after="0"/>
              <w:rPr>
                <w:sz w:val="17"/>
                <w:szCs w:val="17"/>
                <w:color w:val="auto"/>
              </w:rPr>
            </w:pPr>
          </w:p>
        </w:tc>
        <w:tc>
          <w:tcPr>
            <w:tcW w:w="640" w:type="dxa"/>
            <w:vAlign w:val="bottom"/>
          </w:tcPr>
          <w:p>
            <w:pPr>
              <w:jc w:val="right"/>
              <w:ind w:right="164"/>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184"/>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ind w:left="100"/>
              <w:spacing w:after="0" w:line="203" w:lineRule="exact"/>
              <w:rPr>
                <w:sz w:val="20"/>
                <w:szCs w:val="20"/>
                <w:color w:val="auto"/>
              </w:rPr>
            </w:pPr>
            <w:r>
              <w:rPr>
                <w:rFonts w:ascii="Arial" w:cs="Arial" w:eastAsia="Arial" w:hAnsi="Arial"/>
                <w:sz w:val="15"/>
                <w:szCs w:val="15"/>
                <w:b w:val="1"/>
                <w:bCs w:val="1"/>
                <w:color w:val="auto"/>
              </w:rPr>
              <w:t>Change</w:t>
            </w:r>
            <w:r>
              <w:rPr>
                <w:rFonts w:ascii="Arial" w:cs="Arial" w:eastAsia="Arial" w:hAnsi="Arial"/>
                <w:sz w:val="19"/>
                <w:szCs w:val="19"/>
                <w:color w:val="auto"/>
                <w:vertAlign w:val="superscript"/>
              </w:rPr>
              <w:t>(1)</w:t>
            </w:r>
          </w:p>
        </w:tc>
        <w:tc>
          <w:tcPr>
            <w:tcW w:w="160" w:type="dxa"/>
            <w:vAlign w:val="bottom"/>
          </w:tcPr>
          <w:p>
            <w:pPr>
              <w:spacing w:after="0"/>
              <w:rPr>
                <w:sz w:val="17"/>
                <w:szCs w:val="17"/>
                <w:color w:val="auto"/>
              </w:rPr>
            </w:pPr>
          </w:p>
        </w:tc>
        <w:tc>
          <w:tcPr>
            <w:tcW w:w="640" w:type="dxa"/>
            <w:vAlign w:val="bottom"/>
          </w:tcPr>
          <w:p>
            <w:pPr>
              <w:jc w:val="right"/>
              <w:ind w:right="164"/>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84"/>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4"/>
              <w:spacing w:after="0" w:line="203" w:lineRule="exact"/>
              <w:rPr>
                <w:sz w:val="20"/>
                <w:szCs w:val="20"/>
                <w:color w:val="auto"/>
              </w:rPr>
            </w:pPr>
            <w:r>
              <w:rPr>
                <w:rFonts w:ascii="Arial" w:cs="Arial" w:eastAsia="Arial" w:hAnsi="Arial"/>
                <w:sz w:val="15"/>
                <w:szCs w:val="15"/>
                <w:b w:val="1"/>
                <w:bCs w:val="1"/>
                <w:color w:val="auto"/>
                <w:w w:val="99"/>
              </w:rPr>
              <w:t>Change</w:t>
            </w:r>
            <w:r>
              <w:rPr>
                <w:rFonts w:ascii="Arial" w:cs="Arial" w:eastAsia="Arial" w:hAnsi="Arial"/>
                <w:sz w:val="19"/>
                <w:szCs w:val="19"/>
                <w:color w:val="auto"/>
                <w:w w:val="99"/>
                <w:vertAlign w:val="superscript"/>
              </w:rPr>
              <w:t>(1)</w:t>
            </w:r>
          </w:p>
        </w:tc>
        <w:tc>
          <w:tcPr>
            <w:tcW w:w="0" w:type="dxa"/>
            <w:vAlign w:val="bottom"/>
          </w:tcPr>
          <w:p>
            <w:pPr>
              <w:spacing w:after="0"/>
              <w:rPr>
                <w:sz w:val="1"/>
                <w:szCs w:val="1"/>
                <w:color w:val="auto"/>
              </w:rPr>
            </w:pPr>
          </w:p>
        </w:tc>
      </w:tr>
      <w:tr>
        <w:trPr>
          <w:trHeight w:val="128"/>
        </w:trPr>
        <w:tc>
          <w:tcPr>
            <w:tcW w:w="14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Financial</w:t>
            </w: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4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Information</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420" w:type="dxa"/>
            <w:vAlign w:val="bottom"/>
          </w:tcPr>
          <w:p>
            <w:pPr>
              <w:ind w:left="140"/>
              <w:spacing w:after="0"/>
              <w:rPr>
                <w:sz w:val="20"/>
                <w:szCs w:val="20"/>
                <w:color w:val="auto"/>
              </w:rPr>
            </w:pPr>
            <w:r>
              <w:rPr>
                <w:rFonts w:ascii="Arial" w:cs="Arial" w:eastAsia="Arial" w:hAnsi="Arial"/>
                <w:sz w:val="15"/>
                <w:szCs w:val="15"/>
                <w:b w:val="1"/>
                <w:bCs w:val="1"/>
                <w:color w:val="auto"/>
              </w:rPr>
              <w:t>Revenue</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420" w:type="dxa"/>
            <w:vAlign w:val="bottom"/>
            <w:shd w:val="clear" w:color="auto" w:fill="CCEEFF"/>
          </w:tcPr>
          <w:p>
            <w:pPr>
              <w:ind w:left="240"/>
              <w:spacing w:after="0" w:line="151" w:lineRule="exact"/>
              <w:rPr>
                <w:sz w:val="20"/>
                <w:szCs w:val="20"/>
                <w:color w:val="auto"/>
              </w:rPr>
            </w:pPr>
            <w:r>
              <w:rPr>
                <w:rFonts w:ascii="Arial" w:cs="Arial" w:eastAsia="Arial" w:hAnsi="Arial"/>
                <w:sz w:val="15"/>
                <w:szCs w:val="15"/>
                <w:color w:val="auto"/>
              </w:rPr>
              <w:t>Real property</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20" w:type="dxa"/>
            <w:vAlign w:val="bottom"/>
            <w:shd w:val="clear" w:color="auto" w:fill="CCEEFF"/>
          </w:tcPr>
          <w:p>
            <w:pPr>
              <w:ind w:left="240"/>
              <w:spacing w:after="0" w:line="149" w:lineRule="exact"/>
              <w:rPr>
                <w:sz w:val="20"/>
                <w:szCs w:val="20"/>
                <w:color w:val="auto"/>
              </w:rPr>
            </w:pPr>
            <w:r>
              <w:rPr>
                <w:rFonts w:ascii="Arial" w:cs="Arial" w:eastAsia="Arial" w:hAnsi="Arial"/>
                <w:sz w:val="15"/>
                <w:szCs w:val="15"/>
                <w:color w:val="auto"/>
              </w:rPr>
              <w:t>(excluding</w:t>
            </w:r>
          </w:p>
        </w:tc>
        <w:tc>
          <w:tcPr>
            <w:tcW w:w="1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233.1</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218.7</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4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14.4</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6.6 %</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182.4</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174.9</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380" w:type="dxa"/>
            <w:vAlign w:val="bottom"/>
            <w:vMerge w:val="restart"/>
            <w:shd w:val="clear" w:color="auto" w:fill="CCEEFF"/>
          </w:tcPr>
          <w:p>
            <w:pPr>
              <w:jc w:val="center"/>
              <w:ind w:left="4"/>
              <w:spacing w:after="0"/>
              <w:rPr>
                <w:sz w:val="20"/>
                <w:szCs w:val="20"/>
                <w:color w:val="auto"/>
              </w:rPr>
            </w:pPr>
            <w:r>
              <w:rPr>
                <w:rFonts w:ascii="Arial" w:cs="Arial" w:eastAsia="Arial" w:hAnsi="Arial"/>
                <w:sz w:val="15"/>
                <w:szCs w:val="15"/>
                <w:color w:val="auto"/>
                <w:w w:val="86"/>
              </w:rPr>
              <w:t>7.5</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4.3 %</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50.7</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43.8</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15.5 %</w:t>
            </w:r>
          </w:p>
        </w:tc>
        <w:tc>
          <w:tcPr>
            <w:tcW w:w="0" w:type="dxa"/>
            <w:vAlign w:val="bottom"/>
          </w:tcPr>
          <w:p>
            <w:pPr>
              <w:spacing w:after="0"/>
              <w:rPr>
                <w:sz w:val="1"/>
                <w:szCs w:val="1"/>
                <w:color w:val="auto"/>
              </w:rPr>
            </w:pPr>
          </w:p>
        </w:tc>
      </w:tr>
      <w:tr>
        <w:trPr>
          <w:trHeight w:val="202"/>
        </w:trPr>
        <w:tc>
          <w:tcPr>
            <w:tcW w:w="14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transient)</w:t>
            </w:r>
          </w:p>
        </w:tc>
        <w:tc>
          <w:tcPr>
            <w:tcW w:w="18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240"/>
              <w:spacing w:after="0" w:line="149" w:lineRule="exact"/>
              <w:rPr>
                <w:sz w:val="20"/>
                <w:szCs w:val="20"/>
                <w:color w:val="auto"/>
              </w:rPr>
            </w:pPr>
            <w:r>
              <w:rPr>
                <w:rFonts w:ascii="Arial" w:cs="Arial" w:eastAsia="Arial" w:hAnsi="Arial"/>
                <w:sz w:val="15"/>
                <w:szCs w:val="15"/>
                <w:color w:val="auto"/>
              </w:rPr>
              <w:t>Real property -</w:t>
            </w: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39.1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30.3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vMerge w:val="restart"/>
          </w:tcPr>
          <w:p>
            <w:pPr>
              <w:jc w:val="right"/>
              <w:ind w:right="4"/>
              <w:spacing w:after="0"/>
              <w:rPr>
                <w:sz w:val="20"/>
                <w:szCs w:val="20"/>
                <w:color w:val="auto"/>
              </w:rPr>
            </w:pPr>
            <w:r>
              <w:rPr>
                <w:rFonts w:ascii="Arial" w:cs="Arial" w:eastAsia="Arial" w:hAnsi="Arial"/>
                <w:sz w:val="15"/>
                <w:szCs w:val="15"/>
                <w:color w:val="auto"/>
              </w:rPr>
              <w:t>8.8</w:t>
            </w:r>
          </w:p>
        </w:tc>
        <w:tc>
          <w:tcPr>
            <w:tcW w:w="860" w:type="dxa"/>
            <w:vAlign w:val="bottom"/>
            <w:gridSpan w:val="2"/>
            <w:vMerge w:val="restart"/>
          </w:tcPr>
          <w:p>
            <w:pPr>
              <w:jc w:val="right"/>
              <w:spacing w:after="0"/>
              <w:rPr>
                <w:sz w:val="20"/>
                <w:szCs w:val="20"/>
                <w:color w:val="auto"/>
              </w:rPr>
            </w:pPr>
            <w:r>
              <w:rPr>
                <w:rFonts w:ascii="Arial" w:cs="Arial" w:eastAsia="Arial" w:hAnsi="Arial"/>
                <w:sz w:val="15"/>
                <w:szCs w:val="15"/>
                <w:color w:val="auto"/>
              </w:rPr>
              <w:t>28.9 %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0.5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4"/>
              <w:spacing w:after="0"/>
              <w:rPr>
                <w:sz w:val="20"/>
                <w:szCs w:val="20"/>
                <w:color w:val="auto"/>
              </w:rPr>
            </w:pPr>
            <w:r>
              <w:rPr>
                <w:rFonts w:ascii="Arial" w:cs="Arial" w:eastAsia="Arial" w:hAnsi="Arial"/>
                <w:sz w:val="15"/>
                <w:szCs w:val="15"/>
                <w:color w:val="auto"/>
              </w:rPr>
              <w:t>0.6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vMerge w:val="restart"/>
          </w:tcPr>
          <w:p>
            <w:pPr>
              <w:jc w:val="center"/>
              <w:spacing w:after="0"/>
              <w:rPr>
                <w:sz w:val="20"/>
                <w:szCs w:val="20"/>
                <w:color w:val="auto"/>
              </w:rPr>
            </w:pPr>
            <w:r>
              <w:rPr>
                <w:rFonts w:ascii="Arial" w:cs="Arial" w:eastAsia="Arial" w:hAnsi="Arial"/>
                <w:sz w:val="15"/>
                <w:szCs w:val="15"/>
                <w:color w:val="auto"/>
                <w:w w:val="97"/>
              </w:rPr>
              <w:t>(0.1)</w:t>
            </w:r>
          </w:p>
        </w:tc>
        <w:tc>
          <w:tcPr>
            <w:tcW w:w="880" w:type="dxa"/>
            <w:vAlign w:val="bottom"/>
            <w:gridSpan w:val="2"/>
            <w:vMerge w:val="restart"/>
          </w:tcPr>
          <w:p>
            <w:pPr>
              <w:jc w:val="right"/>
              <w:spacing w:after="0"/>
              <w:rPr>
                <w:sz w:val="20"/>
                <w:szCs w:val="20"/>
                <w:color w:val="auto"/>
              </w:rPr>
            </w:pPr>
            <w:r>
              <w:rPr>
                <w:rFonts w:ascii="Arial" w:cs="Arial" w:eastAsia="Arial" w:hAnsi="Arial"/>
                <w:sz w:val="15"/>
                <w:szCs w:val="15"/>
                <w:color w:val="auto"/>
              </w:rPr>
              <w:t>(23.1)%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38.6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4"/>
              <w:spacing w:after="0"/>
              <w:rPr>
                <w:sz w:val="20"/>
                <w:szCs w:val="20"/>
                <w:color w:val="auto"/>
              </w:rPr>
            </w:pPr>
            <w:r>
              <w:rPr>
                <w:rFonts w:ascii="Arial" w:cs="Arial" w:eastAsia="Arial" w:hAnsi="Arial"/>
                <w:sz w:val="15"/>
                <w:szCs w:val="15"/>
                <w:color w:val="auto"/>
              </w:rPr>
              <w:t>29.7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5"/>
                <w:szCs w:val="15"/>
                <w:color w:val="auto"/>
              </w:rPr>
              <w:t>8.9</w:t>
            </w:r>
          </w:p>
        </w:tc>
        <w:tc>
          <w:tcPr>
            <w:tcW w:w="880" w:type="dxa"/>
            <w:vAlign w:val="bottom"/>
            <w:gridSpan w:val="2"/>
            <w:vMerge w:val="restart"/>
          </w:tcPr>
          <w:p>
            <w:pPr>
              <w:jc w:val="right"/>
              <w:spacing w:after="0"/>
              <w:rPr>
                <w:sz w:val="20"/>
                <w:szCs w:val="20"/>
                <w:color w:val="auto"/>
              </w:rPr>
            </w:pPr>
            <w:r>
              <w:rPr>
                <w:rFonts w:ascii="Arial" w:cs="Arial" w:eastAsia="Arial" w:hAnsi="Arial"/>
                <w:sz w:val="15"/>
                <w:szCs w:val="15"/>
                <w:color w:val="auto"/>
              </w:rPr>
              <w:t>30.0 %</w:t>
            </w:r>
          </w:p>
        </w:tc>
        <w:tc>
          <w:tcPr>
            <w:tcW w:w="0" w:type="dxa"/>
            <w:vAlign w:val="bottom"/>
          </w:tcPr>
          <w:p>
            <w:pPr>
              <w:spacing w:after="0"/>
              <w:rPr>
                <w:sz w:val="1"/>
                <w:szCs w:val="1"/>
                <w:color w:val="auto"/>
              </w:rPr>
            </w:pPr>
          </w:p>
        </w:tc>
      </w:tr>
      <w:tr>
        <w:trPr>
          <w:trHeight w:val="198"/>
        </w:trPr>
        <w:tc>
          <w:tcPr>
            <w:tcW w:w="1420" w:type="dxa"/>
            <w:vAlign w:val="bottom"/>
          </w:tcPr>
          <w:p>
            <w:pPr>
              <w:ind w:left="240"/>
              <w:spacing w:after="0"/>
              <w:rPr>
                <w:sz w:val="20"/>
                <w:szCs w:val="20"/>
                <w:color w:val="auto"/>
              </w:rPr>
            </w:pPr>
            <w:r>
              <w:rPr>
                <w:rFonts w:ascii="Arial" w:cs="Arial" w:eastAsia="Arial" w:hAnsi="Arial"/>
                <w:sz w:val="15"/>
                <w:szCs w:val="15"/>
                <w:color w:val="auto"/>
              </w:rPr>
              <w:t>transient</w:t>
            </w: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4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w:t>
            </w: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5.5 %</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4.4</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center"/>
              <w:ind w:left="4"/>
              <w:spacing w:after="0"/>
              <w:rPr>
                <w:sz w:val="20"/>
                <w:szCs w:val="20"/>
                <w:color w:val="auto"/>
              </w:rPr>
            </w:pPr>
            <w:r>
              <w:rPr>
                <w:rFonts w:ascii="Arial" w:cs="Arial" w:eastAsia="Arial" w:hAnsi="Arial"/>
                <w:sz w:val="15"/>
                <w:szCs w:val="15"/>
                <w:color w:val="auto"/>
                <w:w w:val="86"/>
              </w:rPr>
              <w:t>0.5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11.1 %</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92"/>
        </w:trPr>
        <w:tc>
          <w:tcPr>
            <w:tcW w:w="1420" w:type="dxa"/>
            <w:vAlign w:val="bottom"/>
          </w:tcPr>
          <w:p>
            <w:pPr>
              <w:ind w:left="240"/>
              <w:spacing w:after="0"/>
              <w:rPr>
                <w:sz w:val="20"/>
                <w:szCs w:val="20"/>
                <w:color w:val="auto"/>
              </w:rPr>
            </w:pPr>
            <w:r>
              <w:rPr>
                <w:rFonts w:ascii="Arial" w:cs="Arial" w:eastAsia="Arial" w:hAnsi="Arial"/>
                <w:sz w:val="15"/>
                <w:szCs w:val="15"/>
                <w:color w:val="auto"/>
              </w:rPr>
              <w:t>Total Operating</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279.8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256.2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ind w:right="4"/>
              <w:spacing w:after="0"/>
              <w:rPr>
                <w:sz w:val="20"/>
                <w:szCs w:val="20"/>
                <w:color w:val="auto"/>
              </w:rPr>
            </w:pPr>
            <w:r>
              <w:rPr>
                <w:rFonts w:ascii="Arial" w:cs="Arial" w:eastAsia="Arial" w:hAnsi="Arial"/>
                <w:sz w:val="15"/>
                <w:szCs w:val="15"/>
                <w:color w:val="auto"/>
              </w:rPr>
              <w:t>23.6</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9.2 %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187.8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179.9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jc w:val="center"/>
              <w:ind w:left="4"/>
              <w:spacing w:after="0"/>
              <w:rPr>
                <w:sz w:val="20"/>
                <w:szCs w:val="20"/>
                <w:color w:val="auto"/>
              </w:rPr>
            </w:pPr>
            <w:r>
              <w:rPr>
                <w:rFonts w:ascii="Arial" w:cs="Arial" w:eastAsia="Arial" w:hAnsi="Arial"/>
                <w:sz w:val="15"/>
                <w:szCs w:val="15"/>
                <w:color w:val="auto"/>
                <w:w w:val="86"/>
              </w:rPr>
              <w:t>7.9</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4.4 %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4"/>
              <w:spacing w:after="0"/>
              <w:rPr>
                <w:sz w:val="20"/>
                <w:szCs w:val="20"/>
                <w:color w:val="auto"/>
              </w:rPr>
            </w:pPr>
            <w:r>
              <w:rPr>
                <w:rFonts w:ascii="Arial" w:cs="Arial" w:eastAsia="Arial" w:hAnsi="Arial"/>
                <w:sz w:val="15"/>
                <w:szCs w:val="15"/>
                <w:color w:val="auto"/>
              </w:rPr>
              <w:t>76.3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15.7</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20.5 %</w:t>
            </w:r>
          </w:p>
        </w:tc>
        <w:tc>
          <w:tcPr>
            <w:tcW w:w="0" w:type="dxa"/>
            <w:vAlign w:val="bottom"/>
          </w:tcPr>
          <w:p>
            <w:pPr>
              <w:spacing w:after="0"/>
              <w:rPr>
                <w:sz w:val="1"/>
                <w:szCs w:val="1"/>
                <w:color w:val="auto"/>
              </w:rPr>
            </w:pPr>
          </w:p>
        </w:tc>
      </w:tr>
      <w:tr>
        <w:trPr>
          <w:trHeight w:val="207"/>
        </w:trPr>
        <w:tc>
          <w:tcPr>
            <w:tcW w:w="142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Expense</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4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w w:val="99"/>
              </w:rPr>
              <w:t>Property Operating</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10.0</w:t>
            </w:r>
          </w:p>
        </w:tc>
        <w:tc>
          <w:tcPr>
            <w:tcW w:w="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12.7 %</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43.9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center"/>
              <w:ind w:left="4"/>
              <w:spacing w:after="0"/>
              <w:rPr>
                <w:sz w:val="20"/>
                <w:szCs w:val="20"/>
                <w:color w:val="auto"/>
              </w:rPr>
            </w:pPr>
            <w:r>
              <w:rPr>
                <w:rFonts w:ascii="Arial" w:cs="Arial" w:eastAsia="Arial" w:hAnsi="Arial"/>
                <w:sz w:val="15"/>
                <w:szCs w:val="15"/>
                <w:color w:val="auto"/>
                <w:w w:val="86"/>
              </w:rPr>
              <w:t>3.8</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8.7 %</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35.0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17.6 %</w:t>
            </w:r>
          </w:p>
        </w:tc>
        <w:tc>
          <w:tcPr>
            <w:tcW w:w="0" w:type="dxa"/>
            <w:vAlign w:val="bottom"/>
          </w:tcPr>
          <w:p>
            <w:pPr>
              <w:spacing w:after="0"/>
              <w:rPr>
                <w:sz w:val="1"/>
                <w:szCs w:val="1"/>
                <w:color w:val="auto"/>
              </w:rPr>
            </w:pPr>
          </w:p>
        </w:tc>
      </w:tr>
      <w:tr>
        <w:trPr>
          <w:trHeight w:val="225"/>
        </w:trPr>
        <w:tc>
          <w:tcPr>
            <w:tcW w:w="1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Real Property NOI</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13.6</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7.7 %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136.0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CCEEFF"/>
          </w:tcPr>
          <w:p>
            <w:pPr>
              <w:jc w:val="center"/>
              <w:ind w:left="4"/>
              <w:spacing w:after="0"/>
              <w:rPr>
                <w:sz w:val="20"/>
                <w:szCs w:val="20"/>
                <w:color w:val="auto"/>
              </w:rPr>
            </w:pPr>
            <w:r>
              <w:rPr>
                <w:rFonts w:ascii="Arial" w:cs="Arial" w:eastAsia="Arial" w:hAnsi="Arial"/>
                <w:sz w:val="15"/>
                <w:szCs w:val="15"/>
                <w:color w:val="auto"/>
                <w:w w:val="86"/>
              </w:rPr>
              <w:t>4.1</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3.0 %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41.3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22.9 %</w:t>
            </w: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140" w:hanging="132"/>
        <w:spacing w:after="0"/>
        <w:tabs>
          <w:tab w:leader="none" w:pos="140" w:val="left"/>
        </w:tabs>
        <w:numPr>
          <w:ilvl w:val="0"/>
          <w:numId w:val="34"/>
        </w:numPr>
        <w:rPr>
          <w:rFonts w:ascii="Arial" w:cs="Arial" w:eastAsia="Arial" w:hAnsi="Arial"/>
          <w:sz w:val="16"/>
          <w:szCs w:val="16"/>
          <w:color w:val="auto"/>
          <w:vertAlign w:val="superscript"/>
        </w:rPr>
      </w:pPr>
      <w:r>
        <w:rPr>
          <w:rFonts w:ascii="Arial" w:cs="Arial" w:eastAsia="Arial" w:hAnsi="Arial"/>
          <w:sz w:val="12"/>
          <w:szCs w:val="12"/>
          <w:color w:val="auto"/>
        </w:rPr>
        <w:t>Percentages are calculated based on unrounded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0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5"/>
                <w:szCs w:val="15"/>
                <w:b w:val="1"/>
                <w:bCs w:val="1"/>
                <w:color w:val="auto"/>
              </w:rPr>
              <w:t>As of</w:t>
            </w:r>
          </w:p>
        </w:tc>
        <w:tc>
          <w:tcPr>
            <w:tcW w:w="14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8"/>
        </w:trPr>
        <w:tc>
          <w:tcPr>
            <w:tcW w:w="6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2022</w:t>
            </w:r>
          </w:p>
        </w:tc>
        <w:tc>
          <w:tcPr>
            <w:tcW w:w="220" w:type="dxa"/>
            <w:vAlign w:val="bottom"/>
          </w:tcPr>
          <w:p>
            <w:pPr>
              <w:spacing w:after="0"/>
              <w:rPr>
                <w:sz w:val="17"/>
                <w:szCs w:val="17"/>
                <w:color w:val="auto"/>
              </w:rPr>
            </w:pPr>
          </w:p>
        </w:tc>
        <w:tc>
          <w:tcPr>
            <w:tcW w:w="1400" w:type="dxa"/>
            <w:vAlign w:val="bottom"/>
          </w:tcPr>
          <w:p>
            <w:pPr>
              <w:jc w:val="right"/>
              <w:ind w:right="224"/>
              <w:spacing w:after="0"/>
              <w:rPr>
                <w:sz w:val="20"/>
                <w:szCs w:val="20"/>
                <w:color w:val="auto"/>
              </w:rPr>
            </w:pPr>
            <w:r>
              <w:rPr>
                <w:rFonts w:ascii="Arial" w:cs="Arial" w:eastAsia="Arial" w:hAnsi="Arial"/>
                <w:sz w:val="15"/>
                <w:szCs w:val="15"/>
                <w:b w:val="1"/>
                <w:bCs w:val="1"/>
                <w:color w:val="auto"/>
              </w:rPr>
              <w:t>March 31, 2021</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jc w:val="right"/>
              <w:ind w:right="484"/>
              <w:spacing w:after="0"/>
              <w:rPr>
                <w:sz w:val="20"/>
                <w:szCs w:val="20"/>
                <w:color w:val="auto"/>
              </w:rPr>
            </w:pPr>
            <w:r>
              <w:rPr>
                <w:rFonts w:ascii="Arial" w:cs="Arial" w:eastAsia="Arial" w:hAnsi="Arial"/>
                <w:sz w:val="15"/>
                <w:szCs w:val="15"/>
                <w:b w:val="1"/>
                <w:bCs w:val="1"/>
                <w:color w:val="auto"/>
              </w:rPr>
              <w:t>Change</w:t>
            </w:r>
          </w:p>
        </w:tc>
      </w:tr>
      <w:tr>
        <w:trPr>
          <w:trHeight w:val="183"/>
        </w:trPr>
        <w:tc>
          <w:tcPr>
            <w:tcW w:w="6000" w:type="dxa"/>
            <w:vAlign w:val="bottom"/>
          </w:tcPr>
          <w:p>
            <w:pPr>
              <w:ind w:left="20"/>
              <w:spacing w:after="0"/>
              <w:rPr>
                <w:sz w:val="20"/>
                <w:szCs w:val="20"/>
                <w:color w:val="auto"/>
              </w:rPr>
            </w:pPr>
            <w:r>
              <w:rPr>
                <w:rFonts w:ascii="Arial" w:cs="Arial" w:eastAsia="Arial" w:hAnsi="Arial"/>
                <w:sz w:val="15"/>
                <w:szCs w:val="15"/>
                <w:b w:val="1"/>
                <w:bCs w:val="1"/>
                <w:color w:val="auto"/>
              </w:rPr>
              <w:t>Other Information</w:t>
            </w:r>
          </w:p>
        </w:tc>
        <w:tc>
          <w:tcPr>
            <w:tcW w:w="2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07"/>
        </w:trPr>
        <w:tc>
          <w:tcPr>
            <w:tcW w:w="6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Number of properties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425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425</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r>
      <w:tr>
        <w:trPr>
          <w:trHeight w:val="216"/>
        </w:trPr>
        <w:tc>
          <w:tcPr>
            <w:tcW w:w="6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6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MH occupancy</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97.3 %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6000" w:type="dxa"/>
            <w:vAlign w:val="bottom"/>
          </w:tcPr>
          <w:p>
            <w:pPr>
              <w:ind w:left="140"/>
              <w:spacing w:after="0" w:line="203" w:lineRule="exact"/>
              <w:rPr>
                <w:sz w:val="20"/>
                <w:szCs w:val="20"/>
                <w:color w:val="auto"/>
              </w:rPr>
            </w:pPr>
            <w:r>
              <w:rPr>
                <w:rFonts w:ascii="Arial" w:cs="Arial" w:eastAsia="Arial" w:hAnsi="Arial"/>
                <w:sz w:val="15"/>
                <w:szCs w:val="15"/>
                <w:color w:val="auto"/>
              </w:rPr>
              <w:t>RV occupancy</w:t>
            </w:r>
            <w:r>
              <w:rPr>
                <w:rFonts w:ascii="Arial" w:cs="Arial" w:eastAsia="Arial" w:hAnsi="Arial"/>
                <w:sz w:val="19"/>
                <w:szCs w:val="19"/>
                <w:color w:val="auto"/>
                <w:vertAlign w:val="superscript"/>
              </w:rPr>
              <w:t>(1)</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000" w:type="dxa"/>
            <w:vAlign w:val="bottom"/>
            <w:shd w:val="clear" w:color="auto" w:fill="CCEEFF"/>
          </w:tcPr>
          <w:p>
            <w:pPr>
              <w:ind w:left="140"/>
              <w:spacing w:after="0" w:line="203" w:lineRule="exact"/>
              <w:rPr>
                <w:sz w:val="20"/>
                <w:szCs w:val="20"/>
                <w:color w:val="auto"/>
              </w:rPr>
            </w:pPr>
            <w:r>
              <w:rPr>
                <w:rFonts w:ascii="Arial" w:cs="Arial" w:eastAsia="Arial" w:hAnsi="Arial"/>
                <w:sz w:val="15"/>
                <w:szCs w:val="15"/>
                <w:color w:val="auto"/>
              </w:rPr>
              <w:t>MH &amp; RV blended occupancy</w:t>
            </w:r>
            <w:r>
              <w:rPr>
                <w:rFonts w:ascii="Arial" w:cs="Arial" w:eastAsia="Arial" w:hAnsi="Arial"/>
                <w:sz w:val="19"/>
                <w:szCs w:val="19"/>
                <w:color w:val="auto"/>
                <w:vertAlign w:val="superscript"/>
              </w:rPr>
              <w:t>(2)</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97.9 %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6"/>
        </w:trPr>
        <w:tc>
          <w:tcPr>
            <w:tcW w:w="6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6000" w:type="dxa"/>
            <w:vAlign w:val="bottom"/>
            <w:shd w:val="clear" w:color="auto" w:fill="CCEEFF"/>
          </w:tcPr>
          <w:p>
            <w:pPr>
              <w:ind w:left="140"/>
              <w:spacing w:after="0" w:line="203" w:lineRule="exact"/>
              <w:rPr>
                <w:sz w:val="20"/>
                <w:szCs w:val="20"/>
                <w:color w:val="auto"/>
              </w:rPr>
            </w:pPr>
            <w:r>
              <w:rPr>
                <w:rFonts w:ascii="Arial" w:cs="Arial" w:eastAsia="Arial" w:hAnsi="Arial"/>
                <w:sz w:val="15"/>
                <w:szCs w:val="15"/>
                <w:color w:val="auto"/>
              </w:rPr>
              <w:t>Adjusted MH occupancy</w:t>
            </w:r>
            <w:r>
              <w:rPr>
                <w:rFonts w:ascii="Arial" w:cs="Arial" w:eastAsia="Arial" w:hAnsi="Arial"/>
                <w:sz w:val="19"/>
                <w:szCs w:val="19"/>
                <w:color w:val="auto"/>
                <w:vertAlign w:val="superscript"/>
              </w:rPr>
              <w:t>(3)</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98.1 %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3"/>
        </w:trPr>
        <w:tc>
          <w:tcPr>
            <w:tcW w:w="6000" w:type="dxa"/>
            <w:vAlign w:val="bottom"/>
          </w:tcPr>
          <w:p>
            <w:pPr>
              <w:ind w:left="140"/>
              <w:spacing w:after="0" w:line="203" w:lineRule="exact"/>
              <w:rPr>
                <w:sz w:val="20"/>
                <w:szCs w:val="20"/>
                <w:color w:val="auto"/>
              </w:rPr>
            </w:pPr>
            <w:r>
              <w:rPr>
                <w:rFonts w:ascii="Arial" w:cs="Arial" w:eastAsia="Arial" w:hAnsi="Arial"/>
                <w:sz w:val="15"/>
                <w:szCs w:val="15"/>
                <w:color w:val="auto"/>
              </w:rPr>
              <w:t>Adjusted RV occupancy</w:t>
            </w:r>
            <w:r>
              <w:rPr>
                <w:rFonts w:ascii="Arial" w:cs="Arial" w:eastAsia="Arial" w:hAnsi="Arial"/>
                <w:sz w:val="19"/>
                <w:szCs w:val="19"/>
                <w:color w:val="auto"/>
                <w:vertAlign w:val="superscript"/>
              </w:rPr>
              <w:t>(4)</w:t>
            </w: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100.0 %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000" w:type="dxa"/>
            <w:vAlign w:val="bottom"/>
            <w:shd w:val="clear" w:color="auto" w:fill="CCEEFF"/>
          </w:tcPr>
          <w:p>
            <w:pPr>
              <w:ind w:left="140"/>
              <w:spacing w:after="0" w:line="203" w:lineRule="exact"/>
              <w:rPr>
                <w:sz w:val="20"/>
                <w:szCs w:val="20"/>
                <w:color w:val="auto"/>
              </w:rPr>
            </w:pPr>
            <w:r>
              <w:rPr>
                <w:rFonts w:ascii="Arial" w:cs="Arial" w:eastAsia="Arial" w:hAnsi="Arial"/>
                <w:sz w:val="15"/>
                <w:szCs w:val="15"/>
                <w:color w:val="auto"/>
              </w:rPr>
              <w:t>Adjusted MH &amp; RV blended occupancy</w:t>
            </w:r>
            <w:r>
              <w:rPr>
                <w:rFonts w:ascii="Arial" w:cs="Arial" w:eastAsia="Arial" w:hAnsi="Arial"/>
                <w:sz w:val="19"/>
                <w:szCs w:val="19"/>
                <w:color w:val="auto"/>
                <w:vertAlign w:val="superscript"/>
              </w:rPr>
              <w:t>(5)</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98.5 %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96.9 %</w:t>
            </w: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1.6 %</w:t>
            </w:r>
          </w:p>
        </w:tc>
      </w:tr>
      <w:tr>
        <w:trPr>
          <w:trHeight w:val="216"/>
        </w:trPr>
        <w:tc>
          <w:tcPr>
            <w:tcW w:w="6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6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Sites available for development</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7,645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8,243</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(598)</w:t>
            </w:r>
          </w:p>
        </w:tc>
      </w:tr>
      <w:tr>
        <w:trPr>
          <w:trHeight w:val="216"/>
        </w:trPr>
        <w:tc>
          <w:tcPr>
            <w:tcW w:w="6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6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Monthly base rent per site - MH</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597</w:t>
            </w: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23</w:t>
            </w:r>
          </w:p>
        </w:tc>
      </w:tr>
      <w:tr>
        <w:trPr>
          <w:trHeight w:val="203"/>
        </w:trPr>
        <w:tc>
          <w:tcPr>
            <w:tcW w:w="6000" w:type="dxa"/>
            <w:vAlign w:val="bottom"/>
          </w:tcPr>
          <w:p>
            <w:pPr>
              <w:ind w:left="140"/>
              <w:spacing w:after="0" w:line="203" w:lineRule="exact"/>
              <w:rPr>
                <w:sz w:val="20"/>
                <w:szCs w:val="20"/>
                <w:color w:val="auto"/>
              </w:rPr>
            </w:pPr>
            <w:r>
              <w:rPr>
                <w:rFonts w:ascii="Arial" w:cs="Arial" w:eastAsia="Arial" w:hAnsi="Arial"/>
                <w:sz w:val="15"/>
                <w:szCs w:val="15"/>
                <w:color w:val="auto"/>
              </w:rPr>
              <w:t>Monthly base rent per site - RV</w:t>
            </w:r>
            <w:r>
              <w:rPr>
                <w:rFonts w:ascii="Arial" w:cs="Arial" w:eastAsia="Arial" w:hAnsi="Arial"/>
                <w:sz w:val="19"/>
                <w:szCs w:val="19"/>
                <w:color w:val="auto"/>
                <w:vertAlign w:val="superscript"/>
              </w:rPr>
              <w:t>(7)</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104"/>
              <w:spacing w:after="0"/>
              <w:rPr>
                <w:sz w:val="20"/>
                <w:szCs w:val="20"/>
                <w:color w:val="auto"/>
              </w:rPr>
            </w:pPr>
            <w:r>
              <w:rPr>
                <w:rFonts w:ascii="Arial" w:cs="Arial" w:eastAsia="Arial" w:hAnsi="Arial"/>
                <w:sz w:val="15"/>
                <w:szCs w:val="15"/>
                <w:color w:val="auto"/>
              </w:rPr>
              <w:t>553</w:t>
            </w:r>
          </w:p>
        </w:tc>
        <w:tc>
          <w:tcPr>
            <w:tcW w:w="1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104"/>
              <w:spacing w:after="0"/>
              <w:rPr>
                <w:sz w:val="20"/>
                <w:szCs w:val="20"/>
                <w:color w:val="auto"/>
              </w:rPr>
            </w:pPr>
            <w:r>
              <w:rPr>
                <w:rFonts w:ascii="Arial" w:cs="Arial" w:eastAsia="Arial" w:hAnsi="Arial"/>
                <w:sz w:val="15"/>
                <w:szCs w:val="15"/>
                <w:color w:val="auto"/>
              </w:rPr>
              <w:t>522</w:t>
            </w:r>
          </w:p>
        </w:tc>
        <w:tc>
          <w:tcPr>
            <w:tcW w:w="280" w:type="dxa"/>
            <w:vAlign w:val="bottom"/>
          </w:tcPr>
          <w:p>
            <w:pPr>
              <w:jc w:val="right"/>
              <w:spacing w:after="0"/>
              <w:rPr>
                <w:sz w:val="20"/>
                <w:szCs w:val="20"/>
                <w:color w:val="auto"/>
              </w:rPr>
            </w:pPr>
            <w:r>
              <w:rPr>
                <w:rFonts w:ascii="Arial" w:cs="Arial" w:eastAsia="Arial" w:hAnsi="Arial"/>
                <w:sz w:val="10"/>
                <w:szCs w:val="10"/>
                <w:color w:val="auto"/>
              </w:rPr>
              <w:t>(8)</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104"/>
              <w:spacing w:after="0"/>
              <w:rPr>
                <w:sz w:val="20"/>
                <w:szCs w:val="20"/>
                <w:color w:val="auto"/>
              </w:rPr>
            </w:pPr>
            <w:r>
              <w:rPr>
                <w:rFonts w:ascii="Arial" w:cs="Arial" w:eastAsia="Arial" w:hAnsi="Arial"/>
                <w:sz w:val="15"/>
                <w:szCs w:val="15"/>
                <w:color w:val="auto"/>
              </w:rPr>
              <w:t>31</w:t>
            </w:r>
          </w:p>
        </w:tc>
      </w:tr>
      <w:tr>
        <w:trPr>
          <w:trHeight w:val="203"/>
        </w:trPr>
        <w:tc>
          <w:tcPr>
            <w:tcW w:w="6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Monthly base rent per site - Total</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604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580</w:t>
            </w: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24</w:t>
            </w:r>
          </w:p>
        </w:tc>
      </w:tr>
    </w:tbl>
    <w:p>
      <w:pPr>
        <w:spacing w:after="0" w:line="65" w:lineRule="exact"/>
        <w:rPr>
          <w:sz w:val="20"/>
          <w:szCs w:val="20"/>
          <w:color w:val="auto"/>
        </w:rPr>
      </w:pPr>
    </w:p>
    <w:p>
      <w:pPr>
        <w:ind w:left="160" w:hanging="152"/>
        <w:spacing w:after="0"/>
        <w:tabs>
          <w:tab w:leader="none" w:pos="16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Occupancy percentages include annual RV sites and exclude transient RV sites.</w:t>
      </w:r>
    </w:p>
    <w:p>
      <w:pPr>
        <w:spacing w:after="0" w:line="45"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Occupancy percentages include MH and annual RV sites, and exclude transient RV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Adjusted occupancy percentages include MH and exclude recently completed but vacant expansion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Adjusted occupancy percentages include annual RV sites, and exclude transient RV sites and recently completed but vacant expansion sites.</w:t>
      </w:r>
    </w:p>
    <w:p>
      <w:pPr>
        <w:spacing w:after="0" w:line="46"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Adjusted occupancy percentages include MH and annual RV sites, and exclude transient RV sites and recently completed but vacant expansion sites.</w:t>
      </w:r>
    </w:p>
    <w:p>
      <w:pPr>
        <w:spacing w:after="0" w:line="46" w:lineRule="exact"/>
        <w:rPr>
          <w:rFonts w:ascii="Arial" w:cs="Arial" w:eastAsia="Arial" w:hAnsi="Arial"/>
          <w:sz w:val="18"/>
          <w:szCs w:val="18"/>
          <w:color w:val="auto"/>
          <w:vertAlign w:val="superscript"/>
        </w:rPr>
      </w:pPr>
    </w:p>
    <w:p>
      <w:pPr>
        <w:ind w:left="180" w:right="20" w:hanging="172"/>
        <w:spacing w:after="0" w:line="210" w:lineRule="auto"/>
        <w:tabs>
          <w:tab w:leader="none" w:pos="167"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The occupancy percentages for 2021 have been adjusted to reflect incremental growth period-over-period from newly rented MH expansion sites and the conversion of transient RV sites to annual RV sites.</w:t>
      </w:r>
    </w:p>
    <w:p>
      <w:pPr>
        <w:spacing w:after="0" w:line="9"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Monthly base rent pertains to annual RV sites and excludes transient RV sites.</w:t>
      </w:r>
    </w:p>
    <w:p>
      <w:pPr>
        <w:spacing w:after="0" w:line="45"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Canadian currency figures included within three months ended March 31, 2021 have been translated at 2022 average exchange rates.</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amounts in the table above reflect constant currency for comparative purposes. We have reclassified water and sewer revenues of $19.6 million and $17.3 million for the three months ended March 31, 2022 and 2021, to reflect the utility expenses associated with our Same Property portfolio net of recovery.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2022 and 2021:</w:t>
      </w:r>
    </w:p>
    <w:p>
      <w:pPr>
        <w:spacing w:after="0" w:line="252" w:lineRule="exact"/>
        <w:rPr>
          <w:sz w:val="20"/>
          <w:szCs w:val="20"/>
          <w:color w:val="auto"/>
        </w:rPr>
      </w:pPr>
    </w:p>
    <w:p>
      <w:pPr>
        <w:ind w:left="6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$13.6 million, or 7.7 percent, growth in Total Same Property NOI is due to a $9.5 million, or 22.9 percent, increase in NOI from the RV segment and $4.1 million, or 3.0 percent, increase in NOI from the MH segment.</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RV segment increase in NOI of $9.5 million, or 22.9 percent, is primarily due to an increase in Real property - transient revenue of $8.9 million, or 30.0 percent, when compared to the same period in 2021 due to increased transient and vacation rental traffic.</w:t>
      </w:r>
    </w:p>
    <w:p>
      <w:pPr>
        <w:spacing w:after="0" w:line="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MH segment increase in NOI of $4.1 million, or 3.0 percent, is primarily due to an increase in Real property (excluding transient) revenue of $7.5 million, or 4.3 percent, when compared to the same period in 2021. MH property (excluding transient) revenue increased due to a 3.8 percent increase in monthly base rent and an increase in Occupancy of 160 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Property Operations - Same Property - Marina</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reflect certain financial and other information for our Same Property Marina as of and for the three months ended March 31, 2022 and 2021 (in millions, except for statistical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704"/>
              <w:spacing w:after="0"/>
              <w:rPr>
                <w:sz w:val="20"/>
                <w:szCs w:val="20"/>
                <w:color w:val="auto"/>
              </w:rPr>
            </w:pPr>
            <w:r>
              <w:rPr>
                <w:rFonts w:ascii="Arial" w:cs="Arial" w:eastAsia="Arial" w:hAnsi="Arial"/>
                <w:sz w:val="15"/>
                <w:szCs w:val="15"/>
                <w:b w:val="1"/>
                <w:bCs w:val="1"/>
                <w:color w:val="auto"/>
              </w:rPr>
              <w:t>Three Months Ended</w:t>
            </w: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558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Financial Information</w:t>
            </w:r>
          </w:p>
        </w:tc>
        <w:tc>
          <w:tcPr>
            <w:tcW w:w="180" w:type="dxa"/>
            <w:vAlign w:val="bottom"/>
          </w:tcPr>
          <w:p>
            <w:pPr>
              <w:spacing w:after="0"/>
              <w:rPr>
                <w:sz w:val="12"/>
                <w:szCs w:val="12"/>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March 31, 2022</w:t>
            </w:r>
          </w:p>
        </w:tc>
        <w:tc>
          <w:tcPr>
            <w:tcW w:w="180" w:type="dxa"/>
            <w:vAlign w:val="bottom"/>
          </w:tcPr>
          <w:p>
            <w:pPr>
              <w:spacing w:after="0"/>
              <w:rPr>
                <w:sz w:val="12"/>
                <w:szCs w:val="12"/>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March 31, 2021</w:t>
            </w:r>
          </w:p>
        </w:tc>
        <w:tc>
          <w:tcPr>
            <w:tcW w:w="180" w:type="dxa"/>
            <w:vAlign w:val="bottom"/>
          </w:tcPr>
          <w:p>
            <w:pPr>
              <w:spacing w:after="0"/>
              <w:rPr>
                <w:sz w:val="12"/>
                <w:szCs w:val="12"/>
                <w:color w:val="auto"/>
              </w:rPr>
            </w:pPr>
          </w:p>
        </w:tc>
        <w:tc>
          <w:tcPr>
            <w:tcW w:w="880" w:type="dxa"/>
            <w:vAlign w:val="bottom"/>
            <w:vMerge w:val="restart"/>
          </w:tcPr>
          <w:p>
            <w:pPr>
              <w:jc w:val="right"/>
              <w:ind w:right="204"/>
              <w:spacing w:after="0"/>
              <w:rPr>
                <w:sz w:val="20"/>
                <w:szCs w:val="20"/>
                <w:color w:val="auto"/>
              </w:rPr>
            </w:pPr>
            <w:r>
              <w:rPr>
                <w:rFonts w:ascii="Arial" w:cs="Arial" w:eastAsia="Arial" w:hAnsi="Arial"/>
                <w:sz w:val="15"/>
                <w:szCs w:val="15"/>
                <w:b w:val="1"/>
                <w:bCs w:val="1"/>
                <w:color w:val="auto"/>
              </w:rPr>
              <w:t>Change</w:t>
            </w:r>
          </w:p>
        </w:tc>
        <w:tc>
          <w:tcPr>
            <w:tcW w:w="1360" w:type="dxa"/>
            <w:vAlign w:val="bottom"/>
            <w:gridSpan w:val="2"/>
          </w:tcPr>
          <w:p>
            <w:pPr>
              <w:jc w:val="right"/>
              <w:ind w:right="484"/>
              <w:spacing w:after="0" w:line="146"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3"/>
        </w:trPr>
        <w:tc>
          <w:tcPr>
            <w:tcW w:w="55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ind w:right="244"/>
              <w:spacing w:after="0" w:line="203" w:lineRule="exact"/>
              <w:rPr>
                <w:sz w:val="20"/>
                <w:szCs w:val="20"/>
                <w:color w:val="auto"/>
              </w:rPr>
            </w:pPr>
            <w:r>
              <w:rPr>
                <w:rFonts w:ascii="Arial" w:cs="Arial" w:eastAsia="Arial" w:hAnsi="Arial"/>
                <w:sz w:val="15"/>
                <w:szCs w:val="15"/>
                <w:b w:val="1"/>
                <w:bCs w:val="1"/>
                <w:color w:val="auto"/>
              </w:rPr>
              <w:t>Change</w:t>
            </w:r>
            <w:r>
              <w:rPr>
                <w:rFonts w:ascii="Arial" w:cs="Arial" w:eastAsia="Arial" w:hAnsi="Arial"/>
                <w:sz w:val="19"/>
                <w:szCs w:val="19"/>
                <w:color w:val="auto"/>
                <w:vertAlign w:val="superscript"/>
              </w:rPr>
              <w:t>(1)</w:t>
            </w:r>
          </w:p>
        </w:tc>
        <w:tc>
          <w:tcPr>
            <w:tcW w:w="0" w:type="dxa"/>
            <w:vAlign w:val="bottom"/>
          </w:tcPr>
          <w:p>
            <w:pPr>
              <w:spacing w:after="0"/>
              <w:rPr>
                <w:sz w:val="1"/>
                <w:szCs w:val="1"/>
                <w:color w:val="auto"/>
              </w:rPr>
            </w:pPr>
          </w:p>
        </w:tc>
      </w:tr>
      <w:tr>
        <w:trPr>
          <w:trHeight w:val="183"/>
        </w:trPr>
        <w:tc>
          <w:tcPr>
            <w:tcW w:w="55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Revenue</w:t>
            </w:r>
          </w:p>
        </w:tc>
        <w:tc>
          <w:tcPr>
            <w:tcW w:w="18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580" w:type="dxa"/>
            <w:vAlign w:val="bottom"/>
          </w:tcPr>
          <w:p>
            <w:pPr>
              <w:ind w:left="240"/>
              <w:spacing w:after="0"/>
              <w:rPr>
                <w:sz w:val="20"/>
                <w:szCs w:val="20"/>
                <w:color w:val="auto"/>
              </w:rPr>
            </w:pPr>
            <w:r>
              <w:rPr>
                <w:rFonts w:ascii="Arial" w:cs="Arial" w:eastAsia="Arial" w:hAnsi="Arial"/>
                <w:sz w:val="15"/>
                <w:szCs w:val="15"/>
                <w:color w:val="auto"/>
              </w:rPr>
              <w:t>Real property (excluding transient)</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45.8</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43.3</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2.5</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5.6 %</w:t>
            </w:r>
          </w:p>
        </w:tc>
        <w:tc>
          <w:tcPr>
            <w:tcW w:w="0" w:type="dxa"/>
            <w:vAlign w:val="bottom"/>
          </w:tcPr>
          <w:p>
            <w:pPr>
              <w:spacing w:after="0"/>
              <w:rPr>
                <w:sz w:val="1"/>
                <w:szCs w:val="1"/>
                <w:color w:val="auto"/>
              </w:rPr>
            </w:pPr>
          </w:p>
        </w:tc>
      </w:tr>
      <w:tr>
        <w:trPr>
          <w:trHeight w:val="207"/>
        </w:trPr>
        <w:tc>
          <w:tcPr>
            <w:tcW w:w="55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Real property - transient</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58.7 %</w:t>
            </w:r>
          </w:p>
        </w:tc>
        <w:tc>
          <w:tcPr>
            <w:tcW w:w="0" w:type="dxa"/>
            <w:vAlign w:val="bottom"/>
          </w:tcPr>
          <w:p>
            <w:pPr>
              <w:spacing w:after="0"/>
              <w:rPr>
                <w:sz w:val="1"/>
                <w:szCs w:val="1"/>
                <w:color w:val="auto"/>
              </w:rPr>
            </w:pPr>
          </w:p>
        </w:tc>
      </w:tr>
      <w:tr>
        <w:trPr>
          <w:trHeight w:val="198"/>
        </w:trPr>
        <w:tc>
          <w:tcPr>
            <w:tcW w:w="558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Other</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34.3 %</w:t>
            </w:r>
          </w:p>
        </w:tc>
        <w:tc>
          <w:tcPr>
            <w:tcW w:w="0" w:type="dxa"/>
            <w:vAlign w:val="bottom"/>
          </w:tcPr>
          <w:p>
            <w:pPr>
              <w:spacing w:after="0"/>
              <w:rPr>
                <w:sz w:val="1"/>
                <w:szCs w:val="1"/>
                <w:color w:val="auto"/>
              </w:rPr>
            </w:pPr>
          </w:p>
        </w:tc>
      </w:tr>
      <w:tr>
        <w:trPr>
          <w:trHeight w:val="200"/>
        </w:trPr>
        <w:tc>
          <w:tcPr>
            <w:tcW w:w="55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Operating</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7.7 %</w:t>
            </w:r>
          </w:p>
        </w:tc>
        <w:tc>
          <w:tcPr>
            <w:tcW w:w="0" w:type="dxa"/>
            <w:vAlign w:val="bottom"/>
          </w:tcPr>
          <w:p>
            <w:pPr>
              <w:spacing w:after="0"/>
              <w:rPr>
                <w:sz w:val="1"/>
                <w:szCs w:val="1"/>
                <w:color w:val="auto"/>
              </w:rPr>
            </w:pPr>
          </w:p>
        </w:tc>
      </w:tr>
      <w:tr>
        <w:trPr>
          <w:trHeight w:val="200"/>
        </w:trPr>
        <w:tc>
          <w:tcPr>
            <w:tcW w:w="5580" w:type="dxa"/>
            <w:vAlign w:val="bottom"/>
          </w:tcPr>
          <w:p>
            <w:pPr>
              <w:ind w:left="140"/>
              <w:spacing w:after="0"/>
              <w:rPr>
                <w:sz w:val="20"/>
                <w:szCs w:val="20"/>
                <w:color w:val="auto"/>
              </w:rPr>
            </w:pPr>
            <w:r>
              <w:rPr>
                <w:rFonts w:ascii="Arial" w:cs="Arial" w:eastAsia="Arial" w:hAnsi="Arial"/>
                <w:sz w:val="15"/>
                <w:szCs w:val="15"/>
                <w:b w:val="1"/>
                <w:bCs w:val="1"/>
                <w:color w:val="auto"/>
              </w:rPr>
              <w:t>Expense</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5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Property Operating</w:t>
            </w:r>
          </w:p>
        </w:tc>
        <w:tc>
          <w:tcPr>
            <w:tcW w:w="1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15.2 %</w:t>
            </w:r>
          </w:p>
        </w:tc>
        <w:tc>
          <w:tcPr>
            <w:tcW w:w="0" w:type="dxa"/>
            <w:vAlign w:val="bottom"/>
          </w:tcPr>
          <w:p>
            <w:pPr>
              <w:spacing w:after="0"/>
              <w:rPr>
                <w:sz w:val="1"/>
                <w:szCs w:val="1"/>
                <w:color w:val="auto"/>
              </w:rPr>
            </w:pPr>
          </w:p>
        </w:tc>
      </w:tr>
      <w:tr>
        <w:trPr>
          <w:trHeight w:val="200"/>
        </w:trPr>
        <w:tc>
          <w:tcPr>
            <w:tcW w:w="5580" w:type="dxa"/>
            <w:vAlign w:val="bottom"/>
          </w:tcPr>
          <w:p>
            <w:pPr>
              <w:ind w:left="140"/>
              <w:spacing w:after="0"/>
              <w:rPr>
                <w:sz w:val="20"/>
                <w:szCs w:val="20"/>
                <w:color w:val="auto"/>
              </w:rPr>
            </w:pPr>
            <w:r>
              <w:rPr>
                <w:rFonts w:ascii="Arial" w:cs="Arial" w:eastAsia="Arial" w:hAnsi="Arial"/>
                <w:sz w:val="15"/>
                <w:szCs w:val="15"/>
                <w:color w:val="auto"/>
              </w:rPr>
              <w:t>Real Property NOI</w:t>
            </w: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25.1</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0.3</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1.2 %</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40" w:hanging="132"/>
        <w:spacing w:after="0"/>
        <w:tabs>
          <w:tab w:leader="none" w:pos="140" w:val="left"/>
        </w:tabs>
        <w:numPr>
          <w:ilvl w:val="0"/>
          <w:numId w:val="37"/>
        </w:numPr>
        <w:rPr>
          <w:rFonts w:ascii="Arial" w:cs="Arial" w:eastAsia="Arial" w:hAnsi="Arial"/>
          <w:sz w:val="16"/>
          <w:szCs w:val="16"/>
          <w:color w:val="auto"/>
          <w:vertAlign w:val="superscript"/>
        </w:rPr>
      </w:pPr>
      <w:r>
        <w:rPr>
          <w:rFonts w:ascii="Arial" w:cs="Arial" w:eastAsia="Arial" w:hAnsi="Arial"/>
          <w:sz w:val="12"/>
          <w:szCs w:val="12"/>
          <w:color w:val="auto"/>
        </w:rPr>
        <w:t>Percentages are calculated based on unrounded numbers.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800" w:type="dxa"/>
            <w:vAlign w:val="bottom"/>
          </w:tcPr>
          <w:p>
            <w:pPr>
              <w:spacing w:after="0"/>
              <w:rPr>
                <w:sz w:val="17"/>
                <w:szCs w:val="17"/>
                <w:color w:val="auto"/>
              </w:rPr>
            </w:pPr>
          </w:p>
        </w:tc>
        <w:tc>
          <w:tcPr>
            <w:tcW w:w="1800" w:type="dxa"/>
            <w:vAlign w:val="bottom"/>
            <w:tcBorders>
              <w:bottom w:val="single" w:sz="8" w:color="auto"/>
            </w:tcBorders>
            <w:gridSpan w:val="3"/>
          </w:tcPr>
          <w:p>
            <w:pPr>
              <w:ind w:left="1400"/>
              <w:spacing w:after="0"/>
              <w:rPr>
                <w:sz w:val="20"/>
                <w:szCs w:val="20"/>
                <w:color w:val="auto"/>
              </w:rPr>
            </w:pPr>
            <w:r>
              <w:rPr>
                <w:rFonts w:ascii="Arial" w:cs="Arial" w:eastAsia="Arial" w:hAnsi="Arial"/>
                <w:sz w:val="15"/>
                <w:szCs w:val="15"/>
                <w:b w:val="1"/>
                <w:bCs w:val="1"/>
                <w:color w:val="auto"/>
              </w:rPr>
              <w:t>As of</w:t>
            </w:r>
          </w:p>
        </w:tc>
        <w:tc>
          <w:tcPr>
            <w:tcW w:w="13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8"/>
        </w:trPr>
        <w:tc>
          <w:tcPr>
            <w:tcW w:w="5800" w:type="dxa"/>
            <w:vAlign w:val="bottom"/>
          </w:tcPr>
          <w:p>
            <w:pPr>
              <w:spacing w:after="0"/>
              <w:rPr>
                <w:sz w:val="17"/>
                <w:szCs w:val="17"/>
                <w:color w:val="auto"/>
              </w:rPr>
            </w:pPr>
          </w:p>
        </w:tc>
        <w:tc>
          <w:tcPr>
            <w:tcW w:w="1800" w:type="dxa"/>
            <w:vAlign w:val="bottom"/>
            <w:gridSpan w:val="3"/>
          </w:tcPr>
          <w:p>
            <w:pPr>
              <w:ind w:left="260"/>
              <w:spacing w:after="0"/>
              <w:rPr>
                <w:sz w:val="20"/>
                <w:szCs w:val="20"/>
                <w:color w:val="auto"/>
              </w:rPr>
            </w:pPr>
            <w:r>
              <w:rPr>
                <w:rFonts w:ascii="Arial" w:cs="Arial" w:eastAsia="Arial" w:hAnsi="Arial"/>
                <w:sz w:val="15"/>
                <w:szCs w:val="15"/>
                <w:b w:val="1"/>
                <w:bCs w:val="1"/>
                <w:color w:val="auto"/>
              </w:rPr>
              <w:t>March 31, 2022</w:t>
            </w:r>
          </w:p>
        </w:tc>
        <w:tc>
          <w:tcPr>
            <w:tcW w:w="1340" w:type="dxa"/>
            <w:vAlign w:val="bottom"/>
          </w:tcPr>
          <w:p>
            <w:pPr>
              <w:jc w:val="right"/>
              <w:ind w:right="184"/>
              <w:spacing w:after="0"/>
              <w:rPr>
                <w:sz w:val="20"/>
                <w:szCs w:val="20"/>
                <w:color w:val="auto"/>
              </w:rPr>
            </w:pPr>
            <w:r>
              <w:rPr>
                <w:rFonts w:ascii="Arial" w:cs="Arial" w:eastAsia="Arial" w:hAnsi="Arial"/>
                <w:sz w:val="15"/>
                <w:szCs w:val="15"/>
                <w:b w:val="1"/>
                <w:bCs w:val="1"/>
                <w:color w:val="auto"/>
                <w:w w:val="99"/>
              </w:rPr>
              <w:t>March 31, 2021</w:t>
            </w:r>
          </w:p>
        </w:tc>
        <w:tc>
          <w:tcPr>
            <w:tcW w:w="80" w:type="dxa"/>
            <w:vAlign w:val="bottom"/>
          </w:tcPr>
          <w:p>
            <w:pPr>
              <w:spacing w:after="0"/>
              <w:rPr>
                <w:sz w:val="17"/>
                <w:szCs w:val="17"/>
                <w:color w:val="auto"/>
              </w:rPr>
            </w:pPr>
          </w:p>
        </w:tc>
        <w:tc>
          <w:tcPr>
            <w:tcW w:w="1120" w:type="dxa"/>
            <w:vAlign w:val="bottom"/>
            <w:gridSpan w:val="2"/>
          </w:tcPr>
          <w:p>
            <w:pPr>
              <w:ind w:left="260"/>
              <w:spacing w:after="0"/>
              <w:rPr>
                <w:sz w:val="20"/>
                <w:szCs w:val="20"/>
                <w:color w:val="auto"/>
              </w:rPr>
            </w:pPr>
            <w:r>
              <w:rPr>
                <w:rFonts w:ascii="Arial" w:cs="Arial" w:eastAsia="Arial" w:hAnsi="Arial"/>
                <w:sz w:val="15"/>
                <w:szCs w:val="15"/>
                <w:b w:val="1"/>
                <w:bCs w:val="1"/>
                <w:color w:val="auto"/>
              </w:rPr>
              <w:t>Change</w:t>
            </w:r>
          </w:p>
        </w:tc>
        <w:tc>
          <w:tcPr>
            <w:tcW w:w="1100" w:type="dxa"/>
            <w:vAlign w:val="bottom"/>
          </w:tcPr>
          <w:p>
            <w:pPr>
              <w:ind w:left="200"/>
              <w:spacing w:after="0"/>
              <w:rPr>
                <w:sz w:val="20"/>
                <w:szCs w:val="20"/>
                <w:color w:val="auto"/>
              </w:rPr>
            </w:pPr>
            <w:r>
              <w:rPr>
                <w:rFonts w:ascii="Arial" w:cs="Arial" w:eastAsia="Arial" w:hAnsi="Arial"/>
                <w:sz w:val="15"/>
                <w:szCs w:val="15"/>
                <w:b w:val="1"/>
                <w:bCs w:val="1"/>
                <w:color w:val="auto"/>
              </w:rPr>
              <w:t>% Change</w:t>
            </w:r>
          </w:p>
        </w:tc>
      </w:tr>
      <w:tr>
        <w:trPr>
          <w:trHeight w:val="183"/>
        </w:trPr>
        <w:tc>
          <w:tcPr>
            <w:tcW w:w="5800" w:type="dxa"/>
            <w:vAlign w:val="bottom"/>
          </w:tcPr>
          <w:p>
            <w:pPr>
              <w:ind w:left="20"/>
              <w:spacing w:after="0"/>
              <w:rPr>
                <w:sz w:val="20"/>
                <w:szCs w:val="20"/>
                <w:color w:val="auto"/>
              </w:rPr>
            </w:pPr>
            <w:r>
              <w:rPr>
                <w:rFonts w:ascii="Arial" w:cs="Arial" w:eastAsia="Arial" w:hAnsi="Arial"/>
                <w:sz w:val="15"/>
                <w:szCs w:val="15"/>
                <w:b w:val="1"/>
                <w:bCs w:val="1"/>
                <w:color w:val="auto"/>
              </w:rPr>
              <w:t>Other Information</w:t>
            </w:r>
          </w:p>
        </w:tc>
        <w:tc>
          <w:tcPr>
            <w:tcW w:w="15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207"/>
        </w:trPr>
        <w:tc>
          <w:tcPr>
            <w:tcW w:w="5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Number of properties</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101</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2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ind w:left="760"/>
              <w:spacing w:after="0"/>
              <w:rPr>
                <w:sz w:val="20"/>
                <w:szCs w:val="20"/>
                <w:color w:val="auto"/>
              </w:rPr>
            </w:pPr>
            <w:r>
              <w:rPr>
                <w:rFonts w:ascii="Arial" w:cs="Arial" w:eastAsia="Arial" w:hAnsi="Arial"/>
                <w:sz w:val="15"/>
                <w:szCs w:val="15"/>
                <w:color w:val="auto"/>
                <w:w w:val="98"/>
              </w:rPr>
              <w:t>— %</w:t>
            </w: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reclassified utility revenue of $2.5 million and $2.6 million for the three months ended March 31, 2022 and 2021, to reflect the utility expenses associated with our Same Property Marina portfolio net of recovery.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Same Property Marina NOI remained flat for the three months ended March 31, 2022 when compared to the same period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Sales Summary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purchase new homes and acquire pre-owned and repossessed manufactured homes, generally located within our communities, from lenders, dealers, and former residents to sell or lease to current and prospective residents.</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reflects certain financial and statistical information for our Home Sales Program for the three months ended March 31, 2022 and 2021 (in millions, except for average selling price and statistical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tcPr>
          <w:p>
            <w:pPr>
              <w:jc w:val="right"/>
              <w:ind w:right="604"/>
              <w:spacing w:after="0"/>
              <w:rPr>
                <w:sz w:val="20"/>
                <w:szCs w:val="20"/>
                <w:color w:val="auto"/>
              </w:rPr>
            </w:pPr>
            <w:r>
              <w:rPr>
                <w:rFonts w:ascii="Arial" w:cs="Arial" w:eastAsia="Arial" w:hAnsi="Arial"/>
                <w:sz w:val="15"/>
                <w:szCs w:val="15"/>
                <w:b w:val="1"/>
                <w:bCs w:val="1"/>
                <w:color w:val="auto"/>
              </w:rPr>
              <w:t>Three Months Ended</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5"/>
                <w:szCs w:val="15"/>
                <w:b w:val="1"/>
                <w:bCs w:val="1"/>
                <w:color w:val="auto"/>
              </w:rPr>
              <w:t>March 31, 2022</w:t>
            </w:r>
          </w:p>
        </w:tc>
        <w:tc>
          <w:tcPr>
            <w:tcW w:w="12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5"/>
                <w:szCs w:val="15"/>
                <w:b w:val="1"/>
                <w:bCs w:val="1"/>
                <w:color w:val="auto"/>
              </w:rPr>
              <w:t>March 31, 2021</w:t>
            </w:r>
          </w:p>
        </w:tc>
        <w:tc>
          <w:tcPr>
            <w:tcW w:w="180" w:type="dxa"/>
            <w:vAlign w:val="bottom"/>
          </w:tcPr>
          <w:p>
            <w:pPr>
              <w:spacing w:after="0"/>
              <w:rPr>
                <w:sz w:val="17"/>
                <w:szCs w:val="17"/>
                <w:color w:val="auto"/>
              </w:rPr>
            </w:pPr>
          </w:p>
        </w:tc>
        <w:tc>
          <w:tcPr>
            <w:tcW w:w="820" w:type="dxa"/>
            <w:vAlign w:val="bottom"/>
          </w:tcPr>
          <w:p>
            <w:pPr>
              <w:jc w:val="right"/>
              <w:ind w:right="164"/>
              <w:spacing w:after="0"/>
              <w:rPr>
                <w:sz w:val="20"/>
                <w:szCs w:val="20"/>
                <w:color w:val="auto"/>
              </w:rPr>
            </w:pPr>
            <w:r>
              <w:rPr>
                <w:rFonts w:ascii="Arial" w:cs="Arial" w:eastAsia="Arial" w:hAnsi="Arial"/>
                <w:sz w:val="15"/>
                <w:szCs w:val="15"/>
                <w:b w:val="1"/>
                <w:bCs w:val="1"/>
                <w:color w:val="auto"/>
              </w:rPr>
              <w:t>Change</w:t>
            </w:r>
          </w:p>
        </w:tc>
        <w:tc>
          <w:tcPr>
            <w:tcW w:w="80" w:type="dxa"/>
            <w:vAlign w:val="bottom"/>
          </w:tcPr>
          <w:p>
            <w:pPr>
              <w:spacing w:after="0"/>
              <w:rPr>
                <w:sz w:val="17"/>
                <w:szCs w:val="17"/>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b w:val="1"/>
                <w:bCs w:val="1"/>
                <w:color w:val="auto"/>
              </w:rPr>
              <w:t>% Change</w:t>
            </w:r>
          </w:p>
        </w:tc>
      </w:tr>
      <w:tr>
        <w:trPr>
          <w:trHeight w:val="183"/>
        </w:trPr>
        <w:tc>
          <w:tcPr>
            <w:tcW w:w="20" w:type="dxa"/>
            <w:vAlign w:val="bottom"/>
          </w:tcPr>
          <w:p>
            <w:pPr>
              <w:spacing w:after="0"/>
              <w:rPr>
                <w:sz w:val="15"/>
                <w:szCs w:val="15"/>
                <w:color w:val="auto"/>
              </w:rPr>
            </w:pPr>
          </w:p>
        </w:tc>
        <w:tc>
          <w:tcPr>
            <w:tcW w:w="6500" w:type="dxa"/>
            <w:vAlign w:val="bottom"/>
            <w:gridSpan w:val="5"/>
          </w:tcPr>
          <w:p>
            <w:pPr>
              <w:spacing w:after="0"/>
              <w:rPr>
                <w:sz w:val="20"/>
                <w:szCs w:val="20"/>
                <w:color w:val="auto"/>
              </w:rPr>
            </w:pPr>
            <w:r>
              <w:rPr>
                <w:rFonts w:ascii="Arial" w:cs="Arial" w:eastAsia="Arial" w:hAnsi="Arial"/>
                <w:sz w:val="15"/>
                <w:szCs w:val="15"/>
                <w:b w:val="1"/>
                <w:bCs w:val="1"/>
                <w:color w:val="auto"/>
              </w:rPr>
              <w:t>Financial Information</w:t>
            </w: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r>
      <w:tr>
        <w:trPr>
          <w:trHeight w:val="187"/>
        </w:trPr>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line="166" w:lineRule="exact"/>
              <w:rPr>
                <w:sz w:val="20"/>
                <w:szCs w:val="20"/>
                <w:color w:val="auto"/>
              </w:rPr>
            </w:pPr>
            <w:r>
              <w:rPr>
                <w:rFonts w:ascii="Arial" w:cs="Arial" w:eastAsia="Arial" w:hAnsi="Arial"/>
                <w:sz w:val="15"/>
                <w:szCs w:val="15"/>
                <w:b w:val="1"/>
                <w:bCs w:val="1"/>
                <w:color w:val="auto"/>
                <w:w w:val="89"/>
              </w:rPr>
              <w:t>New Homes</w:t>
            </w:r>
          </w:p>
        </w:tc>
        <w:tc>
          <w:tcPr>
            <w:tcW w:w="5600" w:type="dxa"/>
            <w:vAlign w:val="bottom"/>
            <w:tcBorders>
              <w:bottom w:val="single" w:sz="8" w:color="CCEEFF"/>
            </w:tcBorders>
            <w:gridSpan w:val="3"/>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80" w:type="dxa"/>
            <w:vAlign w:val="bottom"/>
            <w:gridSpan w:val="4"/>
          </w:tcPr>
          <w:p>
            <w:pPr>
              <w:ind w:left="200"/>
              <w:spacing w:after="0"/>
              <w:rPr>
                <w:sz w:val="20"/>
                <w:szCs w:val="20"/>
                <w:color w:val="auto"/>
              </w:rPr>
            </w:pPr>
            <w:r>
              <w:rPr>
                <w:rFonts w:ascii="Arial" w:cs="Arial" w:eastAsia="Arial" w:hAnsi="Arial"/>
                <w:sz w:val="15"/>
                <w:szCs w:val="15"/>
                <w:color w:val="auto"/>
              </w:rPr>
              <w:t>New home sales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26.6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23.0</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124"/>
              <w:spacing w:after="0"/>
              <w:rPr>
                <w:sz w:val="20"/>
                <w:szCs w:val="20"/>
                <w:color w:val="auto"/>
              </w:rPr>
            </w:pPr>
            <w:r>
              <w:rPr>
                <w:rFonts w:ascii="Arial" w:cs="Arial" w:eastAsia="Arial" w:hAnsi="Arial"/>
                <w:sz w:val="15"/>
                <w:szCs w:val="15"/>
                <w:color w:val="auto"/>
              </w:rPr>
              <w:t>3.6</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15.7 %</w:t>
            </w:r>
          </w:p>
        </w:tc>
      </w:tr>
      <w:tr>
        <w:trPr>
          <w:trHeight w:val="207"/>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38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New home cost of sales</w:t>
            </w: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21.6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18.7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15.5 %</w:t>
            </w: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380" w:type="dxa"/>
            <w:vAlign w:val="bottom"/>
            <w:gridSpan w:val="4"/>
          </w:tcPr>
          <w:p>
            <w:pPr>
              <w:ind w:left="200"/>
              <w:spacing w:after="0"/>
              <w:rPr>
                <w:sz w:val="20"/>
                <w:szCs w:val="20"/>
                <w:color w:val="auto"/>
              </w:rPr>
            </w:pPr>
            <w:r>
              <w:rPr>
                <w:rFonts w:ascii="Arial" w:cs="Arial" w:eastAsia="Arial" w:hAnsi="Arial"/>
                <w:sz w:val="15"/>
                <w:szCs w:val="15"/>
                <w:color w:val="auto"/>
              </w:rPr>
              <w:t>Gross profit – new homes</w:t>
            </w:r>
          </w:p>
        </w:tc>
        <w:tc>
          <w:tcPr>
            <w:tcW w:w="120" w:type="dxa"/>
            <w:vAlign w:val="bottom"/>
          </w:tcPr>
          <w:p>
            <w:pPr>
              <w:spacing w:after="0"/>
              <w:rPr>
                <w:sz w:val="16"/>
                <w:szCs w:val="16"/>
                <w:color w:val="auto"/>
              </w:rPr>
            </w:pP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24"/>
              <w:spacing w:after="0"/>
              <w:rPr>
                <w:sz w:val="20"/>
                <w:szCs w:val="20"/>
                <w:color w:val="auto"/>
              </w:rPr>
            </w:pPr>
            <w:r>
              <w:rPr>
                <w:rFonts w:ascii="Arial" w:cs="Arial" w:eastAsia="Arial" w:hAnsi="Arial"/>
                <w:sz w:val="15"/>
                <w:szCs w:val="15"/>
                <w:color w:val="auto"/>
              </w:rPr>
              <w:t>0.7</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16.3 %</w:t>
            </w:r>
          </w:p>
        </w:tc>
      </w:tr>
      <w:tr>
        <w:trPr>
          <w:trHeight w:val="206"/>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38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Gross margin % – new homes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0.1 %</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80" w:type="dxa"/>
            <w:vAlign w:val="bottom"/>
            <w:gridSpan w:val="4"/>
          </w:tcPr>
          <w:p>
            <w:pPr>
              <w:ind w:left="200"/>
              <w:spacing w:after="0"/>
              <w:rPr>
                <w:sz w:val="20"/>
                <w:szCs w:val="20"/>
                <w:color w:val="auto"/>
              </w:rPr>
            </w:pPr>
            <w:r>
              <w:rPr>
                <w:rFonts w:ascii="Arial" w:cs="Arial" w:eastAsia="Arial" w:hAnsi="Arial"/>
                <w:sz w:val="15"/>
                <w:szCs w:val="15"/>
                <w:color w:val="auto"/>
              </w:rPr>
              <w:t>Average selling price – new homes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179,730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154,174</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124"/>
              <w:spacing w:after="0"/>
              <w:rPr>
                <w:sz w:val="20"/>
                <w:szCs w:val="20"/>
                <w:color w:val="auto"/>
              </w:rPr>
            </w:pPr>
            <w:r>
              <w:rPr>
                <w:rFonts w:ascii="Arial" w:cs="Arial" w:eastAsia="Arial" w:hAnsi="Arial"/>
                <w:sz w:val="15"/>
                <w:szCs w:val="15"/>
                <w:color w:val="auto"/>
              </w:rPr>
              <w:t>25,556</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16.6 %</w:t>
            </w:r>
          </w:p>
        </w:tc>
      </w:tr>
      <w:tr>
        <w:trPr>
          <w:trHeight w:val="220"/>
        </w:trPr>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6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380" w:type="dxa"/>
            <w:vAlign w:val="bottom"/>
            <w:gridSpan w:val="4"/>
          </w:tcPr>
          <w:p>
            <w:pPr>
              <w:spacing w:after="0" w:line="162" w:lineRule="exact"/>
              <w:rPr>
                <w:sz w:val="20"/>
                <w:szCs w:val="20"/>
                <w:color w:val="auto"/>
              </w:rPr>
            </w:pPr>
            <w:r>
              <w:rPr>
                <w:rFonts w:ascii="Arial" w:cs="Arial" w:eastAsia="Arial" w:hAnsi="Arial"/>
                <w:sz w:val="15"/>
                <w:szCs w:val="15"/>
                <w:b w:val="1"/>
                <w:bCs w:val="1"/>
                <w:color w:val="auto"/>
              </w:rPr>
              <w:t>Pre-owned Homes</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38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Pre-owned home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38.1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29.2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8.9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30.5 %</w:t>
            </w:r>
          </w:p>
        </w:tc>
      </w:tr>
      <w:tr>
        <w:trPr>
          <w:trHeight w:val="198"/>
        </w:trPr>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380" w:type="dxa"/>
            <w:vAlign w:val="bottom"/>
            <w:tcBorders>
              <w:bottom w:val="single" w:sz="8" w:color="CCEEFF"/>
            </w:tcBorders>
            <w:gridSpan w:val="4"/>
          </w:tcPr>
          <w:p>
            <w:pPr>
              <w:ind w:left="200"/>
              <w:spacing w:after="0"/>
              <w:rPr>
                <w:sz w:val="20"/>
                <w:szCs w:val="20"/>
                <w:color w:val="auto"/>
              </w:rPr>
            </w:pPr>
            <w:r>
              <w:rPr>
                <w:rFonts w:ascii="Arial" w:cs="Arial" w:eastAsia="Arial" w:hAnsi="Arial"/>
                <w:sz w:val="15"/>
                <w:szCs w:val="15"/>
                <w:color w:val="auto"/>
              </w:rPr>
              <w:t>Pre-owned home cost of sales</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19.8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18.6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1.2</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6.5 %</w:t>
            </w:r>
          </w:p>
        </w:tc>
      </w:tr>
      <w:tr>
        <w:trPr>
          <w:trHeight w:val="200"/>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38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Gross Profit – pre-owned homes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10.6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7.7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72.6 %</w:t>
            </w:r>
          </w:p>
        </w:tc>
      </w:tr>
      <w:tr>
        <w:trPr>
          <w:trHeight w:val="19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80" w:type="dxa"/>
            <w:vAlign w:val="bottom"/>
            <w:gridSpan w:val="4"/>
          </w:tcPr>
          <w:p>
            <w:pPr>
              <w:ind w:left="200"/>
              <w:spacing w:after="0"/>
              <w:rPr>
                <w:sz w:val="20"/>
                <w:szCs w:val="20"/>
                <w:color w:val="auto"/>
              </w:rPr>
            </w:pPr>
            <w:r>
              <w:rPr>
                <w:rFonts w:ascii="Arial" w:cs="Arial" w:eastAsia="Arial" w:hAnsi="Arial"/>
                <w:sz w:val="15"/>
                <w:szCs w:val="15"/>
                <w:color w:val="auto"/>
              </w:rPr>
              <w:t>Gross margin % – pre-owned homes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48.0 %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36.4 %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11.6 %</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38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Average selling price – pre-owned homes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55,298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42,605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12,693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29.8 %</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62"/>
        </w:trPr>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380" w:type="dxa"/>
            <w:vAlign w:val="bottom"/>
            <w:gridSpan w:val="4"/>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Total Home Sales</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80" w:type="dxa"/>
            <w:vAlign w:val="bottom"/>
            <w:gridSpan w:val="4"/>
          </w:tcPr>
          <w:p>
            <w:pPr>
              <w:ind w:left="220"/>
              <w:spacing w:after="0"/>
              <w:rPr>
                <w:sz w:val="20"/>
                <w:szCs w:val="20"/>
                <w:color w:val="auto"/>
              </w:rPr>
            </w:pPr>
            <w:r>
              <w:rPr>
                <w:rFonts w:ascii="Arial" w:cs="Arial" w:eastAsia="Arial" w:hAnsi="Arial"/>
                <w:sz w:val="15"/>
                <w:szCs w:val="15"/>
                <w:color w:val="auto"/>
              </w:rPr>
              <w:t>Revenue from home sales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64.7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52.2</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124"/>
              <w:spacing w:after="0"/>
              <w:rPr>
                <w:sz w:val="20"/>
                <w:szCs w:val="20"/>
                <w:color w:val="auto"/>
              </w:rPr>
            </w:pPr>
            <w:r>
              <w:rPr>
                <w:rFonts w:ascii="Arial" w:cs="Arial" w:eastAsia="Arial" w:hAnsi="Arial"/>
                <w:sz w:val="15"/>
                <w:szCs w:val="15"/>
                <w:color w:val="auto"/>
              </w:rPr>
              <w:t>12.5</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23.9 %</w:t>
            </w:r>
          </w:p>
        </w:tc>
      </w:tr>
      <w:tr>
        <w:trPr>
          <w:trHeight w:val="207"/>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380" w:type="dxa"/>
            <w:vAlign w:val="bottom"/>
            <w:gridSpan w:val="4"/>
            <w:shd w:val="clear" w:color="auto" w:fill="CCEEFF"/>
          </w:tcPr>
          <w:p>
            <w:pPr>
              <w:ind w:left="220"/>
              <w:spacing w:after="0"/>
              <w:rPr>
                <w:sz w:val="20"/>
                <w:szCs w:val="20"/>
                <w:color w:val="auto"/>
              </w:rPr>
            </w:pPr>
            <w:r>
              <w:rPr>
                <w:rFonts w:ascii="Arial" w:cs="Arial" w:eastAsia="Arial" w:hAnsi="Arial"/>
                <w:sz w:val="15"/>
                <w:szCs w:val="15"/>
                <w:color w:val="auto"/>
              </w:rPr>
              <w:t>Cost of home sales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37.3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11.0 %</w:t>
            </w:r>
          </w:p>
        </w:tc>
      </w:tr>
      <w:tr>
        <w:trPr>
          <w:trHeight w:val="198"/>
        </w:trPr>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380" w:type="dxa"/>
            <w:vAlign w:val="bottom"/>
            <w:tcBorders>
              <w:bottom w:val="single" w:sz="8" w:color="CCEEFF"/>
            </w:tcBorders>
            <w:gridSpan w:val="4"/>
          </w:tcPr>
          <w:p>
            <w:pPr>
              <w:ind w:left="200"/>
              <w:spacing w:after="0"/>
              <w:rPr>
                <w:sz w:val="20"/>
                <w:szCs w:val="20"/>
                <w:color w:val="auto"/>
              </w:rPr>
            </w:pPr>
            <w:r>
              <w:rPr>
                <w:rFonts w:ascii="Arial" w:cs="Arial" w:eastAsia="Arial" w:hAnsi="Arial"/>
                <w:sz w:val="15"/>
                <w:szCs w:val="15"/>
                <w:color w:val="auto"/>
              </w:rPr>
              <w:t>Home selling expenses</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4.5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4.3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0.2</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4.7 %</w:t>
            </w: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38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5"/>
                <w:szCs w:val="15"/>
                <w:color w:val="auto"/>
              </w:rPr>
              <w:t>Home Sales NOI</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18.8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10.6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8.2</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77.4 %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auto"/>
            </w:tcBorders>
            <w:gridSpan w:val="3"/>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96"/>
              </w:rPr>
              <w:t>Other Information</w:t>
            </w:r>
          </w:p>
        </w:tc>
        <w:tc>
          <w:tcPr>
            <w:tcW w:w="5260" w:type="dxa"/>
            <w:vAlign w:val="bottom"/>
            <w:tcBorders>
              <w:bottom w:val="single" w:sz="8" w:color="CCEEFF"/>
            </w:tcBorders>
            <w:gridSpan w:val="2"/>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r>
      <w:tr>
        <w:trPr>
          <w:trHeight w:val="199"/>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80" w:type="dxa"/>
            <w:vAlign w:val="bottom"/>
            <w:gridSpan w:val="4"/>
          </w:tcPr>
          <w:p>
            <w:pPr>
              <w:ind w:left="200"/>
              <w:spacing w:after="0"/>
              <w:rPr>
                <w:sz w:val="20"/>
                <w:szCs w:val="20"/>
                <w:color w:val="auto"/>
              </w:rPr>
            </w:pPr>
            <w:r>
              <w:rPr>
                <w:rFonts w:ascii="Arial" w:cs="Arial" w:eastAsia="Arial" w:hAnsi="Arial"/>
                <w:sz w:val="15"/>
                <w:szCs w:val="15"/>
                <w:color w:val="auto"/>
              </w:rPr>
              <w:t>New home sales volume</w:t>
            </w:r>
          </w:p>
        </w:tc>
        <w:tc>
          <w:tcPr>
            <w:tcW w:w="120" w:type="dxa"/>
            <w:vAlign w:val="bottom"/>
          </w:tcPr>
          <w:p>
            <w:pPr>
              <w:spacing w:after="0"/>
              <w:rPr>
                <w:sz w:val="17"/>
                <w:szCs w:val="17"/>
                <w:color w:val="auto"/>
              </w:rPr>
            </w:pPr>
          </w:p>
        </w:tc>
        <w:tc>
          <w:tcPr>
            <w:tcW w:w="1180" w:type="dxa"/>
            <w:vAlign w:val="bottom"/>
          </w:tcPr>
          <w:p>
            <w:pPr>
              <w:jc w:val="right"/>
              <w:ind w:right="124"/>
              <w:spacing w:after="0"/>
              <w:rPr>
                <w:sz w:val="20"/>
                <w:szCs w:val="20"/>
                <w:color w:val="auto"/>
              </w:rPr>
            </w:pPr>
            <w:r>
              <w:rPr>
                <w:rFonts w:ascii="Arial" w:cs="Arial" w:eastAsia="Arial" w:hAnsi="Arial"/>
                <w:sz w:val="15"/>
                <w:szCs w:val="15"/>
                <w:color w:val="auto"/>
              </w:rPr>
              <w:t>148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149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84"/>
              <w:spacing w:after="0"/>
              <w:rPr>
                <w:sz w:val="20"/>
                <w:szCs w:val="20"/>
                <w:color w:val="auto"/>
              </w:rPr>
            </w:pPr>
            <w:r>
              <w:rPr>
                <w:rFonts w:ascii="Arial" w:cs="Arial" w:eastAsia="Arial" w:hAnsi="Arial"/>
                <w:sz w:val="15"/>
                <w:szCs w:val="15"/>
                <w:color w:val="auto"/>
              </w:rPr>
              <w:t>(1)</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(0.7)%</w:t>
            </w:r>
          </w:p>
        </w:tc>
      </w:tr>
      <w:tr>
        <w:trPr>
          <w:trHeight w:val="202"/>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380" w:type="dxa"/>
            <w:vAlign w:val="bottom"/>
            <w:gridSpan w:val="4"/>
            <w:shd w:val="clear" w:color="auto" w:fill="CCEEFF"/>
          </w:tcPr>
          <w:p>
            <w:pPr>
              <w:ind w:left="200"/>
              <w:spacing w:after="0"/>
              <w:rPr>
                <w:sz w:val="20"/>
                <w:szCs w:val="20"/>
                <w:color w:val="auto"/>
              </w:rPr>
            </w:pPr>
            <w:r>
              <w:rPr>
                <w:rFonts w:ascii="Arial" w:cs="Arial" w:eastAsia="Arial" w:hAnsi="Arial"/>
                <w:sz w:val="15"/>
                <w:szCs w:val="15"/>
                <w:color w:val="auto"/>
              </w:rPr>
              <w:t>Pre-owned home sales volume</w:t>
            </w: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689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686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0.4 %</w:t>
            </w:r>
          </w:p>
        </w:tc>
      </w:tr>
      <w:tr>
        <w:trPr>
          <w:trHeight w:val="200"/>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80" w:type="dxa"/>
            <w:vAlign w:val="bottom"/>
            <w:gridSpan w:val="4"/>
          </w:tcPr>
          <w:p>
            <w:pPr>
              <w:ind w:left="200"/>
              <w:spacing w:after="0"/>
              <w:rPr>
                <w:sz w:val="20"/>
                <w:szCs w:val="20"/>
                <w:color w:val="auto"/>
              </w:rPr>
            </w:pPr>
            <w:r>
              <w:rPr>
                <w:rFonts w:ascii="Arial" w:cs="Arial" w:eastAsia="Arial" w:hAnsi="Arial"/>
                <w:sz w:val="15"/>
                <w:szCs w:val="15"/>
                <w:color w:val="auto"/>
              </w:rPr>
              <w:t>Total home sales volume</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837</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835</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0.2 %</w:t>
            </w: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 New Homes</w:t>
      </w:r>
    </w:p>
    <w:p>
      <w:pPr>
        <w:spacing w:after="0" w:line="23" w:lineRule="exact"/>
        <w:rPr>
          <w:sz w:val="20"/>
          <w:szCs w:val="20"/>
          <w:color w:val="auto"/>
        </w:rPr>
      </w:pPr>
    </w:p>
    <w:p>
      <w:pPr>
        <w:ind w:left="180" w:right="20"/>
        <w:spacing w:after="0" w:line="260" w:lineRule="auto"/>
        <w:rPr>
          <w:sz w:val="20"/>
          <w:szCs w:val="20"/>
          <w:color w:val="auto"/>
        </w:rPr>
      </w:pPr>
      <w:r>
        <w:rPr>
          <w:rFonts w:ascii="Arial" w:cs="Arial" w:eastAsia="Arial" w:hAnsi="Arial"/>
          <w:sz w:val="18"/>
          <w:szCs w:val="18"/>
          <w:color w:val="auto"/>
        </w:rPr>
        <w:t>For the three months ended March 31, 2022, the $0.7 million, or 16.3 percent, increase in gross profit is primarily the result of a 16.6 percent increase in the new home average selling price, as compared to the same period in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 Pre-owned Homes</w:t>
      </w:r>
    </w:p>
    <w:p>
      <w:pPr>
        <w:spacing w:after="0" w:line="23" w:lineRule="exact"/>
        <w:rPr>
          <w:sz w:val="20"/>
          <w:szCs w:val="20"/>
          <w:color w:val="auto"/>
        </w:rPr>
      </w:pPr>
    </w:p>
    <w:p>
      <w:pPr>
        <w:ind w:left="180"/>
        <w:spacing w:after="0" w:line="323" w:lineRule="auto"/>
        <w:rPr>
          <w:sz w:val="20"/>
          <w:szCs w:val="20"/>
          <w:color w:val="auto"/>
        </w:rPr>
      </w:pPr>
      <w:r>
        <w:rPr>
          <w:rFonts w:ascii="Arial" w:cs="Arial" w:eastAsia="Arial" w:hAnsi="Arial"/>
          <w:sz w:val="16"/>
          <w:szCs w:val="16"/>
          <w:color w:val="auto"/>
        </w:rPr>
        <w:t>For the three months ended March 31, 2022, the $7.7 million, or 72.6 percent, increase in gross profit is primarily the result of a 11.6 percent increase in gross margin, primarily due to a 29.8 percent increase in the pre-owned home average selling price, as compared to the same period in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Homes sales NOI</w:t>
      </w:r>
    </w:p>
    <w:p>
      <w:pPr>
        <w:spacing w:after="0" w:line="23" w:lineRule="exact"/>
        <w:rPr>
          <w:sz w:val="20"/>
          <w:szCs w:val="20"/>
          <w:color w:val="auto"/>
        </w:rPr>
      </w:pPr>
    </w:p>
    <w:p>
      <w:pPr>
        <w:ind w:left="180"/>
        <w:spacing w:after="0" w:line="260" w:lineRule="auto"/>
        <w:rPr>
          <w:sz w:val="20"/>
          <w:szCs w:val="20"/>
          <w:color w:val="auto"/>
        </w:rPr>
      </w:pPr>
      <w:r>
        <w:rPr>
          <w:rFonts w:ascii="Arial" w:cs="Arial" w:eastAsia="Arial" w:hAnsi="Arial"/>
          <w:sz w:val="18"/>
          <w:szCs w:val="18"/>
          <w:color w:val="auto"/>
        </w:rPr>
        <w:t>For the three months ended March 31, 2022, the $8.2 million, or 77.4 percent, increase in NOI is primarily the result of an increase in new home average selling price and pre-owned home average selling price, compared to the same period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Program Summary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certain financial and other information for our Rental Program as of and for the three months ended March 31, 2022 and 2021 (in millions, except for weighted average monthly rental rate and statistical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9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4"/>
          </w:tcPr>
          <w:p>
            <w:pPr>
              <w:jc w:val="right"/>
              <w:ind w:right="464"/>
              <w:spacing w:after="0"/>
              <w:rPr>
                <w:sz w:val="20"/>
                <w:szCs w:val="20"/>
                <w:color w:val="auto"/>
              </w:rPr>
            </w:pPr>
            <w:r>
              <w:rPr>
                <w:rFonts w:ascii="Arial" w:cs="Arial" w:eastAsia="Arial" w:hAnsi="Arial"/>
                <w:sz w:val="15"/>
                <w:szCs w:val="15"/>
                <w:b w:val="1"/>
                <w:bCs w:val="1"/>
                <w:color w:val="auto"/>
                <w:w w:val="95"/>
              </w:rPr>
              <w:t>Three Months Ended</w:t>
            </w: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196"/>
        </w:trPr>
        <w:tc>
          <w:tcPr>
            <w:tcW w:w="6920" w:type="dxa"/>
            <w:vAlign w:val="bottom"/>
          </w:tcPr>
          <w:p>
            <w:pPr>
              <w:spacing w:after="0"/>
              <w:rPr>
                <w:sz w:val="17"/>
                <w:szCs w:val="17"/>
                <w:color w:val="auto"/>
              </w:rPr>
            </w:pPr>
          </w:p>
        </w:tc>
        <w:tc>
          <w:tcPr>
            <w:tcW w:w="1260" w:type="dxa"/>
            <w:vAlign w:val="bottom"/>
            <w:gridSpan w:val="3"/>
          </w:tcPr>
          <w:p>
            <w:pPr>
              <w:ind w:left="80"/>
              <w:spacing w:after="0"/>
              <w:rPr>
                <w:sz w:val="20"/>
                <w:szCs w:val="20"/>
                <w:color w:val="auto"/>
              </w:rPr>
            </w:pPr>
            <w:r>
              <w:rPr>
                <w:rFonts w:ascii="Arial" w:cs="Arial" w:eastAsia="Arial" w:hAnsi="Arial"/>
                <w:sz w:val="15"/>
                <w:szCs w:val="15"/>
                <w:b w:val="1"/>
                <w:bCs w:val="1"/>
                <w:color w:val="auto"/>
              </w:rPr>
              <w:t>March 31, 2022</w:t>
            </w:r>
          </w:p>
        </w:tc>
        <w:tc>
          <w:tcPr>
            <w:tcW w:w="1280" w:type="dxa"/>
            <w:vAlign w:val="bottom"/>
            <w:gridSpan w:val="3"/>
          </w:tcPr>
          <w:p>
            <w:pPr>
              <w:ind w:left="100"/>
              <w:spacing w:after="0"/>
              <w:rPr>
                <w:sz w:val="20"/>
                <w:szCs w:val="20"/>
                <w:color w:val="auto"/>
              </w:rPr>
            </w:pPr>
            <w:r>
              <w:rPr>
                <w:rFonts w:ascii="Arial" w:cs="Arial" w:eastAsia="Arial" w:hAnsi="Arial"/>
                <w:sz w:val="15"/>
                <w:szCs w:val="15"/>
                <w:b w:val="1"/>
                <w:bCs w:val="1"/>
                <w:color w:val="auto"/>
              </w:rPr>
              <w:t>March 31, 2021</w:t>
            </w:r>
          </w:p>
        </w:tc>
        <w:tc>
          <w:tcPr>
            <w:tcW w:w="120" w:type="dxa"/>
            <w:vAlign w:val="bottom"/>
          </w:tcPr>
          <w:p>
            <w:pPr>
              <w:spacing w:after="0"/>
              <w:rPr>
                <w:sz w:val="17"/>
                <w:szCs w:val="17"/>
                <w:color w:val="auto"/>
              </w:rPr>
            </w:pPr>
          </w:p>
        </w:tc>
        <w:tc>
          <w:tcPr>
            <w:tcW w:w="720" w:type="dxa"/>
            <w:vAlign w:val="bottom"/>
          </w:tcPr>
          <w:p>
            <w:pPr>
              <w:jc w:val="right"/>
              <w:ind w:right="104"/>
              <w:spacing w:after="0"/>
              <w:rPr>
                <w:sz w:val="20"/>
                <w:szCs w:val="20"/>
                <w:color w:val="auto"/>
              </w:rPr>
            </w:pPr>
            <w:r>
              <w:rPr>
                <w:rFonts w:ascii="Arial" w:cs="Arial" w:eastAsia="Arial" w:hAnsi="Arial"/>
                <w:sz w:val="15"/>
                <w:szCs w:val="15"/>
                <w:b w:val="1"/>
                <w:bCs w:val="1"/>
                <w:color w:val="auto"/>
                <w:w w:val="94"/>
              </w:rPr>
              <w:t>Change</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 Change</w:t>
            </w:r>
          </w:p>
        </w:tc>
      </w:tr>
      <w:tr>
        <w:trPr>
          <w:trHeight w:val="183"/>
        </w:trPr>
        <w:tc>
          <w:tcPr>
            <w:tcW w:w="6920" w:type="dxa"/>
            <w:vAlign w:val="bottom"/>
          </w:tcPr>
          <w:p>
            <w:pPr>
              <w:ind w:left="20"/>
              <w:spacing w:after="0"/>
              <w:rPr>
                <w:sz w:val="20"/>
                <w:szCs w:val="20"/>
                <w:color w:val="auto"/>
              </w:rPr>
            </w:pPr>
            <w:r>
              <w:rPr>
                <w:rFonts w:ascii="Arial" w:cs="Arial" w:eastAsia="Arial" w:hAnsi="Arial"/>
                <w:sz w:val="15"/>
                <w:szCs w:val="15"/>
                <w:b w:val="1"/>
                <w:bCs w:val="1"/>
                <w:color w:val="auto"/>
              </w:rPr>
              <w:t>Financial Information</w:t>
            </w:r>
          </w:p>
        </w:tc>
        <w:tc>
          <w:tcPr>
            <w:tcW w:w="4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206"/>
        </w:trPr>
        <w:tc>
          <w:tcPr>
            <w:tcW w:w="692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Revenues</w:t>
            </w: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99"/>
        </w:trPr>
        <w:tc>
          <w:tcPr>
            <w:tcW w:w="6920" w:type="dxa"/>
            <w:vAlign w:val="bottom"/>
          </w:tcPr>
          <w:p>
            <w:pPr>
              <w:ind w:left="340"/>
              <w:spacing w:after="0"/>
              <w:rPr>
                <w:sz w:val="20"/>
                <w:szCs w:val="20"/>
                <w:color w:val="auto"/>
              </w:rPr>
            </w:pPr>
            <w:r>
              <w:rPr>
                <w:rFonts w:ascii="Arial" w:cs="Arial" w:eastAsia="Arial" w:hAnsi="Arial"/>
                <w:sz w:val="15"/>
                <w:szCs w:val="15"/>
                <w:color w:val="auto"/>
              </w:rPr>
              <w:t>Home rent</w:t>
            </w: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16.1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17.0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(0.9)</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(5.3)%</w:t>
            </w:r>
          </w:p>
        </w:tc>
      </w:tr>
      <w:tr>
        <w:trPr>
          <w:trHeight w:val="206"/>
        </w:trPr>
        <w:tc>
          <w:tcPr>
            <w:tcW w:w="69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Site rent</w:t>
            </w:r>
          </w:p>
        </w:tc>
        <w:tc>
          <w:tcPr>
            <w:tcW w:w="4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(15.7)%</w:t>
            </w:r>
          </w:p>
        </w:tc>
      </w:tr>
      <w:tr>
        <w:trPr>
          <w:trHeight w:val="192"/>
        </w:trPr>
        <w:tc>
          <w:tcPr>
            <w:tcW w:w="692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Total</w:t>
            </w: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(10.8)%</w:t>
            </w:r>
          </w:p>
        </w:tc>
      </w:tr>
      <w:tr>
        <w:trPr>
          <w:trHeight w:val="200"/>
        </w:trPr>
        <w:tc>
          <w:tcPr>
            <w:tcW w:w="6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0"/>
        </w:trPr>
        <w:tc>
          <w:tcPr>
            <w:tcW w:w="6920" w:type="dxa"/>
            <w:vAlign w:val="bottom"/>
          </w:tcPr>
          <w:p>
            <w:pPr>
              <w:ind w:left="140"/>
              <w:spacing w:after="0"/>
              <w:rPr>
                <w:sz w:val="20"/>
                <w:szCs w:val="20"/>
                <w:color w:val="auto"/>
              </w:rPr>
            </w:pPr>
            <w:r>
              <w:rPr>
                <w:rFonts w:ascii="Arial" w:cs="Arial" w:eastAsia="Arial" w:hAnsi="Arial"/>
                <w:sz w:val="15"/>
                <w:szCs w:val="15"/>
                <w:b w:val="1"/>
                <w:bCs w:val="1"/>
                <w:color w:val="auto"/>
              </w:rPr>
              <w:t>Expenses</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1"/>
        </w:trPr>
        <w:tc>
          <w:tcPr>
            <w:tcW w:w="69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Rental Program operating and maintenance</w:t>
            </w:r>
          </w:p>
        </w:tc>
        <w:tc>
          <w:tcPr>
            <w:tcW w:w="4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(5.8)%</w:t>
            </w:r>
          </w:p>
        </w:tc>
      </w:tr>
      <w:tr>
        <w:trPr>
          <w:trHeight w:val="200"/>
        </w:trPr>
        <w:tc>
          <w:tcPr>
            <w:tcW w:w="6920" w:type="dxa"/>
            <w:vAlign w:val="bottom"/>
          </w:tcPr>
          <w:p>
            <w:pPr>
              <w:ind w:left="360"/>
              <w:spacing w:after="0"/>
              <w:rPr>
                <w:sz w:val="20"/>
                <w:szCs w:val="20"/>
                <w:color w:val="auto"/>
              </w:rPr>
            </w:pPr>
            <w:r>
              <w:rPr>
                <w:rFonts w:ascii="Arial" w:cs="Arial" w:eastAsia="Arial" w:hAnsi="Arial"/>
                <w:sz w:val="15"/>
                <w:szCs w:val="15"/>
                <w:color w:val="auto"/>
              </w:rPr>
              <w:t>Rental Program NOI</w:t>
            </w:r>
          </w:p>
        </w:tc>
        <w:tc>
          <w:tcPr>
            <w:tcW w:w="44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30.9</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(11.7)%</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r>
      <w:tr>
        <w:trPr>
          <w:trHeight w:val="183"/>
        </w:trPr>
        <w:tc>
          <w:tcPr>
            <w:tcW w:w="69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00"/>
        </w:trPr>
        <w:tc>
          <w:tcPr>
            <w:tcW w:w="6920" w:type="dxa"/>
            <w:vAlign w:val="bottom"/>
          </w:tcPr>
          <w:p>
            <w:pPr>
              <w:ind w:left="20"/>
              <w:spacing w:after="0"/>
              <w:rPr>
                <w:sz w:val="20"/>
                <w:szCs w:val="20"/>
                <w:color w:val="auto"/>
              </w:rPr>
            </w:pPr>
            <w:r>
              <w:rPr>
                <w:rFonts w:ascii="Arial" w:cs="Arial" w:eastAsia="Arial" w:hAnsi="Arial"/>
                <w:sz w:val="15"/>
                <w:szCs w:val="15"/>
                <w:b w:val="1"/>
                <w:bCs w:val="1"/>
                <w:color w:val="auto"/>
              </w:rPr>
              <w:t>Other Information</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5"/>
        </w:trPr>
        <w:tc>
          <w:tcPr>
            <w:tcW w:w="6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Number of sold rental homes</w:t>
            </w: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(16.1)%</w:t>
            </w:r>
          </w:p>
        </w:tc>
      </w:tr>
      <w:tr>
        <w:trPr>
          <w:trHeight w:val="198"/>
        </w:trPr>
        <w:tc>
          <w:tcPr>
            <w:tcW w:w="6920" w:type="dxa"/>
            <w:vAlign w:val="bottom"/>
          </w:tcPr>
          <w:p>
            <w:pPr>
              <w:ind w:left="140"/>
              <w:spacing w:after="0"/>
              <w:rPr>
                <w:sz w:val="20"/>
                <w:szCs w:val="20"/>
                <w:color w:val="auto"/>
              </w:rPr>
            </w:pPr>
            <w:r>
              <w:rPr>
                <w:rFonts w:ascii="Arial" w:cs="Arial" w:eastAsia="Arial" w:hAnsi="Arial"/>
                <w:sz w:val="15"/>
                <w:szCs w:val="15"/>
                <w:color w:val="auto"/>
              </w:rPr>
              <w:t>Number of occupied rentals, end of period</w:t>
            </w:r>
          </w:p>
        </w:tc>
        <w:tc>
          <w:tcPr>
            <w:tcW w:w="4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9,467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11,473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(2,006)</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(17.5)%</w:t>
            </w:r>
          </w:p>
        </w:tc>
      </w:tr>
      <w:tr>
        <w:trPr>
          <w:trHeight w:val="207"/>
        </w:trPr>
        <w:tc>
          <w:tcPr>
            <w:tcW w:w="6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Investment in occupied rental homes, end of period</w:t>
            </w: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(12.9)%</w:t>
            </w:r>
          </w:p>
        </w:tc>
      </w:tr>
      <w:tr>
        <w:trPr>
          <w:trHeight w:val="195"/>
        </w:trPr>
        <w:tc>
          <w:tcPr>
            <w:tcW w:w="6920" w:type="dxa"/>
            <w:vAlign w:val="bottom"/>
          </w:tcPr>
          <w:p>
            <w:pPr>
              <w:ind w:left="140"/>
              <w:spacing w:after="0"/>
              <w:rPr>
                <w:sz w:val="20"/>
                <w:szCs w:val="20"/>
                <w:color w:val="auto"/>
              </w:rPr>
            </w:pPr>
            <w:r>
              <w:rPr>
                <w:rFonts w:ascii="Arial" w:cs="Arial" w:eastAsia="Arial" w:hAnsi="Arial"/>
                <w:sz w:val="15"/>
                <w:szCs w:val="15"/>
                <w:color w:val="auto"/>
              </w:rPr>
              <w:t>Weighted average monthly rental rate, end of period</w:t>
            </w: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1,139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1,055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84</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8.0 %</w:t>
            </w:r>
          </w:p>
        </w:tc>
      </w:tr>
    </w:tbl>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Rental Program NOI is included in Real Property NOI. The Rental Program NOI is separately reviewed to assess the overall growth and performance of the Rental Program and its financial impact on the Company's operations.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2022, Rental Program NOI decreased $3.6 million, or 11.7 percent as compared to the same period in 2021. The decrease is primarily due to a $3.9 million or 10.8 percent decrease in revenue driven by a 17.5 percent decrease in number of occupied rental homes, as compared to the same period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Marinas Summary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certain financial and other information for our marinas as of and for the three months ended March 31, 2022 and 2021 (in millions, except for statistical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right"/>
              <w:ind w:right="464"/>
              <w:spacing w:after="0"/>
              <w:rPr>
                <w:sz w:val="20"/>
                <w:szCs w:val="20"/>
                <w:color w:val="auto"/>
              </w:rPr>
            </w:pPr>
            <w:r>
              <w:rPr>
                <w:rFonts w:ascii="Arial" w:cs="Arial" w:eastAsia="Arial" w:hAnsi="Arial"/>
                <w:sz w:val="15"/>
                <w:szCs w:val="15"/>
                <w:b w:val="1"/>
                <w:bCs w:val="1"/>
                <w:color w:val="auto"/>
              </w:rPr>
              <w:t>Three Months Ended</w:t>
            </w: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98"/>
        </w:trPr>
        <w:tc>
          <w:tcPr>
            <w:tcW w:w="6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5"/>
                <w:szCs w:val="15"/>
                <w:b w:val="1"/>
                <w:bCs w:val="1"/>
                <w:color w:val="auto"/>
              </w:rPr>
              <w:t>March 31, 2022</w:t>
            </w:r>
          </w:p>
        </w:tc>
        <w:tc>
          <w:tcPr>
            <w:tcW w:w="10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5"/>
                <w:szCs w:val="15"/>
                <w:b w:val="1"/>
                <w:bCs w:val="1"/>
                <w:color w:val="auto"/>
              </w:rPr>
              <w:t>March 31, 2021</w:t>
            </w:r>
          </w:p>
        </w:tc>
        <w:tc>
          <w:tcPr>
            <w:tcW w:w="140" w:type="dxa"/>
            <w:vAlign w:val="bottom"/>
          </w:tcPr>
          <w:p>
            <w:pPr>
              <w:spacing w:after="0"/>
              <w:rPr>
                <w:sz w:val="17"/>
                <w:szCs w:val="17"/>
                <w:color w:val="auto"/>
              </w:rPr>
            </w:pPr>
          </w:p>
        </w:tc>
        <w:tc>
          <w:tcPr>
            <w:tcW w:w="740" w:type="dxa"/>
            <w:vAlign w:val="bottom"/>
          </w:tcPr>
          <w:p>
            <w:pPr>
              <w:jc w:val="right"/>
              <w:ind w:right="104"/>
              <w:spacing w:after="0"/>
              <w:rPr>
                <w:sz w:val="20"/>
                <w:szCs w:val="20"/>
                <w:color w:val="auto"/>
              </w:rPr>
            </w:pPr>
            <w:r>
              <w:rPr>
                <w:rFonts w:ascii="Arial" w:cs="Arial" w:eastAsia="Arial" w:hAnsi="Arial"/>
                <w:sz w:val="15"/>
                <w:szCs w:val="15"/>
                <w:b w:val="1"/>
                <w:bCs w:val="1"/>
                <w:color w:val="auto"/>
                <w:w w:val="98"/>
              </w:rPr>
              <w:t>Change</w:t>
            </w:r>
          </w:p>
        </w:tc>
        <w:tc>
          <w:tcPr>
            <w:tcW w:w="8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b w:val="1"/>
                <w:bCs w:val="1"/>
                <w:color w:val="auto"/>
              </w:rPr>
              <w:t>% Change</w:t>
            </w:r>
          </w:p>
        </w:tc>
      </w:tr>
      <w:tr>
        <w:trPr>
          <w:trHeight w:val="185"/>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Financial Information</w:t>
            </w:r>
          </w:p>
        </w:tc>
        <w:tc>
          <w:tcPr>
            <w:tcW w:w="8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r>
      <w:tr>
        <w:trPr>
          <w:trHeight w:val="200"/>
        </w:trPr>
        <w:tc>
          <w:tcPr>
            <w:tcW w:w="6780" w:type="dxa"/>
            <w:vAlign w:val="bottom"/>
          </w:tcPr>
          <w:p>
            <w:pPr>
              <w:ind w:left="140"/>
              <w:spacing w:after="0"/>
              <w:rPr>
                <w:sz w:val="20"/>
                <w:szCs w:val="20"/>
                <w:color w:val="auto"/>
              </w:rPr>
            </w:pPr>
            <w:r>
              <w:rPr>
                <w:rFonts w:ascii="Arial" w:cs="Arial" w:eastAsia="Arial" w:hAnsi="Arial"/>
                <w:sz w:val="15"/>
                <w:szCs w:val="15"/>
                <w:b w:val="1"/>
                <w:bCs w:val="1"/>
                <w:color w:val="auto"/>
              </w:rPr>
              <w:t>Revenues</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5"/>
        </w:trPr>
        <w:tc>
          <w:tcPr>
            <w:tcW w:w="67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Real property (excluding transient)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67.0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45.3 %</w:t>
            </w:r>
          </w:p>
        </w:tc>
      </w:tr>
      <w:tr>
        <w:trPr>
          <w:trHeight w:val="198"/>
        </w:trPr>
        <w:tc>
          <w:tcPr>
            <w:tcW w:w="6780" w:type="dxa"/>
            <w:vAlign w:val="bottom"/>
          </w:tcPr>
          <w:p>
            <w:pPr>
              <w:ind w:left="240"/>
              <w:spacing w:after="0"/>
              <w:rPr>
                <w:sz w:val="20"/>
                <w:szCs w:val="20"/>
                <w:color w:val="auto"/>
              </w:rPr>
            </w:pPr>
            <w:r>
              <w:rPr>
                <w:rFonts w:ascii="Arial" w:cs="Arial" w:eastAsia="Arial" w:hAnsi="Arial"/>
                <w:sz w:val="15"/>
                <w:szCs w:val="15"/>
                <w:color w:val="auto"/>
              </w:rPr>
              <w:t>Real property - transient</w:t>
            </w:r>
          </w:p>
        </w:tc>
        <w:tc>
          <w:tcPr>
            <w:tcW w:w="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177.8 %</w:t>
            </w:r>
          </w:p>
        </w:tc>
      </w:tr>
      <w:tr>
        <w:trPr>
          <w:trHeight w:val="207"/>
        </w:trPr>
        <w:tc>
          <w:tcPr>
            <w:tcW w:w="67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w:t>
            </w:r>
          </w:p>
        </w:tc>
        <w:tc>
          <w:tcPr>
            <w:tcW w:w="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2.9</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81.3 %</w:t>
            </w:r>
          </w:p>
        </w:tc>
      </w:tr>
      <w:tr>
        <w:trPr>
          <w:trHeight w:val="192"/>
        </w:trPr>
        <w:tc>
          <w:tcPr>
            <w:tcW w:w="6780" w:type="dxa"/>
            <w:vAlign w:val="bottom"/>
          </w:tcPr>
          <w:p>
            <w:pPr>
              <w:ind w:left="240"/>
              <w:spacing w:after="0"/>
              <w:rPr>
                <w:sz w:val="20"/>
                <w:szCs w:val="20"/>
                <w:color w:val="auto"/>
              </w:rPr>
            </w:pPr>
            <w:r>
              <w:rPr>
                <w:rFonts w:ascii="Arial" w:cs="Arial" w:eastAsia="Arial" w:hAnsi="Arial"/>
                <w:sz w:val="15"/>
                <w:szCs w:val="15"/>
                <w:color w:val="auto"/>
              </w:rPr>
              <w:t>Total Operating</w:t>
            </w:r>
          </w:p>
        </w:tc>
        <w:tc>
          <w:tcPr>
            <w:tcW w:w="80" w:type="dxa"/>
            <w:vAlign w:val="bottom"/>
          </w:tcPr>
          <w:p>
            <w:pPr>
              <w:spacing w:after="0"/>
              <w:rPr>
                <w:sz w:val="16"/>
                <w:szCs w:val="16"/>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72.4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48.6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23.8</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49.0 %</w:t>
            </w:r>
          </w:p>
        </w:tc>
      </w:tr>
      <w:tr>
        <w:trPr>
          <w:trHeight w:val="207"/>
        </w:trPr>
        <w:tc>
          <w:tcPr>
            <w:tcW w:w="678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Expenses</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8"/>
        </w:trPr>
        <w:tc>
          <w:tcPr>
            <w:tcW w:w="678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Property Operating</w:t>
            </w: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33.2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40.7 %</w:t>
            </w:r>
          </w:p>
        </w:tc>
      </w:tr>
      <w:tr>
        <w:trPr>
          <w:trHeight w:val="200"/>
        </w:trPr>
        <w:tc>
          <w:tcPr>
            <w:tcW w:w="67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Real Property NOI</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56.8 %</w:t>
            </w:r>
          </w:p>
        </w:tc>
      </w:tr>
      <w:tr>
        <w:trPr>
          <w:trHeight w:val="200"/>
        </w:trPr>
        <w:tc>
          <w:tcPr>
            <w:tcW w:w="6780" w:type="dxa"/>
            <w:vAlign w:val="bottom"/>
          </w:tcPr>
          <w:p>
            <w:pPr>
              <w:ind w:left="140"/>
              <w:spacing w:after="0"/>
              <w:rPr>
                <w:sz w:val="20"/>
                <w:szCs w:val="20"/>
                <w:color w:val="auto"/>
              </w:rPr>
            </w:pPr>
            <w:r>
              <w:rPr>
                <w:rFonts w:ascii="Arial" w:cs="Arial" w:eastAsia="Arial" w:hAnsi="Arial"/>
                <w:sz w:val="15"/>
                <w:szCs w:val="15"/>
                <w:b w:val="1"/>
                <w:bCs w:val="1"/>
                <w:color w:val="auto"/>
              </w:rPr>
              <w:t>Service, retail, dining and entertainment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5"/>
        </w:trPr>
        <w:tc>
          <w:tcPr>
            <w:tcW w:w="67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Revenue</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60.4 %</w:t>
            </w:r>
          </w:p>
        </w:tc>
      </w:tr>
      <w:tr>
        <w:trPr>
          <w:trHeight w:val="198"/>
        </w:trPr>
        <w:tc>
          <w:tcPr>
            <w:tcW w:w="678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Expense</w:t>
            </w: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59.8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57.4 %</w:t>
            </w:r>
          </w:p>
        </w:tc>
      </w:tr>
      <w:tr>
        <w:trPr>
          <w:trHeight w:val="200"/>
        </w:trPr>
        <w:tc>
          <w:tcPr>
            <w:tcW w:w="678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NOI</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78.1 %</w:t>
            </w:r>
          </w:p>
        </w:tc>
      </w:tr>
      <w:tr>
        <w:trPr>
          <w:trHeight w:val="216"/>
        </w:trPr>
        <w:tc>
          <w:tcPr>
            <w:tcW w:w="67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r>
      <w:tr>
        <w:trPr>
          <w:trHeight w:val="221"/>
        </w:trPr>
        <w:tc>
          <w:tcPr>
            <w:tcW w:w="6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Marina NOI</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50.6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61.1 %</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163"/>
        </w:trPr>
        <w:tc>
          <w:tcPr>
            <w:tcW w:w="6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67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Statistical information</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8"/>
        </w:trPr>
        <w:tc>
          <w:tcPr>
            <w:tcW w:w="6780" w:type="dxa"/>
            <w:vAlign w:val="bottom"/>
          </w:tcPr>
          <w:p>
            <w:pPr>
              <w:ind w:left="140"/>
              <w:spacing w:after="0"/>
              <w:rPr>
                <w:sz w:val="20"/>
                <w:szCs w:val="20"/>
                <w:color w:val="auto"/>
              </w:rPr>
            </w:pPr>
            <w:r>
              <w:rPr>
                <w:rFonts w:ascii="Arial" w:cs="Arial" w:eastAsia="Arial" w:hAnsi="Arial"/>
                <w:sz w:val="15"/>
                <w:szCs w:val="15"/>
                <w:color w:val="auto"/>
              </w:rPr>
              <w:t>Number of properties</w:t>
            </w:r>
          </w:p>
        </w:tc>
        <w:tc>
          <w:tcPr>
            <w:tcW w:w="8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16.4 %</w:t>
            </w:r>
          </w:p>
        </w:tc>
      </w:tr>
      <w:tr>
        <w:trPr>
          <w:trHeight w:val="207"/>
        </w:trPr>
        <w:tc>
          <w:tcPr>
            <w:tcW w:w="67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wet slips and dry storage</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45,725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39,338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6,387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16.2 %</w:t>
            </w: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Marina Real Property NOI is included in Real Property NOI. The Marina NOI is separately reviewed to assess the overall growth and performance of the marina segment and its financial impact on the Company's operations.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reclassified utility revenue of $4.3 million and $2.6 million for the three months ended March 31, 2022 and 2021, to reflect the utility expenses associated with our marina properties portfolio net of recovery.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2022 and 2021:</w:t>
      </w:r>
    </w:p>
    <w:p>
      <w:pPr>
        <w:spacing w:after="0" w:line="252" w:lineRule="exact"/>
        <w:rPr>
          <w:sz w:val="20"/>
          <w:szCs w:val="20"/>
          <w:color w:val="auto"/>
        </w:rPr>
      </w:pPr>
    </w:p>
    <w:p>
      <w:pPr>
        <w:ind w:left="660" w:right="2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$19.2 million, or 61.1 percent increase in Marina NOI is due to a $14.2 million, or 56.8 percent increase in Marina Real Property NOI and a $5.0 million or 78.1 percent increase in Service, Retail, Dining and Entertainment NOI.</w:t>
      </w:r>
    </w:p>
    <w:p>
      <w:pPr>
        <w:spacing w:after="0" w:line="8"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$14.2 million, or 56.8 percent growth in Marina Real Property NOI is due to a $20.9 million, or 45.3 percent, increase in Real property (excluding transient) revenue due to an increase in the number of owned marina properties compared to the same period in 2021.</w:t>
      </w:r>
    </w:p>
    <w:p>
      <w:pPr>
        <w:jc w:val="both"/>
        <w:ind w:left="660" w:hanging="328"/>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5.0 million, or 78.1 percent increase in Service, Retail, Dining and Entertainment NOI is due to an increase in Real property transient revenue due to an increase in service rates at our marinas and the addition of service revenue from the acquisition of additional marinas coupled with increased demand and entry into the superyacht market.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Items - Statements of Operations</w:t>
      </w:r>
      <w:r>
        <w:rPr>
          <w:rFonts w:ascii="Arial" w:cs="Arial" w:eastAsia="Arial" w:hAnsi="Arial"/>
          <w:sz w:val="23"/>
          <w:szCs w:val="23"/>
          <w:color w:val="auto"/>
          <w:vertAlign w:val="superscript"/>
        </w:rPr>
        <w:t>(1)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income and expenses for the three months ended March 31, 2022 and 2021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8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ind w:left="80"/>
              <w:spacing w:after="0"/>
              <w:rPr>
                <w:sz w:val="20"/>
                <w:szCs w:val="20"/>
                <w:color w:val="auto"/>
              </w:rPr>
            </w:pPr>
            <w:r>
              <w:rPr>
                <w:rFonts w:ascii="Arial" w:cs="Arial" w:eastAsia="Arial" w:hAnsi="Arial"/>
                <w:sz w:val="15"/>
                <w:szCs w:val="15"/>
                <w:b w:val="1"/>
                <w:bCs w:val="1"/>
                <w:color w:val="auto"/>
              </w:rPr>
              <w:t>Three Months Ended</w:t>
            </w:r>
          </w:p>
        </w:tc>
        <w:tc>
          <w:tcPr>
            <w:tcW w:w="1020" w:type="dxa"/>
            <w:vAlign w:val="bottom"/>
            <w:tcBorders>
              <w:bottom w:val="single" w:sz="8" w:color="auto"/>
            </w:tcBorders>
          </w:tcPr>
          <w:p>
            <w:pPr>
              <w:spacing w:after="0"/>
              <w:rPr>
                <w:sz w:val="17"/>
                <w:szCs w:val="17"/>
                <w:color w:val="auto"/>
              </w:rPr>
            </w:pPr>
          </w:p>
        </w:tc>
      </w:tr>
      <w:tr>
        <w:trPr>
          <w:trHeight w:val="198"/>
        </w:trPr>
        <w:tc>
          <w:tcPr>
            <w:tcW w:w="6800" w:type="dxa"/>
            <w:vAlign w:val="bottom"/>
          </w:tcPr>
          <w:p>
            <w:pPr>
              <w:spacing w:after="0"/>
              <w:rPr>
                <w:sz w:val="17"/>
                <w:szCs w:val="17"/>
                <w:color w:val="auto"/>
              </w:rPr>
            </w:pPr>
          </w:p>
        </w:tc>
        <w:tc>
          <w:tcPr>
            <w:tcW w:w="1260" w:type="dxa"/>
            <w:vAlign w:val="bottom"/>
            <w:gridSpan w:val="3"/>
          </w:tcPr>
          <w:p>
            <w:pPr>
              <w:ind w:left="80"/>
              <w:spacing w:after="0"/>
              <w:rPr>
                <w:sz w:val="20"/>
                <w:szCs w:val="20"/>
                <w:color w:val="auto"/>
              </w:rPr>
            </w:pPr>
            <w:r>
              <w:rPr>
                <w:rFonts w:ascii="Arial" w:cs="Arial" w:eastAsia="Arial" w:hAnsi="Arial"/>
                <w:sz w:val="15"/>
                <w:szCs w:val="15"/>
                <w:b w:val="1"/>
                <w:bCs w:val="1"/>
                <w:color w:val="auto"/>
              </w:rPr>
              <w:t>March 31, 2022</w:t>
            </w:r>
          </w:p>
        </w:tc>
        <w:tc>
          <w:tcPr>
            <w:tcW w:w="1280" w:type="dxa"/>
            <w:vAlign w:val="bottom"/>
            <w:gridSpan w:val="3"/>
          </w:tcPr>
          <w:p>
            <w:pPr>
              <w:ind w:left="100"/>
              <w:spacing w:after="0"/>
              <w:rPr>
                <w:sz w:val="20"/>
                <w:szCs w:val="20"/>
                <w:color w:val="auto"/>
              </w:rPr>
            </w:pPr>
            <w:r>
              <w:rPr>
                <w:rFonts w:ascii="Arial" w:cs="Arial" w:eastAsia="Arial" w:hAnsi="Arial"/>
                <w:sz w:val="15"/>
                <w:szCs w:val="15"/>
                <w:b w:val="1"/>
                <w:bCs w:val="1"/>
                <w:color w:val="auto"/>
              </w:rPr>
              <w:t>March 31, 2021</w:t>
            </w: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5"/>
                <w:szCs w:val="15"/>
                <w:b w:val="1"/>
                <w:bCs w:val="1"/>
                <w:color w:val="auto"/>
              </w:rPr>
              <w:t>Change</w:t>
            </w:r>
          </w:p>
        </w:tc>
        <w:tc>
          <w:tcPr>
            <w:tcW w:w="1020" w:type="dxa"/>
            <w:vAlign w:val="bottom"/>
          </w:tcPr>
          <w:p>
            <w:pPr>
              <w:jc w:val="right"/>
              <w:ind w:right="84"/>
              <w:spacing w:after="0"/>
              <w:rPr>
                <w:sz w:val="20"/>
                <w:szCs w:val="20"/>
                <w:color w:val="auto"/>
              </w:rPr>
            </w:pPr>
            <w:r>
              <w:rPr>
                <w:rFonts w:ascii="Arial" w:cs="Arial" w:eastAsia="Arial" w:hAnsi="Arial"/>
                <w:sz w:val="15"/>
                <w:szCs w:val="15"/>
                <w:b w:val="1"/>
                <w:bCs w:val="1"/>
                <w:color w:val="auto"/>
              </w:rPr>
              <w:t>% Change</w:t>
            </w:r>
          </w:p>
        </w:tc>
      </w:tr>
      <w:tr>
        <w:trPr>
          <w:trHeight w:val="198"/>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Service, retail, dining and entertainment, net</w:t>
            </w:r>
          </w:p>
        </w:tc>
        <w:tc>
          <w:tcPr>
            <w:tcW w:w="44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5.1</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98.1 %</w:t>
            </w:r>
          </w:p>
        </w:tc>
      </w:tr>
      <w:tr>
        <w:trPr>
          <w:trHeight w:val="198"/>
        </w:trPr>
        <w:tc>
          <w:tcPr>
            <w:tcW w:w="6800" w:type="dxa"/>
            <w:vAlign w:val="bottom"/>
          </w:tcPr>
          <w:p>
            <w:pPr>
              <w:ind w:left="20"/>
              <w:spacing w:after="0"/>
              <w:rPr>
                <w:sz w:val="20"/>
                <w:szCs w:val="20"/>
                <w:color w:val="auto"/>
              </w:rPr>
            </w:pPr>
            <w:r>
              <w:rPr>
                <w:rFonts w:ascii="Arial" w:cs="Arial" w:eastAsia="Arial" w:hAnsi="Arial"/>
                <w:sz w:val="15"/>
                <w:szCs w:val="15"/>
                <w:color w:val="auto"/>
              </w:rPr>
              <w:t>Interest income</w:t>
            </w: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6.8</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161.5 %</w:t>
            </w:r>
          </w:p>
        </w:tc>
      </w:tr>
      <w:tr>
        <w:trPr>
          <w:trHeight w:val="207"/>
        </w:trPr>
        <w:tc>
          <w:tcPr>
            <w:tcW w:w="6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Brokerage commissions and other, net</w:t>
            </w: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33.3 %</w:t>
            </w:r>
          </w:p>
        </w:tc>
      </w:tr>
      <w:tr>
        <w:trPr>
          <w:trHeight w:val="198"/>
        </w:trPr>
        <w:tc>
          <w:tcPr>
            <w:tcW w:w="6800" w:type="dxa"/>
            <w:vAlign w:val="bottom"/>
          </w:tcPr>
          <w:p>
            <w:pPr>
              <w:ind w:left="20"/>
              <w:spacing w:after="0"/>
              <w:rPr>
                <w:sz w:val="20"/>
                <w:szCs w:val="20"/>
                <w:color w:val="auto"/>
              </w:rPr>
            </w:pPr>
            <w:r>
              <w:rPr>
                <w:rFonts w:ascii="Arial" w:cs="Arial" w:eastAsia="Arial" w:hAnsi="Arial"/>
                <w:sz w:val="15"/>
                <w:szCs w:val="15"/>
                <w:color w:val="auto"/>
              </w:rPr>
              <w:t>General and administrative expense</w:t>
            </w: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55.7</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38.2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17.5</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45.8 %</w:t>
            </w:r>
          </w:p>
        </w:tc>
      </w:tr>
      <w:tr>
        <w:trPr>
          <w:trHeight w:val="206"/>
        </w:trPr>
        <w:tc>
          <w:tcPr>
            <w:tcW w:w="6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Catastrophic event-related charges, net</w:t>
            </w: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r>
      <w:tr>
        <w:trPr>
          <w:trHeight w:val="199"/>
        </w:trPr>
        <w:tc>
          <w:tcPr>
            <w:tcW w:w="6800" w:type="dxa"/>
            <w:vAlign w:val="bottom"/>
          </w:tcPr>
          <w:p>
            <w:pPr>
              <w:ind w:left="20"/>
              <w:spacing w:after="0"/>
              <w:rPr>
                <w:sz w:val="20"/>
                <w:szCs w:val="20"/>
                <w:color w:val="auto"/>
              </w:rPr>
            </w:pPr>
            <w:r>
              <w:rPr>
                <w:rFonts w:ascii="Arial" w:cs="Arial" w:eastAsia="Arial" w:hAnsi="Arial"/>
                <w:sz w:val="15"/>
                <w:szCs w:val="15"/>
                <w:color w:val="auto"/>
              </w:rPr>
              <w:t>Business combination expense, net</w:t>
            </w: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0.5</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(0.7)</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(58.3)%</w:t>
            </w:r>
          </w:p>
        </w:tc>
      </w:tr>
      <w:tr>
        <w:trPr>
          <w:trHeight w:val="206"/>
        </w:trPr>
        <w:tc>
          <w:tcPr>
            <w:tcW w:w="6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Depreciation and amortization</w:t>
            </w: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24.6</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19.9 %</w:t>
            </w:r>
          </w:p>
        </w:tc>
      </w:tr>
      <w:tr>
        <w:trPr>
          <w:trHeight w:val="199"/>
        </w:trPr>
        <w:tc>
          <w:tcPr>
            <w:tcW w:w="6800" w:type="dxa"/>
            <w:vAlign w:val="bottom"/>
          </w:tcPr>
          <w:p>
            <w:pPr>
              <w:ind w:left="20"/>
              <w:spacing w:after="0"/>
              <w:rPr>
                <w:sz w:val="20"/>
                <w:szCs w:val="20"/>
                <w:color w:val="auto"/>
              </w:rPr>
            </w:pPr>
            <w:r>
              <w:rPr>
                <w:rFonts w:ascii="Arial" w:cs="Arial" w:eastAsia="Arial" w:hAnsi="Arial"/>
                <w:sz w:val="15"/>
                <w:szCs w:val="15"/>
                <w:color w:val="auto"/>
              </w:rPr>
              <w:t>Asset impairment charge</w:t>
            </w: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N/A</w:t>
            </w:r>
          </w:p>
        </w:tc>
      </w:tr>
      <w:tr>
        <w:trPr>
          <w:trHeight w:val="206"/>
        </w:trPr>
        <w:tc>
          <w:tcPr>
            <w:tcW w:w="6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on extinguishment of debt (see Note 8)</w:t>
            </w: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N/A</w:t>
            </w:r>
          </w:p>
        </w:tc>
      </w:tr>
      <w:tr>
        <w:trPr>
          <w:trHeight w:val="199"/>
        </w:trPr>
        <w:tc>
          <w:tcPr>
            <w:tcW w:w="680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45.2</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39.5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5.7</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14.4 %</w:t>
            </w:r>
          </w:p>
        </w:tc>
      </w:tr>
      <w:tr>
        <w:trPr>
          <w:trHeight w:val="206"/>
        </w:trPr>
        <w:tc>
          <w:tcPr>
            <w:tcW w:w="6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on mandatorily redeemable preferred OP units / equity</w:t>
            </w: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199"/>
        </w:trPr>
        <w:tc>
          <w:tcPr>
            <w:tcW w:w="6800" w:type="dxa"/>
            <w:vAlign w:val="bottom"/>
          </w:tcPr>
          <w:p>
            <w:pPr>
              <w:ind w:left="20"/>
              <w:spacing w:after="0"/>
              <w:rPr>
                <w:sz w:val="20"/>
                <w:szCs w:val="20"/>
                <w:color w:val="auto"/>
              </w:rPr>
            </w:pPr>
            <w:r>
              <w:rPr>
                <w:rFonts w:ascii="Arial" w:cs="Arial" w:eastAsia="Arial" w:hAnsi="Arial"/>
                <w:sz w:val="15"/>
                <w:szCs w:val="15"/>
                <w:color w:val="auto"/>
              </w:rPr>
              <w:t>Gain / (loss) on remeasurement of marketable securities (see Note 15)</w:t>
            </w: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(34.5)</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3.7</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(38.2)</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N/M</w:t>
            </w:r>
          </w:p>
        </w:tc>
      </w:tr>
      <w:tr>
        <w:trPr>
          <w:trHeight w:val="206"/>
        </w:trPr>
        <w:tc>
          <w:tcPr>
            <w:tcW w:w="6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on foreign currency translation</w:t>
            </w: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N/A</w:t>
            </w:r>
          </w:p>
        </w:tc>
      </w:tr>
      <w:tr>
        <w:trPr>
          <w:trHeight w:val="199"/>
        </w:trPr>
        <w:tc>
          <w:tcPr>
            <w:tcW w:w="6800" w:type="dxa"/>
            <w:vAlign w:val="bottom"/>
          </w:tcPr>
          <w:p>
            <w:pPr>
              <w:ind w:left="20"/>
              <w:spacing w:after="0"/>
              <w:rPr>
                <w:sz w:val="20"/>
                <w:szCs w:val="20"/>
                <w:color w:val="auto"/>
              </w:rPr>
            </w:pPr>
            <w:r>
              <w:rPr>
                <w:rFonts w:ascii="Arial" w:cs="Arial" w:eastAsia="Arial" w:hAnsi="Arial"/>
                <w:sz w:val="15"/>
                <w:szCs w:val="15"/>
                <w:color w:val="auto"/>
              </w:rPr>
              <w:t>Gain on dispositions of properties</w:t>
            </w: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13.4</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4"/>
              <w:spacing w:after="0"/>
              <w:rPr>
                <w:sz w:val="20"/>
                <w:szCs w:val="20"/>
                <w:color w:val="auto"/>
              </w:rPr>
            </w:pPr>
            <w:r>
              <w:rPr>
                <w:rFonts w:ascii="Arial" w:cs="Arial" w:eastAsia="Arial" w:hAnsi="Arial"/>
                <w:sz w:val="15"/>
                <w:szCs w:val="15"/>
                <w:color w:val="auto"/>
              </w:rPr>
              <w:t>13.4</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N/A</w:t>
            </w:r>
          </w:p>
        </w:tc>
      </w:tr>
      <w:tr>
        <w:trPr>
          <w:trHeight w:val="206"/>
        </w:trPr>
        <w:tc>
          <w:tcPr>
            <w:tcW w:w="6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expense, net</w:t>
            </w: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20.0 %</w:t>
            </w:r>
          </w:p>
        </w:tc>
      </w:tr>
      <w:tr>
        <w:trPr>
          <w:trHeight w:val="198"/>
        </w:trPr>
        <w:tc>
          <w:tcPr>
            <w:tcW w:w="6800" w:type="dxa"/>
            <w:vAlign w:val="bottom"/>
          </w:tcPr>
          <w:p>
            <w:pPr>
              <w:ind w:left="20"/>
              <w:spacing w:after="0"/>
              <w:rPr>
                <w:sz w:val="20"/>
                <w:szCs w:val="20"/>
                <w:color w:val="auto"/>
              </w:rPr>
            </w:pPr>
            <w:r>
              <w:rPr>
                <w:rFonts w:ascii="Arial" w:cs="Arial" w:eastAsia="Arial" w:hAnsi="Arial"/>
                <w:sz w:val="15"/>
                <w:szCs w:val="15"/>
                <w:color w:val="auto"/>
              </w:rPr>
              <w:t>Gain on remeasurement of notes receivable (see Note 4)</w:t>
            </w: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50.0 %</w:t>
            </w:r>
          </w:p>
        </w:tc>
      </w:tr>
      <w:tr>
        <w:trPr>
          <w:trHeight w:val="207"/>
        </w:trPr>
        <w:tc>
          <w:tcPr>
            <w:tcW w:w="6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nonconsolidated affiliates (see Note 6)</w:t>
            </w: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r>
      <w:tr>
        <w:trPr>
          <w:trHeight w:val="198"/>
        </w:trPr>
        <w:tc>
          <w:tcPr>
            <w:tcW w:w="6800" w:type="dxa"/>
            <w:vAlign w:val="bottom"/>
          </w:tcPr>
          <w:p>
            <w:pPr>
              <w:ind w:left="20"/>
              <w:spacing w:after="0"/>
              <w:rPr>
                <w:sz w:val="20"/>
                <w:szCs w:val="20"/>
                <w:color w:val="auto"/>
              </w:rPr>
            </w:pPr>
            <w:r>
              <w:rPr>
                <w:rFonts w:ascii="Arial" w:cs="Arial" w:eastAsia="Arial" w:hAnsi="Arial"/>
                <w:sz w:val="15"/>
                <w:szCs w:val="15"/>
                <w:color w:val="auto"/>
              </w:rPr>
              <w:t>Income on remeasurement of investment in nonconsolidated affiliates (see Note 6)</w:t>
            </w: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7"/>
                <w:szCs w:val="17"/>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207"/>
        </w:trPr>
        <w:tc>
          <w:tcPr>
            <w:tcW w:w="6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tax benefit / (expense) (see Note 12)</w:t>
            </w: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r>
      <w:tr>
        <w:trPr>
          <w:trHeight w:val="198"/>
        </w:trPr>
        <w:tc>
          <w:tcPr>
            <w:tcW w:w="6800" w:type="dxa"/>
            <w:vAlign w:val="bottom"/>
          </w:tcPr>
          <w:p>
            <w:pPr>
              <w:ind w:left="20"/>
              <w:spacing w:after="0"/>
              <w:rPr>
                <w:sz w:val="20"/>
                <w:szCs w:val="20"/>
                <w:color w:val="auto"/>
              </w:rPr>
            </w:pPr>
            <w:r>
              <w:rPr>
                <w:rFonts w:ascii="Arial" w:cs="Arial" w:eastAsia="Arial" w:hAnsi="Arial"/>
                <w:sz w:val="15"/>
                <w:szCs w:val="15"/>
                <w:color w:val="auto"/>
              </w:rPr>
              <w:t>Deferred tax benefit (see Note 12)</w:t>
            </w: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(0.1)</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N/M</w:t>
            </w:r>
          </w:p>
        </w:tc>
      </w:tr>
      <w:tr>
        <w:trPr>
          <w:trHeight w:val="207"/>
        </w:trPr>
        <w:tc>
          <w:tcPr>
            <w:tcW w:w="6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Preferred return to preferred OP units / equity interests</w:t>
            </w: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0.1</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3.4 %</w:t>
            </w:r>
          </w:p>
        </w:tc>
      </w:tr>
      <w:tr>
        <w:trPr>
          <w:trHeight w:val="195"/>
        </w:trPr>
        <w:tc>
          <w:tcPr>
            <w:tcW w:w="6800" w:type="dxa"/>
            <w:vAlign w:val="bottom"/>
          </w:tcPr>
          <w:p>
            <w:pPr>
              <w:ind w:left="20"/>
              <w:spacing w:after="0"/>
              <w:rPr>
                <w:sz w:val="20"/>
                <w:szCs w:val="20"/>
                <w:color w:val="auto"/>
              </w:rPr>
            </w:pPr>
            <w:r>
              <w:rPr>
                <w:rFonts w:ascii="Arial" w:cs="Arial" w:eastAsia="Arial" w:hAnsi="Arial"/>
                <w:sz w:val="15"/>
                <w:szCs w:val="15"/>
                <w:color w:val="auto"/>
              </w:rPr>
              <w:t>Income attributable to noncontrolling interests</w:t>
            </w: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6"/>
                <w:szCs w:val="16"/>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(833.3)%</w:t>
            </w:r>
          </w:p>
        </w:tc>
      </w:tr>
    </w:tbl>
    <w:p>
      <w:pPr>
        <w:spacing w:after="0" w:line="84" w:lineRule="exact"/>
        <w:rPr>
          <w:sz w:val="20"/>
          <w:szCs w:val="20"/>
          <w:color w:val="auto"/>
        </w:rPr>
      </w:pPr>
    </w:p>
    <w:p>
      <w:pPr>
        <w:ind w:right="3720" w:firstLine="8"/>
        <w:spacing w:after="0" w:line="325" w:lineRule="auto"/>
        <w:tabs>
          <w:tab w:leader="none" w:pos="149" w:val="left"/>
        </w:tabs>
        <w:numPr>
          <w:ilvl w:val="0"/>
          <w:numId w:val="39"/>
        </w:numPr>
        <w:rPr>
          <w:rFonts w:ascii="Arial" w:cs="Arial" w:eastAsia="Arial" w:hAnsi="Arial"/>
          <w:sz w:val="17"/>
          <w:szCs w:val="17"/>
          <w:color w:val="auto"/>
          <w:vertAlign w:val="superscript"/>
        </w:rPr>
      </w:pPr>
      <w:r>
        <w:rPr>
          <w:rFonts w:ascii="Arial" w:cs="Arial" w:eastAsia="Arial" w:hAnsi="Arial"/>
          <w:sz w:val="13"/>
          <w:szCs w:val="13"/>
          <w:color w:val="auto"/>
        </w:rPr>
        <w:t>Only items determined by management to be material, of interest, or unique to the periods disclosed above are explained below. N/M = Percentage change is not meaningful.</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Service, retail, dining and entertainment, net - </w:t>
      </w:r>
      <w:r>
        <w:rPr>
          <w:rFonts w:ascii="Arial" w:cs="Arial" w:eastAsia="Arial" w:hAnsi="Arial"/>
          <w:sz w:val="18"/>
          <w:szCs w:val="18"/>
          <w:color w:val="auto"/>
        </w:rPr>
        <w:t>for the three months ended March 31, 2022, increased primarily due to increase in service rates at our</w:t>
      </w:r>
      <w:r>
        <w:rPr>
          <w:rFonts w:ascii="Arial" w:cs="Arial" w:eastAsia="Arial" w:hAnsi="Arial"/>
          <w:sz w:val="18"/>
          <w:szCs w:val="18"/>
          <w:i w:val="1"/>
          <w:iCs w:val="1"/>
          <w:color w:val="auto"/>
        </w:rPr>
        <w:t xml:space="preserve"> </w:t>
      </w:r>
      <w:r>
        <w:rPr>
          <w:rFonts w:ascii="Arial" w:cs="Arial" w:eastAsia="Arial" w:hAnsi="Arial"/>
          <w:sz w:val="18"/>
          <w:szCs w:val="18"/>
          <w:color w:val="auto"/>
        </w:rPr>
        <w:t>marinas and the addition of service revenue from the acquisition of additional Safe Harbor marinas.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Interest income - </w:t>
      </w:r>
      <w:r>
        <w:rPr>
          <w:rFonts w:ascii="Arial" w:cs="Arial" w:eastAsia="Arial" w:hAnsi="Arial"/>
          <w:sz w:val="18"/>
          <w:szCs w:val="18"/>
          <w:color w:val="auto"/>
        </w:rPr>
        <w:t>for the three months ended March 31, 2022, increased primarily due to an increase in the notes receivable to real estate developers</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balance in the current period as compared to the same period in 2021.</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Brokerage commissions and other, net </w:t>
      </w:r>
      <w:r>
        <w:rPr>
          <w:rFonts w:ascii="Arial" w:cs="Arial" w:eastAsia="Arial" w:hAnsi="Arial"/>
          <w:sz w:val="18"/>
          <w:szCs w:val="18"/>
          <w:color w:val="auto"/>
        </w:rPr>
        <w:t>- for the three months ended March 31, 2022, increased primarily due to an increase in brokerage commissions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an increase in the number of brokered home sales, as compared to 2021.</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 </w:t>
      </w:r>
      <w:r>
        <w:rPr>
          <w:rFonts w:ascii="Arial" w:cs="Arial" w:eastAsia="Arial" w:hAnsi="Arial"/>
          <w:sz w:val="18"/>
          <w:szCs w:val="18"/>
          <w:color w:val="auto"/>
        </w:rPr>
        <w:t>for the three months ended March 31, 2022, increased primarily due to an increase in wages and incentives driven</w:t>
      </w:r>
      <w:r>
        <w:rPr>
          <w:rFonts w:ascii="Arial" w:cs="Arial" w:eastAsia="Arial" w:hAnsi="Arial"/>
          <w:sz w:val="18"/>
          <w:szCs w:val="18"/>
          <w:i w:val="1"/>
          <w:iCs w:val="1"/>
          <w:color w:val="auto"/>
        </w:rPr>
        <w:t xml:space="preserve"> </w:t>
      </w:r>
      <w:r>
        <w:rPr>
          <w:rFonts w:ascii="Arial" w:cs="Arial" w:eastAsia="Arial" w:hAnsi="Arial"/>
          <w:sz w:val="18"/>
          <w:szCs w:val="18"/>
          <w:color w:val="auto"/>
        </w:rPr>
        <w:t>by growth in strategic initiatives and acquisition activity as compared to the same period in 2021.</w:t>
      </w:r>
    </w:p>
    <w:p>
      <w:pPr>
        <w:spacing w:after="0" w:line="197"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 xml:space="preserve">Depreciation and amortization - </w:t>
      </w:r>
      <w:r>
        <w:rPr>
          <w:rFonts w:ascii="Arial" w:cs="Arial" w:eastAsia="Arial" w:hAnsi="Arial"/>
          <w:sz w:val="17"/>
          <w:szCs w:val="17"/>
          <w:color w:val="auto"/>
        </w:rPr>
        <w:t>for the three months ended March 31, 2022, increased as a result of property acquisitions during 2021 and 2022. Refer to</w:t>
      </w:r>
      <w:r>
        <w:rPr>
          <w:rFonts w:ascii="Arial" w:cs="Arial" w:eastAsia="Arial" w:hAnsi="Arial"/>
          <w:sz w:val="17"/>
          <w:szCs w:val="17"/>
          <w:i w:val="1"/>
          <w:iCs w:val="1"/>
          <w:color w:val="auto"/>
        </w:rPr>
        <w:t xml:space="preserve"> </w:t>
      </w:r>
      <w:r>
        <w:rPr>
          <w:rFonts w:ascii="Arial" w:cs="Arial" w:eastAsia="Arial" w:hAnsi="Arial"/>
          <w:sz w:val="17"/>
          <w:szCs w:val="17"/>
          <w:color w:val="auto"/>
        </w:rPr>
        <w:t>Note 3, "Real Estate Acquisitions and Dispositions," in our accompanying Consolidated Financial Statements for additional information.</w:t>
      </w:r>
    </w:p>
    <w:p>
      <w:pPr>
        <w:spacing w:after="0" w:line="173"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 xml:space="preserve">Interest expense - </w:t>
      </w:r>
      <w:r>
        <w:rPr>
          <w:rFonts w:ascii="Arial" w:cs="Arial" w:eastAsia="Arial" w:hAnsi="Arial"/>
          <w:sz w:val="17"/>
          <w:szCs w:val="17"/>
          <w:color w:val="auto"/>
        </w:rPr>
        <w:t>for the three months ended March 31, 2022, increased primarily due to the higher carrying balance of debt as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2021. Refer to Note 8, "Debt and Line of Credit," of our accompanying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Gain / (loss) on remeasurement of marketable securities - </w:t>
      </w:r>
      <w:r>
        <w:rPr>
          <w:rFonts w:ascii="Arial" w:cs="Arial" w:eastAsia="Arial" w:hAnsi="Arial"/>
          <w:sz w:val="17"/>
          <w:szCs w:val="17"/>
          <w:color w:val="auto"/>
        </w:rPr>
        <w:t>for the three months ended March 31, 2022 was a loss of $34.5 million as compared to a gain of</w:t>
      </w:r>
      <w:r>
        <w:rPr>
          <w:rFonts w:ascii="Arial" w:cs="Arial" w:eastAsia="Arial" w:hAnsi="Arial"/>
          <w:sz w:val="17"/>
          <w:szCs w:val="17"/>
          <w:i w:val="1"/>
          <w:iCs w:val="1"/>
          <w:color w:val="auto"/>
        </w:rPr>
        <w:t xml:space="preserve"> </w:t>
      </w:r>
      <w:r>
        <w:rPr>
          <w:rFonts w:ascii="Arial" w:cs="Arial" w:eastAsia="Arial" w:hAnsi="Arial"/>
          <w:sz w:val="17"/>
          <w:szCs w:val="17"/>
          <w:color w:val="auto"/>
        </w:rPr>
        <w:t>$3.7 million during the same period in 2021 due to the fluctuation in the price of our publicly traded marketable securities. Refer to Note 15, "Fair Value of Financial Instruments," in our accompanying Consolidated Financial Statements for additional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Gain on dispositions of properties </w:t>
      </w:r>
      <w:r>
        <w:rPr>
          <w:rFonts w:ascii="Arial" w:cs="Arial" w:eastAsia="Arial" w:hAnsi="Arial"/>
          <w:sz w:val="16"/>
          <w:szCs w:val="16"/>
          <w:color w:val="auto"/>
        </w:rPr>
        <w:t>- for the three months ended March 31, 2022, increased due to a gain from the sale of three communities during 2022.</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Refer to Note 3, "Real Estate Acquisitions and Dispositions," in our accompanying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ATTRIBUTABLE TO SUN COMMUNITIES, INC. COMMON SHAREHOLDERS TO FFO</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reconciles Net income attributable to Sun Communities, Inc. common shareholders to FFO for the three months ended March 31, 2022 and 2021 (in millions, except for per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644"/>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198"/>
        </w:trPr>
        <w:tc>
          <w:tcPr>
            <w:tcW w:w="8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b w:val="1"/>
                <w:bCs w:val="1"/>
                <w:color w:val="auto"/>
              </w:rPr>
              <w:t>March 31, 2022</w:t>
            </w:r>
          </w:p>
        </w:tc>
        <w:tc>
          <w:tcPr>
            <w:tcW w:w="140" w:type="dxa"/>
            <w:vAlign w:val="bottom"/>
          </w:tcPr>
          <w:p>
            <w:pPr>
              <w:spacing w:after="0"/>
              <w:rPr>
                <w:sz w:val="17"/>
                <w:szCs w:val="17"/>
                <w:color w:val="auto"/>
              </w:rPr>
            </w:pPr>
          </w:p>
        </w:tc>
        <w:tc>
          <w:tcPr>
            <w:tcW w:w="1220" w:type="dxa"/>
            <w:vAlign w:val="bottom"/>
          </w:tcPr>
          <w:p>
            <w:pPr>
              <w:jc w:val="right"/>
              <w:ind w:right="104"/>
              <w:spacing w:after="0"/>
              <w:rPr>
                <w:sz w:val="20"/>
                <w:szCs w:val="20"/>
                <w:color w:val="auto"/>
              </w:rPr>
            </w:pPr>
            <w:r>
              <w:rPr>
                <w:rFonts w:ascii="Arial" w:cs="Arial" w:eastAsia="Arial" w:hAnsi="Arial"/>
                <w:sz w:val="15"/>
                <w:szCs w:val="15"/>
                <w:b w:val="1"/>
                <w:bCs w:val="1"/>
                <w:color w:val="auto"/>
                <w:w w:val="95"/>
              </w:rPr>
              <w:t>March 31, 2021</w:t>
            </w:r>
          </w:p>
        </w:tc>
        <w:tc>
          <w:tcPr>
            <w:tcW w:w="0" w:type="dxa"/>
            <w:vAlign w:val="bottom"/>
          </w:tcPr>
          <w:p>
            <w:pPr>
              <w:spacing w:after="0"/>
              <w:rPr>
                <w:sz w:val="1"/>
                <w:szCs w:val="1"/>
                <w:color w:val="auto"/>
              </w:rPr>
            </w:pPr>
          </w:p>
        </w:tc>
      </w:tr>
      <w:tr>
        <w:trPr>
          <w:trHeight w:val="198"/>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Attributable to Sun Communities, Inc. Common Shareholders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24.8</w:t>
            </w:r>
          </w:p>
        </w:tc>
        <w:tc>
          <w:tcPr>
            <w:tcW w:w="0" w:type="dxa"/>
            <w:vAlign w:val="bottom"/>
          </w:tcPr>
          <w:p>
            <w:pPr>
              <w:spacing w:after="0"/>
              <w:rPr>
                <w:sz w:val="1"/>
                <w:szCs w:val="1"/>
                <w:color w:val="auto"/>
              </w:rPr>
            </w:pPr>
          </w:p>
        </w:tc>
      </w:tr>
      <w:tr>
        <w:trPr>
          <w:trHeight w:val="198"/>
        </w:trPr>
        <w:tc>
          <w:tcPr>
            <w:tcW w:w="8400" w:type="dxa"/>
            <w:vAlign w:val="bottom"/>
          </w:tcPr>
          <w:p>
            <w:pPr>
              <w:ind w:left="20"/>
              <w:spacing w:after="0"/>
              <w:rPr>
                <w:sz w:val="20"/>
                <w:szCs w:val="20"/>
                <w:color w:val="auto"/>
              </w:rPr>
            </w:pPr>
            <w:r>
              <w:rPr>
                <w:rFonts w:ascii="Arial" w:cs="Arial" w:eastAsia="Arial" w:hAnsi="Arial"/>
                <w:sz w:val="15"/>
                <w:szCs w:val="15"/>
                <w:color w:val="auto"/>
              </w:rPr>
              <w:t>Adjustments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123.8</w:t>
            </w:r>
          </w:p>
        </w:tc>
        <w:tc>
          <w:tcPr>
            <w:tcW w:w="0" w:type="dxa"/>
            <w:vAlign w:val="bottom"/>
          </w:tcPr>
          <w:p>
            <w:pPr>
              <w:spacing w:after="0"/>
              <w:rPr>
                <w:sz w:val="1"/>
                <w:szCs w:val="1"/>
                <w:color w:val="auto"/>
              </w:rPr>
            </w:pPr>
          </w:p>
        </w:tc>
      </w:tr>
      <w:tr>
        <w:trPr>
          <w:trHeight w:val="198"/>
        </w:trPr>
        <w:tc>
          <w:tcPr>
            <w:tcW w:w="8400" w:type="dxa"/>
            <w:vAlign w:val="bottom"/>
          </w:tcPr>
          <w:p>
            <w:pPr>
              <w:ind w:left="220"/>
              <w:spacing w:after="0"/>
              <w:rPr>
                <w:sz w:val="20"/>
                <w:szCs w:val="20"/>
                <w:color w:val="auto"/>
              </w:rPr>
            </w:pPr>
            <w:r>
              <w:rPr>
                <w:rFonts w:ascii="Arial" w:cs="Arial" w:eastAsia="Arial" w:hAnsi="Arial"/>
                <w:sz w:val="15"/>
                <w:szCs w:val="15"/>
                <w:color w:val="auto"/>
              </w:rPr>
              <w:t>(Gain) / loss on remeasurement of marketable securities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34.5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7"/>
        </w:trPr>
        <w:tc>
          <w:tcPr>
            <w:tcW w:w="8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on remeasurement of investment in nonconsolidated affiliates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98"/>
        </w:trPr>
        <w:tc>
          <w:tcPr>
            <w:tcW w:w="8400" w:type="dxa"/>
            <w:vAlign w:val="bottom"/>
          </w:tcPr>
          <w:p>
            <w:pPr>
              <w:ind w:left="220"/>
              <w:spacing w:after="0"/>
              <w:rPr>
                <w:sz w:val="20"/>
                <w:szCs w:val="20"/>
                <w:color w:val="auto"/>
              </w:rPr>
            </w:pPr>
            <w:r>
              <w:rPr>
                <w:rFonts w:ascii="Arial" w:cs="Arial" w:eastAsia="Arial" w:hAnsi="Arial"/>
                <w:sz w:val="15"/>
                <w:szCs w:val="15"/>
                <w:color w:val="auto"/>
              </w:rPr>
              <w:t>Gain on remeasurement of notes receivable</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207"/>
        </w:trPr>
        <w:tc>
          <w:tcPr>
            <w:tcW w:w="8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Loss attributable to noncontrolling interests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98"/>
        </w:trPr>
        <w:tc>
          <w:tcPr>
            <w:tcW w:w="8400" w:type="dxa"/>
            <w:vAlign w:val="bottom"/>
          </w:tcPr>
          <w:p>
            <w:pPr>
              <w:ind w:left="220"/>
              <w:spacing w:after="0"/>
              <w:rPr>
                <w:sz w:val="20"/>
                <w:szCs w:val="20"/>
                <w:color w:val="auto"/>
              </w:rPr>
            </w:pPr>
            <w:r>
              <w:rPr>
                <w:rFonts w:ascii="Arial" w:cs="Arial" w:eastAsia="Arial" w:hAnsi="Arial"/>
                <w:sz w:val="15"/>
                <w:szCs w:val="15"/>
                <w:color w:val="auto"/>
              </w:rPr>
              <w:t>Preferred return to preferred OP units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07"/>
        </w:trPr>
        <w:tc>
          <w:tcPr>
            <w:tcW w:w="8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Gain on dispositions of properties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84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Gain on dispositions of assets, net</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200"/>
        </w:trPr>
        <w:tc>
          <w:tcPr>
            <w:tcW w:w="8400" w:type="dxa"/>
            <w:vAlign w:val="bottom"/>
            <w:shd w:val="clear" w:color="auto" w:fill="CCEEFF"/>
          </w:tcPr>
          <w:p>
            <w:pPr>
              <w:ind w:left="20"/>
              <w:spacing w:after="0" w:line="200" w:lineRule="exact"/>
              <w:rPr>
                <w:sz w:val="20"/>
                <w:szCs w:val="20"/>
                <w:color w:val="auto"/>
              </w:rPr>
            </w:pPr>
            <w:r>
              <w:rPr>
                <w:rFonts w:ascii="Arial" w:cs="Arial" w:eastAsia="Arial" w:hAnsi="Arial"/>
                <w:sz w:val="15"/>
                <w:szCs w:val="15"/>
                <w:b w:val="1"/>
                <w:bCs w:val="1"/>
                <w:color w:val="auto"/>
              </w:rPr>
              <w:t>FFO Attributable to Sun Communities, Inc. Common Shareholders and Dilutive Convertible Securities</w:t>
            </w:r>
            <w:r>
              <w:rPr>
                <w:rFonts w:ascii="Arial" w:cs="Arial" w:eastAsia="Arial" w:hAnsi="Arial"/>
                <w:sz w:val="19"/>
                <w:szCs w:val="19"/>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136.6</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0" w:type="dxa"/>
            <w:vAlign w:val="bottom"/>
          </w:tcPr>
          <w:p>
            <w:pPr>
              <w:ind w:left="220"/>
              <w:spacing w:after="0" w:line="203" w:lineRule="exact"/>
              <w:rPr>
                <w:sz w:val="20"/>
                <w:szCs w:val="20"/>
                <w:color w:val="auto"/>
              </w:rPr>
            </w:pPr>
            <w:r>
              <w:rPr>
                <w:rFonts w:ascii="Arial" w:cs="Arial" w:eastAsia="Arial" w:hAnsi="Arial"/>
                <w:sz w:val="15"/>
                <w:szCs w:val="15"/>
                <w:color w:val="auto"/>
              </w:rPr>
              <w:t>Business combination expense and other acquisition related costs</w:t>
            </w:r>
            <w:r>
              <w:rPr>
                <w:rFonts w:ascii="Arial" w:cs="Arial" w:eastAsia="Arial" w:hAnsi="Arial"/>
                <w:sz w:val="19"/>
                <w:szCs w:val="19"/>
                <w:color w:val="auto"/>
                <w:vertAlign w:val="superscript"/>
              </w:rPr>
              <w:t>(2)</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Loss on extinguishment of debt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8400" w:type="dxa"/>
            <w:vAlign w:val="bottom"/>
          </w:tcPr>
          <w:p>
            <w:pPr>
              <w:ind w:left="220"/>
              <w:spacing w:after="0"/>
              <w:rPr>
                <w:sz w:val="20"/>
                <w:szCs w:val="20"/>
                <w:color w:val="auto"/>
              </w:rPr>
            </w:pPr>
            <w:r>
              <w:rPr>
                <w:rFonts w:ascii="Arial" w:cs="Arial" w:eastAsia="Arial" w:hAnsi="Arial"/>
                <w:sz w:val="15"/>
                <w:szCs w:val="15"/>
                <w:color w:val="auto"/>
              </w:rPr>
              <w:t>Catastrophic event-related charges, net</w:t>
            </w:r>
          </w:p>
        </w:tc>
        <w:tc>
          <w:tcPr>
            <w:tcW w:w="1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07"/>
        </w:trPr>
        <w:tc>
          <w:tcPr>
            <w:tcW w:w="8400" w:type="dxa"/>
            <w:vAlign w:val="bottom"/>
            <w:shd w:val="clear" w:color="auto" w:fill="CCEEFF"/>
          </w:tcPr>
          <w:p>
            <w:pPr>
              <w:ind w:left="220"/>
              <w:spacing w:after="0" w:line="206" w:lineRule="exact"/>
              <w:rPr>
                <w:sz w:val="20"/>
                <w:szCs w:val="20"/>
                <w:color w:val="auto"/>
              </w:rPr>
            </w:pPr>
            <w:r>
              <w:rPr>
                <w:rFonts w:ascii="Arial" w:cs="Arial" w:eastAsia="Arial" w:hAnsi="Arial"/>
                <w:sz w:val="15"/>
                <w:szCs w:val="15"/>
                <w:color w:val="auto"/>
              </w:rPr>
              <w:t>Earnings - catastrophic event-related charges</w:t>
            </w:r>
            <w:r>
              <w:rPr>
                <w:rFonts w:ascii="Arial" w:cs="Arial" w:eastAsia="Arial" w:hAnsi="Arial"/>
                <w:sz w:val="19"/>
                <w:szCs w:val="19"/>
                <w:color w:val="auto"/>
                <w:vertAlign w:val="superscript"/>
              </w:rPr>
              <w:t>(3)</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98"/>
        </w:trPr>
        <w:tc>
          <w:tcPr>
            <w:tcW w:w="8400" w:type="dxa"/>
            <w:vAlign w:val="bottom"/>
          </w:tcPr>
          <w:p>
            <w:pPr>
              <w:ind w:left="220"/>
              <w:spacing w:after="0"/>
              <w:rPr>
                <w:sz w:val="20"/>
                <w:szCs w:val="20"/>
                <w:color w:val="auto"/>
              </w:rPr>
            </w:pPr>
            <w:r>
              <w:rPr>
                <w:rFonts w:ascii="Arial" w:cs="Arial" w:eastAsia="Arial" w:hAnsi="Arial"/>
                <w:sz w:val="15"/>
                <w:szCs w:val="15"/>
                <w:color w:val="auto"/>
              </w:rPr>
              <w:t>Loss on foreign currency translation</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8400" w:type="dxa"/>
            <w:vAlign w:val="bottom"/>
            <w:shd w:val="clear" w:color="auto" w:fill="CCEEFF"/>
          </w:tcPr>
          <w:p>
            <w:pPr>
              <w:ind w:left="220"/>
              <w:spacing w:after="0" w:line="206" w:lineRule="exact"/>
              <w:rPr>
                <w:sz w:val="20"/>
                <w:szCs w:val="20"/>
                <w:color w:val="auto"/>
              </w:rPr>
            </w:pPr>
            <w:r>
              <w:rPr>
                <w:rFonts w:ascii="Arial" w:cs="Arial" w:eastAsia="Arial" w:hAnsi="Arial"/>
                <w:sz w:val="15"/>
                <w:szCs w:val="15"/>
                <w:color w:val="auto"/>
              </w:rPr>
              <w:t>Other adjustments, net</w:t>
            </w:r>
            <w:r>
              <w:rPr>
                <w:rFonts w:ascii="Arial" w:cs="Arial" w:eastAsia="Arial" w:hAnsi="Arial"/>
                <w:sz w:val="19"/>
                <w:szCs w:val="19"/>
                <w:color w:val="auto"/>
                <w:vertAlign w:val="superscript"/>
              </w:rPr>
              <w:t>(4)</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96"/>
        </w:trPr>
        <w:tc>
          <w:tcPr>
            <w:tcW w:w="8400" w:type="dxa"/>
            <w:vAlign w:val="bottom"/>
          </w:tcPr>
          <w:p>
            <w:pPr>
              <w:ind w:left="20"/>
              <w:spacing w:after="0" w:line="196" w:lineRule="exact"/>
              <w:rPr>
                <w:sz w:val="20"/>
                <w:szCs w:val="20"/>
                <w:color w:val="auto"/>
              </w:rPr>
            </w:pPr>
            <w:r>
              <w:rPr>
                <w:rFonts w:ascii="Arial" w:cs="Arial" w:eastAsia="Arial" w:hAnsi="Arial"/>
                <w:sz w:val="15"/>
                <w:szCs w:val="15"/>
                <w:b w:val="1"/>
                <w:bCs w:val="1"/>
                <w:color w:val="auto"/>
              </w:rPr>
              <w:t>Core FFO Attributable to Sun Communities, Inc. Common Shareholders and Dilutive Convertible Securities</w:t>
            </w:r>
            <w:r>
              <w:rPr>
                <w:rFonts w:ascii="Arial" w:cs="Arial" w:eastAsia="Arial" w:hAnsi="Arial"/>
                <w:sz w:val="19"/>
                <w:szCs w:val="19"/>
                <w:color w:val="auto"/>
                <w:vertAlign w:val="superscript"/>
              </w:rPr>
              <w:t>(1)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162.8</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141.0</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400" w:type="dxa"/>
            <w:vAlign w:val="bottom"/>
          </w:tcPr>
          <w:p>
            <w:pPr>
              <w:ind w:left="20"/>
              <w:spacing w:after="0"/>
              <w:rPr>
                <w:sz w:val="20"/>
                <w:szCs w:val="20"/>
                <w:color w:val="auto"/>
              </w:rPr>
            </w:pPr>
            <w:r>
              <w:rPr>
                <w:rFonts w:ascii="Arial" w:cs="Arial" w:eastAsia="Arial" w:hAnsi="Arial"/>
                <w:sz w:val="15"/>
                <w:szCs w:val="15"/>
                <w:color w:val="auto"/>
              </w:rPr>
              <w:t>Weighted average common shares outstanding - basic</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115.3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107.9</w:t>
            </w:r>
          </w:p>
        </w:tc>
        <w:tc>
          <w:tcPr>
            <w:tcW w:w="0" w:type="dxa"/>
            <w:vAlign w:val="bottom"/>
          </w:tcPr>
          <w:p>
            <w:pPr>
              <w:spacing w:after="0"/>
              <w:rPr>
                <w:sz w:val="1"/>
                <w:szCs w:val="1"/>
                <w:color w:val="auto"/>
              </w:rPr>
            </w:pPr>
          </w:p>
        </w:tc>
      </w:tr>
      <w:tr>
        <w:trPr>
          <w:trHeight w:val="207"/>
        </w:trPr>
        <w:tc>
          <w:tcPr>
            <w:tcW w:w="8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Add</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400" w:type="dxa"/>
            <w:vAlign w:val="bottom"/>
          </w:tcPr>
          <w:p>
            <w:pPr>
              <w:ind w:left="220"/>
              <w:spacing w:after="0"/>
              <w:rPr>
                <w:sz w:val="20"/>
                <w:szCs w:val="20"/>
                <w:color w:val="auto"/>
              </w:rPr>
            </w:pPr>
            <w:r>
              <w:rPr>
                <w:rFonts w:ascii="Arial" w:cs="Arial" w:eastAsia="Arial" w:hAnsi="Arial"/>
                <w:sz w:val="15"/>
                <w:szCs w:val="15"/>
                <w:color w:val="auto"/>
              </w:rPr>
              <w:t>Common shares dilutive effect from forward equity sale</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6"/>
        </w:trPr>
        <w:tc>
          <w:tcPr>
            <w:tcW w:w="8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Restricted stock</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99"/>
        </w:trPr>
        <w:tc>
          <w:tcPr>
            <w:tcW w:w="8400" w:type="dxa"/>
            <w:vAlign w:val="bottom"/>
          </w:tcPr>
          <w:p>
            <w:pPr>
              <w:ind w:left="220"/>
              <w:spacing w:after="0"/>
              <w:rPr>
                <w:sz w:val="20"/>
                <w:szCs w:val="20"/>
                <w:color w:val="auto"/>
              </w:rPr>
            </w:pPr>
            <w:r>
              <w:rPr>
                <w:rFonts w:ascii="Arial" w:cs="Arial" w:eastAsia="Arial" w:hAnsi="Arial"/>
                <w:sz w:val="15"/>
                <w:szCs w:val="15"/>
                <w:color w:val="auto"/>
              </w:rPr>
              <w:t>Common OP units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Common stock issuable upon conversion of certain preferred OP units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0" w:type="dxa"/>
            <w:vAlign w:val="bottom"/>
          </w:tcPr>
          <w:p>
            <w:pPr>
              <w:spacing w:after="0"/>
              <w:rPr>
                <w:sz w:val="1"/>
                <w:szCs w:val="1"/>
                <w:color w:val="auto"/>
              </w:rPr>
            </w:pPr>
          </w:p>
        </w:tc>
      </w:tr>
      <w:tr>
        <w:trPr>
          <w:trHeight w:val="200"/>
        </w:trPr>
        <w:tc>
          <w:tcPr>
            <w:tcW w:w="8400" w:type="dxa"/>
            <w:vAlign w:val="bottom"/>
          </w:tcPr>
          <w:p>
            <w:pPr>
              <w:ind w:left="20"/>
              <w:spacing w:after="0"/>
              <w:rPr>
                <w:sz w:val="20"/>
                <w:szCs w:val="20"/>
                <w:color w:val="auto"/>
              </w:rPr>
            </w:pPr>
            <w:r>
              <w:rPr>
                <w:rFonts w:ascii="Arial" w:cs="Arial" w:eastAsia="Arial" w:hAnsi="Arial"/>
                <w:sz w:val="15"/>
                <w:szCs w:val="15"/>
                <w:b w:val="1"/>
                <w:bCs w:val="1"/>
                <w:color w:val="auto"/>
              </w:rPr>
              <w:t>Weighted Average Common Shares Outstanding - Fully Diluted</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111.7</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400" w:type="dxa"/>
            <w:vAlign w:val="bottom"/>
          </w:tcPr>
          <w:p>
            <w:pPr>
              <w:ind w:left="20"/>
              <w:spacing w:after="0" w:line="149" w:lineRule="exact"/>
              <w:rPr>
                <w:sz w:val="20"/>
                <w:szCs w:val="20"/>
                <w:color w:val="auto"/>
              </w:rPr>
            </w:pPr>
            <w:r>
              <w:rPr>
                <w:rFonts w:ascii="Arial" w:cs="Arial" w:eastAsia="Arial" w:hAnsi="Arial"/>
                <w:sz w:val="15"/>
                <w:szCs w:val="15"/>
                <w:b w:val="1"/>
                <w:bCs w:val="1"/>
                <w:color w:val="auto"/>
                <w:w w:val="98"/>
              </w:rPr>
              <w:t>FFO Attributable to Sun Communities, Inc. Common Shareholders and Dilutive Convertible Securities Per Share - Fully</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1.28</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1.22</w:t>
            </w:r>
          </w:p>
        </w:tc>
        <w:tc>
          <w:tcPr>
            <w:tcW w:w="0" w:type="dxa"/>
            <w:vAlign w:val="bottom"/>
          </w:tcPr>
          <w:p>
            <w:pPr>
              <w:spacing w:after="0"/>
              <w:rPr>
                <w:sz w:val="1"/>
                <w:szCs w:val="1"/>
                <w:color w:val="auto"/>
              </w:rPr>
            </w:pPr>
          </w:p>
        </w:tc>
      </w:tr>
      <w:tr>
        <w:trPr>
          <w:trHeight w:val="200"/>
        </w:trPr>
        <w:tc>
          <w:tcPr>
            <w:tcW w:w="8400" w:type="dxa"/>
            <w:vAlign w:val="bottom"/>
          </w:tcPr>
          <w:p>
            <w:pPr>
              <w:ind w:left="20"/>
              <w:spacing w:after="0"/>
              <w:rPr>
                <w:sz w:val="20"/>
                <w:szCs w:val="20"/>
                <w:color w:val="auto"/>
              </w:rPr>
            </w:pPr>
            <w:r>
              <w:rPr>
                <w:rFonts w:ascii="Arial" w:cs="Arial" w:eastAsia="Arial" w:hAnsi="Arial"/>
                <w:sz w:val="15"/>
                <w:szCs w:val="15"/>
                <w:b w:val="1"/>
                <w:bCs w:val="1"/>
                <w:color w:val="auto"/>
              </w:rPr>
              <w:t>Diluted</w:t>
            </w:r>
          </w:p>
        </w:tc>
        <w:tc>
          <w:tcPr>
            <w:tcW w:w="14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8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0" w:type="dxa"/>
            <w:vAlign w:val="bottom"/>
          </w:tcPr>
          <w:p>
            <w:pPr>
              <w:ind w:left="20"/>
              <w:spacing w:after="0" w:line="149" w:lineRule="exact"/>
              <w:rPr>
                <w:sz w:val="20"/>
                <w:szCs w:val="20"/>
                <w:color w:val="auto"/>
              </w:rPr>
            </w:pPr>
            <w:r>
              <w:rPr>
                <w:rFonts w:ascii="Arial" w:cs="Arial" w:eastAsia="Arial" w:hAnsi="Arial"/>
                <w:sz w:val="15"/>
                <w:szCs w:val="15"/>
                <w:b w:val="1"/>
                <w:bCs w:val="1"/>
                <w:color w:val="auto"/>
                <w:w w:val="94"/>
              </w:rPr>
              <w:t>Core FFO Attributable to Sun Communities, Inc. Common Shareholders and Dilutive Convertible Securities Per Share - Fully</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1.34</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1.26</w:t>
            </w:r>
          </w:p>
        </w:tc>
        <w:tc>
          <w:tcPr>
            <w:tcW w:w="0" w:type="dxa"/>
            <w:vAlign w:val="bottom"/>
          </w:tcPr>
          <w:p>
            <w:pPr>
              <w:spacing w:after="0"/>
              <w:rPr>
                <w:sz w:val="1"/>
                <w:szCs w:val="1"/>
                <w:color w:val="auto"/>
              </w:rPr>
            </w:pPr>
          </w:p>
        </w:tc>
      </w:tr>
      <w:tr>
        <w:trPr>
          <w:trHeight w:val="198"/>
        </w:trPr>
        <w:tc>
          <w:tcPr>
            <w:tcW w:w="8400" w:type="dxa"/>
            <w:vAlign w:val="bottom"/>
          </w:tcPr>
          <w:p>
            <w:pPr>
              <w:ind w:left="20"/>
              <w:spacing w:after="0"/>
              <w:rPr>
                <w:sz w:val="20"/>
                <w:szCs w:val="20"/>
                <w:color w:val="auto"/>
              </w:rPr>
            </w:pPr>
            <w:r>
              <w:rPr>
                <w:rFonts w:ascii="Arial" w:cs="Arial" w:eastAsia="Arial" w:hAnsi="Arial"/>
                <w:sz w:val="15"/>
                <w:szCs w:val="15"/>
                <w:b w:val="1"/>
                <w:bCs w:val="1"/>
                <w:color w:val="auto"/>
              </w:rPr>
              <w:t>Diluted</w:t>
            </w:r>
          </w:p>
        </w:tc>
        <w:tc>
          <w:tcPr>
            <w:tcW w:w="14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60" w:hanging="152"/>
        <w:spacing w:after="0"/>
        <w:tabs>
          <w:tab w:leader="none" w:pos="16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The effect of certain anti-dilutive convertible securities is excluded from these items.</w:t>
      </w:r>
    </w:p>
    <w:p>
      <w:pPr>
        <w:spacing w:after="0" w:line="45" w:lineRule="exact"/>
        <w:rPr>
          <w:rFonts w:ascii="Arial" w:cs="Arial" w:eastAsia="Arial" w:hAnsi="Arial"/>
          <w:sz w:val="18"/>
          <w:szCs w:val="18"/>
          <w:color w:val="auto"/>
          <w:vertAlign w:val="superscript"/>
        </w:rPr>
      </w:pPr>
    </w:p>
    <w:p>
      <w:pPr>
        <w:jc w:val="both"/>
        <w:ind w:left="180" w:hanging="172"/>
        <w:spacing w:after="0" w:line="225" w:lineRule="auto"/>
        <w:tabs>
          <w:tab w:leader="none" w:pos="167" w:val="left"/>
        </w:tabs>
        <w:numPr>
          <w:ilvl w:val="0"/>
          <w:numId w:val="40"/>
        </w:numPr>
        <w:rPr>
          <w:rFonts w:ascii="Arial" w:cs="Arial" w:eastAsia="Arial" w:hAnsi="Arial"/>
          <w:sz w:val="17"/>
          <w:szCs w:val="17"/>
          <w:color w:val="auto"/>
          <w:vertAlign w:val="superscript"/>
        </w:rPr>
      </w:pPr>
      <w:r>
        <w:rPr>
          <w:rFonts w:ascii="Arial" w:cs="Arial" w:eastAsia="Arial" w:hAnsi="Arial"/>
          <w:sz w:val="13"/>
          <w:szCs w:val="13"/>
          <w:color w:val="auto"/>
        </w:rPr>
        <w:t>These costs represent (a) business combination expenses and expenses incurred to bring recently acquired properties up to our operating standards, including items such as tree trimming and painting costs that do not meet our capitalization policy, and (b) nonrecurring integration expenses associated with a new acquisition for the three months ended March 31, 2022 and 2021, and</w:t>
      </w:r>
    </w:p>
    <w:p>
      <w:pPr>
        <w:ind w:left="180" w:hanging="10"/>
        <w:spacing w:after="0" w:line="255" w:lineRule="auto"/>
        <w:tabs>
          <w:tab w:leader="none" w:pos="385" w:val="left"/>
        </w:tabs>
        <w:numPr>
          <w:ilvl w:val="1"/>
          <w:numId w:val="40"/>
        </w:numPr>
        <w:rPr>
          <w:rFonts w:ascii="Arial" w:cs="Arial" w:eastAsia="Arial" w:hAnsi="Arial"/>
          <w:sz w:val="14"/>
          <w:szCs w:val="14"/>
          <w:color w:val="auto"/>
        </w:rPr>
      </w:pPr>
      <w:r>
        <w:rPr>
          <w:rFonts w:ascii="Arial" w:cs="Arial" w:eastAsia="Arial" w:hAnsi="Arial"/>
          <w:sz w:val="14"/>
          <w:szCs w:val="14"/>
          <w:color w:val="auto"/>
        </w:rPr>
        <w:t>acquisition's dead deal cost and (d) cost associated with the termination of the bridge loan commitment related to the acquisition of Park Holidays for the three months ended March 31, 2022.</w:t>
      </w:r>
    </w:p>
    <w:p>
      <w:pPr>
        <w:spacing w:after="0" w:line="23" w:lineRule="exact"/>
        <w:rPr>
          <w:rFonts w:ascii="Arial" w:cs="Arial" w:eastAsia="Arial" w:hAnsi="Arial"/>
          <w:sz w:val="14"/>
          <w:szCs w:val="14"/>
          <w:color w:val="auto"/>
        </w:rPr>
      </w:pPr>
    </w:p>
    <w:p>
      <w:pPr>
        <w:ind w:left="180" w:hanging="172"/>
        <w:spacing w:after="0" w:line="217" w:lineRule="auto"/>
        <w:tabs>
          <w:tab w:leader="none" w:pos="166"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Adjustment related to estimated loss of earnings in excess of the applicable business interruption deductible in relation to our three Florida Keys communities that were impaired by Hurricane Irma which had not yet been received from our insurer.</w:t>
      </w:r>
    </w:p>
    <w:p>
      <w:pPr>
        <w:spacing w:after="0" w:line="34" w:lineRule="exact"/>
        <w:rPr>
          <w:rFonts w:ascii="Arial" w:cs="Arial" w:eastAsia="Arial" w:hAnsi="Arial"/>
          <w:sz w:val="19"/>
          <w:szCs w:val="19"/>
          <w:color w:val="auto"/>
          <w:vertAlign w:val="superscript"/>
        </w:rPr>
      </w:pPr>
    </w:p>
    <w:p>
      <w:pPr>
        <w:ind w:left="180" w:hanging="172"/>
        <w:spacing w:after="0" w:line="239" w:lineRule="auto"/>
        <w:tabs>
          <w:tab w:leader="none" w:pos="150" w:val="left"/>
        </w:tabs>
        <w:numPr>
          <w:ilvl w:val="0"/>
          <w:numId w:val="40"/>
        </w:numPr>
        <w:rPr>
          <w:rFonts w:ascii="Arial" w:cs="Arial" w:eastAsia="Arial" w:hAnsi="Arial"/>
          <w:sz w:val="17"/>
          <w:szCs w:val="17"/>
          <w:color w:val="auto"/>
          <w:vertAlign w:val="superscript"/>
        </w:rPr>
      </w:pPr>
      <w:r>
        <w:rPr>
          <w:rFonts w:ascii="Arial" w:cs="Arial" w:eastAsia="Arial" w:hAnsi="Arial"/>
          <w:sz w:val="13"/>
          <w:szCs w:val="13"/>
          <w:color w:val="auto"/>
        </w:rPr>
        <w:t>Other adjustments, net include RV rebranding non-recurring cost for the three months ended March 31, 2022, and the change in estimated contingent consideration payments and the deferred tax benefit for the three months ended March 31, 2021.</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Short-term Liquidity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principal short-term liquidity demands have historically been, and are expected to continue to be, distributions to our shareholders and the unit holders of the Operating Partnership, property acquisitions, development and expansion of our properties, capital improvement of our properties, the purchase of new and pre-owned homes, and debt repayment. We intend to meet our short-term liquidity requirements through available cash balances, cash flows generated from operations, draws on our Senior Credit Facility, and the use of debt and equity offerings under our shelf registration statement. Refer to Note 8, "Debt and Line of Credit," and Note 9, "Equity and Temporary Equity," in our accompanying Consolidated Financial Statements for additional information.</w:t>
      </w:r>
    </w:p>
    <w:p>
      <w:pPr>
        <w:spacing w:after="0" w:line="2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also intend to continue to strengthen our capital and liquidity positions by focusing on our core fundamentals, which are generating positive cash flows from operations, maintaining appropriate debt levels and leverage ratios, and controlling overhead costs. We take a disciplined approach to selecting the optimal mix of financing sources to meet our liquidity demands and minimize our overall cost of capital. In June 2021, we received investment grade ratings of BBB and Baa3 with a stable outlook from S&amp;P Global and Moody's, respectively. We plan on continuing to leverage this enhanced strength in the credit markets to utilize a greater proportion of unsecured debt to lower our cost of capital and increase our financial flexibility.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Subject to market conditions, we intend to continue to identify opportunities to expand our development pipeline and acquire existing properties. We finance acquisitions through available cash, secured financing, draws on our Senior Credit Facility, the assumption of existing debt on properties and the issuance of debt and equity securities. We will continue to evaluate acquisition opportunities that meet our criteria. Refer to Note 3, "Real Estate Acquisitions and Dispositions," in the accompanying Consolidated Financial Statements for information regarding recent property acquisitions.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Subsequent to the three months ended March 31, 2022, we completed our previously announced acquisition of Park Holidays. The acquisition values Park Holidays at an enterprise value of £950 million (or approximately $1.2 billion). As consideration for the acquisition, we (a) issued an aggregate of 186,044 shares of our common stock with a value of approximately $34.0 million as of the closing to certain individual sellers who are also members of Park Holidays' senior management, and (b) paid the remainder of the purchase price in cash.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capital expenditures include expansion sites and development construction costs, recurring capital expenditures, lot modifications, growth projects, acquisition-related capital expenditures, rental home purchases and rebranding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capital expenditure activity is summarized as follows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884"/>
              <w:spacing w:after="0"/>
              <w:rPr>
                <w:sz w:val="20"/>
                <w:szCs w:val="20"/>
                <w:color w:val="auto"/>
              </w:rPr>
            </w:pPr>
            <w:r>
              <w:rPr>
                <w:rFonts w:ascii="Arial" w:cs="Arial" w:eastAsia="Arial" w:hAnsi="Arial"/>
                <w:sz w:val="15"/>
                <w:szCs w:val="15"/>
                <w:b w:val="1"/>
                <w:bCs w:val="1"/>
                <w:color w:val="auto"/>
              </w:rPr>
              <w:t>Three Months Ended</w:t>
            </w:r>
          </w:p>
        </w:tc>
      </w:tr>
      <w:tr>
        <w:trPr>
          <w:trHeight w:val="198"/>
        </w:trPr>
        <w:tc>
          <w:tcPr>
            <w:tcW w:w="7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2022</w:t>
            </w:r>
          </w:p>
        </w:tc>
        <w:tc>
          <w:tcPr>
            <w:tcW w:w="180" w:type="dxa"/>
            <w:vAlign w:val="bottom"/>
          </w:tcPr>
          <w:p>
            <w:pPr>
              <w:spacing w:after="0"/>
              <w:rPr>
                <w:sz w:val="17"/>
                <w:szCs w:val="17"/>
                <w:color w:val="auto"/>
              </w:rPr>
            </w:pPr>
          </w:p>
        </w:tc>
        <w:tc>
          <w:tcPr>
            <w:tcW w:w="1420" w:type="dxa"/>
            <w:vAlign w:val="bottom"/>
          </w:tcPr>
          <w:p>
            <w:pPr>
              <w:jc w:val="right"/>
              <w:ind w:right="224"/>
              <w:spacing w:after="0"/>
              <w:rPr>
                <w:sz w:val="20"/>
                <w:szCs w:val="20"/>
                <w:color w:val="auto"/>
              </w:rPr>
            </w:pPr>
            <w:r>
              <w:rPr>
                <w:rFonts w:ascii="Arial" w:cs="Arial" w:eastAsia="Arial" w:hAnsi="Arial"/>
                <w:sz w:val="15"/>
                <w:szCs w:val="15"/>
                <w:b w:val="1"/>
                <w:bCs w:val="1"/>
                <w:color w:val="auto"/>
              </w:rPr>
              <w:t>March 31, 2021</w:t>
            </w:r>
          </w:p>
        </w:tc>
      </w:tr>
      <w:tr>
        <w:trPr>
          <w:trHeight w:val="198"/>
        </w:trPr>
        <w:tc>
          <w:tcPr>
            <w:tcW w:w="79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Expansion and Development Expenditures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47.4</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46.9</w:t>
            </w:r>
          </w:p>
        </w:tc>
      </w:tr>
      <w:tr>
        <w:trPr>
          <w:trHeight w:val="198"/>
        </w:trPr>
        <w:tc>
          <w:tcPr>
            <w:tcW w:w="7920" w:type="dxa"/>
            <w:vAlign w:val="bottom"/>
          </w:tcPr>
          <w:p>
            <w:pPr>
              <w:ind w:left="140"/>
              <w:spacing w:after="0"/>
              <w:rPr>
                <w:sz w:val="20"/>
                <w:szCs w:val="20"/>
                <w:color w:val="auto"/>
              </w:rPr>
            </w:pPr>
            <w:r>
              <w:rPr>
                <w:rFonts w:ascii="Arial" w:cs="Arial" w:eastAsia="Arial" w:hAnsi="Arial"/>
                <w:sz w:val="15"/>
                <w:szCs w:val="15"/>
                <w:color w:val="auto"/>
              </w:rPr>
              <w:t>Recurring Capital Expenditures</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15.8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13.6</w:t>
            </w:r>
          </w:p>
        </w:tc>
      </w:tr>
      <w:tr>
        <w:trPr>
          <w:trHeight w:val="207"/>
        </w:trPr>
        <w:tc>
          <w:tcPr>
            <w:tcW w:w="7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Lot Modifications Expenditures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w:t>
            </w:r>
          </w:p>
        </w:tc>
      </w:tr>
      <w:tr>
        <w:trPr>
          <w:trHeight w:val="198"/>
        </w:trPr>
        <w:tc>
          <w:tcPr>
            <w:tcW w:w="7920" w:type="dxa"/>
            <w:vAlign w:val="bottom"/>
          </w:tcPr>
          <w:p>
            <w:pPr>
              <w:ind w:left="140"/>
              <w:spacing w:after="0"/>
              <w:rPr>
                <w:sz w:val="20"/>
                <w:szCs w:val="20"/>
                <w:color w:val="auto"/>
              </w:rPr>
            </w:pPr>
            <w:r>
              <w:rPr>
                <w:rFonts w:ascii="Arial" w:cs="Arial" w:eastAsia="Arial" w:hAnsi="Arial"/>
                <w:sz w:val="15"/>
                <w:szCs w:val="15"/>
                <w:color w:val="auto"/>
              </w:rPr>
              <w:t>Growth Projects</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22.7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18.1</w:t>
            </w:r>
          </w:p>
        </w:tc>
      </w:tr>
      <w:tr>
        <w:trPr>
          <w:trHeight w:val="207"/>
        </w:trPr>
        <w:tc>
          <w:tcPr>
            <w:tcW w:w="7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Acquisition-related Capital Expenditures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w:t>
            </w:r>
          </w:p>
        </w:tc>
      </w:tr>
      <w:tr>
        <w:trPr>
          <w:trHeight w:val="198"/>
        </w:trPr>
        <w:tc>
          <w:tcPr>
            <w:tcW w:w="7920" w:type="dxa"/>
            <w:vAlign w:val="bottom"/>
          </w:tcPr>
          <w:p>
            <w:pPr>
              <w:ind w:left="140"/>
              <w:spacing w:after="0"/>
              <w:rPr>
                <w:sz w:val="20"/>
                <w:szCs w:val="20"/>
                <w:color w:val="auto"/>
              </w:rPr>
            </w:pPr>
            <w:r>
              <w:rPr>
                <w:rFonts w:ascii="Arial" w:cs="Arial" w:eastAsia="Arial" w:hAnsi="Arial"/>
                <w:sz w:val="15"/>
                <w:szCs w:val="15"/>
                <w:color w:val="auto"/>
              </w:rPr>
              <w:t>Rental Program</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28.9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27.7</w:t>
            </w:r>
          </w:p>
        </w:tc>
      </w:tr>
      <w:tr>
        <w:trPr>
          <w:trHeight w:val="207"/>
        </w:trPr>
        <w:tc>
          <w:tcPr>
            <w:tcW w:w="7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Rebranding Cost</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79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w:t>
            </w:r>
          </w:p>
        </w:tc>
      </w:tr>
      <w:tr>
        <w:trPr>
          <w:trHeight w:val="225"/>
        </w:trPr>
        <w:tc>
          <w:tcPr>
            <w:tcW w:w="7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Total capital expenditures activity</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182.7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152.0</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Expansion and development expenditures </w:t>
      </w:r>
      <w:r>
        <w:rPr>
          <w:rFonts w:ascii="Arial" w:cs="Arial" w:eastAsia="Arial" w:hAnsi="Arial"/>
          <w:sz w:val="17"/>
          <w:szCs w:val="17"/>
          <w:color w:val="auto"/>
        </w:rPr>
        <w:t>- consist primarily of construction costs such as roads, activities and amenities, and costs necessary to complete</w:t>
      </w:r>
      <w:r>
        <w:rPr>
          <w:rFonts w:ascii="Arial" w:cs="Arial" w:eastAsia="Arial" w:hAnsi="Arial"/>
          <w:sz w:val="17"/>
          <w:szCs w:val="17"/>
          <w:i w:val="1"/>
          <w:iCs w:val="1"/>
          <w:color w:val="auto"/>
        </w:rPr>
        <w:t xml:space="preserve"> </w:t>
      </w:r>
      <w:r>
        <w:rPr>
          <w:rFonts w:ascii="Arial" w:cs="Arial" w:eastAsia="Arial" w:hAnsi="Arial"/>
          <w:sz w:val="17"/>
          <w:szCs w:val="17"/>
          <w:color w:val="auto"/>
        </w:rPr>
        <w:t>home and RV site improvements, such as driveways, sidewalks and landscaping at our MH communities and RV resorts. Expenditures also include costs to rebuild after damage has been incurred at MH, RV or marina properties, and research and development.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Recurring capital expenditures </w:t>
      </w:r>
      <w:r>
        <w:rPr>
          <w:rFonts w:ascii="Arial" w:cs="Arial" w:eastAsia="Arial" w:hAnsi="Arial"/>
          <w:sz w:val="18"/>
          <w:szCs w:val="18"/>
          <w:color w:val="auto"/>
        </w:rPr>
        <w:t>- relate to our continued commitment to the upkeep of our MH and RV properties and include items such as dredging, dock</w:t>
      </w:r>
      <w:r>
        <w:rPr>
          <w:rFonts w:ascii="Arial" w:cs="Arial" w:eastAsia="Arial" w:hAnsi="Arial"/>
          <w:sz w:val="18"/>
          <w:szCs w:val="18"/>
          <w:i w:val="1"/>
          <w:iCs w:val="1"/>
          <w:color w:val="auto"/>
        </w:rPr>
        <w:t xml:space="preserve"> </w:t>
      </w:r>
      <w:r>
        <w:rPr>
          <w:rFonts w:ascii="Arial" w:cs="Arial" w:eastAsia="Arial" w:hAnsi="Arial"/>
          <w:sz w:val="18"/>
          <w:szCs w:val="18"/>
          <w:color w:val="auto"/>
        </w:rPr>
        <w:t>repairs and improvements, and equipment maintenance and upgrades related to our marinas.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Lot modification capital expenditures </w:t>
      </w:r>
      <w:r>
        <w:rPr>
          <w:rFonts w:ascii="Arial" w:cs="Arial" w:eastAsia="Arial" w:hAnsi="Arial"/>
          <w:sz w:val="17"/>
          <w:szCs w:val="17"/>
          <w:color w:val="auto"/>
        </w:rPr>
        <w:t>- are incurred to modify the foundational structures required to set a new home after a previous home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removed. These expenditures are necessary to create a revenue stream from a new site renter and often improve the quality of the community. Other lot modification expenditures include land improvements added to annual RV sites to aid in the conversion of transient RV guests to annual contracts.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Growth projects </w:t>
      </w:r>
      <w:r>
        <w:rPr>
          <w:rFonts w:ascii="Arial" w:cs="Arial" w:eastAsia="Arial" w:hAnsi="Arial"/>
          <w:sz w:val="18"/>
          <w:szCs w:val="18"/>
          <w:color w:val="auto"/>
        </w:rPr>
        <w:t>- consist of revenue generating or expense reducing activities at MH communities, RV resorts and marinas. This includes, but is not</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utility efficiency and renewable energy projects, site, slip or amenity upgrades such as the addition of a garage, shed or boat lift, and other special capital projects that substantiate an incremental rental increase.</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Acquisition-related capital expenditures </w:t>
      </w:r>
      <w:r>
        <w:rPr>
          <w:rFonts w:ascii="Arial" w:cs="Arial" w:eastAsia="Arial" w:hAnsi="Arial"/>
          <w:sz w:val="17"/>
          <w:szCs w:val="17"/>
          <w:color w:val="auto"/>
        </w:rPr>
        <w:t>- consist of capital improvements identified during due diligence that are necessary to bring our communities,</w:t>
      </w:r>
      <w:r>
        <w:rPr>
          <w:rFonts w:ascii="Arial" w:cs="Arial" w:eastAsia="Arial" w:hAnsi="Arial"/>
          <w:sz w:val="17"/>
          <w:szCs w:val="17"/>
          <w:i w:val="1"/>
          <w:iCs w:val="1"/>
          <w:color w:val="auto"/>
        </w:rPr>
        <w:t xml:space="preserve"> </w:t>
      </w:r>
      <w:r>
        <w:rPr>
          <w:rFonts w:ascii="Arial" w:cs="Arial" w:eastAsia="Arial" w:hAnsi="Arial"/>
          <w:sz w:val="17"/>
          <w:szCs w:val="17"/>
          <w:color w:val="auto"/>
        </w:rPr>
        <w:t>resorts, and marinas up to our operating standards. These include items such as: upgrading clubhouses; landscaping; new street light systems; new mail delivery systems; pool renovation including larger decks, heaters, and furniture; new maintenance facilities; lot modifications; and new signage.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Rental program </w:t>
      </w:r>
      <w:r>
        <w:rPr>
          <w:rFonts w:ascii="Arial" w:cs="Arial" w:eastAsia="Arial" w:hAnsi="Arial"/>
          <w:sz w:val="18"/>
          <w:szCs w:val="18"/>
          <w:color w:val="auto"/>
        </w:rPr>
        <w:t>- investment in the acquisition of homes intended for the Rental Program and the purchase of vacation rental homes at our RV resorts.</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for these investments depend upon the condition of the markets for repossessions and new home sales, rental homes and vacation rental homes.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Rebranding cost </w:t>
      </w:r>
      <w:r>
        <w:rPr>
          <w:rFonts w:ascii="Arial" w:cs="Arial" w:eastAsia="Arial" w:hAnsi="Arial"/>
          <w:sz w:val="18"/>
          <w:szCs w:val="18"/>
          <w:color w:val="auto"/>
        </w:rPr>
        <w:t>- includes new signage at our RV resorts and costs of building an RV mobile application and updated website.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cash flow activities are summarized as follows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884"/>
              <w:spacing w:after="0"/>
              <w:rPr>
                <w:sz w:val="20"/>
                <w:szCs w:val="20"/>
                <w:color w:val="auto"/>
              </w:rPr>
            </w:pPr>
            <w:r>
              <w:rPr>
                <w:rFonts w:ascii="Arial" w:cs="Arial" w:eastAsia="Arial" w:hAnsi="Arial"/>
                <w:sz w:val="15"/>
                <w:szCs w:val="15"/>
                <w:b w:val="1"/>
                <w:bCs w:val="1"/>
                <w:color w:val="auto"/>
              </w:rPr>
              <w:t>Three Months Ended</w:t>
            </w:r>
          </w:p>
        </w:tc>
      </w:tr>
      <w:tr>
        <w:trPr>
          <w:trHeight w:val="198"/>
        </w:trPr>
        <w:tc>
          <w:tcPr>
            <w:tcW w:w="7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ind w:left="100"/>
              <w:spacing w:after="0"/>
              <w:rPr>
                <w:sz w:val="20"/>
                <w:szCs w:val="20"/>
                <w:color w:val="auto"/>
              </w:rPr>
            </w:pPr>
            <w:r>
              <w:rPr>
                <w:rFonts w:ascii="Arial" w:cs="Arial" w:eastAsia="Arial" w:hAnsi="Arial"/>
                <w:sz w:val="15"/>
                <w:szCs w:val="15"/>
                <w:b w:val="1"/>
                <w:bCs w:val="1"/>
                <w:color w:val="auto"/>
              </w:rPr>
              <w:t>March 31, 2022</w:t>
            </w:r>
          </w:p>
        </w:tc>
        <w:tc>
          <w:tcPr>
            <w:tcW w:w="180" w:type="dxa"/>
            <w:vAlign w:val="bottom"/>
          </w:tcPr>
          <w:p>
            <w:pPr>
              <w:spacing w:after="0"/>
              <w:rPr>
                <w:sz w:val="17"/>
                <w:szCs w:val="17"/>
                <w:color w:val="auto"/>
              </w:rPr>
            </w:pPr>
          </w:p>
        </w:tc>
        <w:tc>
          <w:tcPr>
            <w:tcW w:w="1420" w:type="dxa"/>
            <w:vAlign w:val="bottom"/>
          </w:tcPr>
          <w:p>
            <w:pPr>
              <w:jc w:val="right"/>
              <w:ind w:right="224"/>
              <w:spacing w:after="0"/>
              <w:rPr>
                <w:sz w:val="20"/>
                <w:szCs w:val="20"/>
                <w:color w:val="auto"/>
              </w:rPr>
            </w:pPr>
            <w:r>
              <w:rPr>
                <w:rFonts w:ascii="Arial" w:cs="Arial" w:eastAsia="Arial" w:hAnsi="Arial"/>
                <w:sz w:val="15"/>
                <w:szCs w:val="15"/>
                <w:b w:val="1"/>
                <w:bCs w:val="1"/>
                <w:color w:val="auto"/>
              </w:rPr>
              <w:t>March 31, 2021</w:t>
            </w:r>
          </w:p>
        </w:tc>
      </w:tr>
      <w:tr>
        <w:trPr>
          <w:trHeight w:val="198"/>
        </w:trPr>
        <w:tc>
          <w:tcPr>
            <w:tcW w:w="7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center"/>
              <w:ind w:left="864"/>
              <w:spacing w:after="0"/>
              <w:rPr>
                <w:sz w:val="20"/>
                <w:szCs w:val="20"/>
                <w:color w:val="auto"/>
              </w:rPr>
            </w:pPr>
            <w:r>
              <w:rPr>
                <w:rFonts w:ascii="Arial" w:cs="Arial" w:eastAsia="Arial" w:hAnsi="Arial"/>
                <w:sz w:val="15"/>
                <w:szCs w:val="15"/>
                <w:color w:val="auto"/>
                <w:w w:val="90"/>
              </w:rPr>
              <w:t>225.7</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220.5</w:t>
            </w:r>
          </w:p>
        </w:tc>
      </w:tr>
      <w:tr>
        <w:trPr>
          <w:trHeight w:val="198"/>
        </w:trPr>
        <w:tc>
          <w:tcPr>
            <w:tcW w:w="7920" w:type="dxa"/>
            <w:vAlign w:val="bottom"/>
          </w:tcPr>
          <w:p>
            <w:pPr>
              <w:ind w:left="20"/>
              <w:spacing w:after="0"/>
              <w:rPr>
                <w:sz w:val="20"/>
                <w:szCs w:val="20"/>
                <w:color w:val="auto"/>
              </w:rPr>
            </w:pPr>
            <w:r>
              <w:rPr>
                <w:rFonts w:ascii="Arial" w:cs="Arial" w:eastAsia="Arial" w:hAnsi="Arial"/>
                <w:sz w:val="15"/>
                <w:szCs w:val="15"/>
                <w:color w:val="auto"/>
              </w:rPr>
              <w:t>Net Cash Used for Investing Activities</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tcPr>
          <w:p>
            <w:pPr>
              <w:jc w:val="center"/>
              <w:ind w:left="844"/>
              <w:spacing w:after="0"/>
              <w:rPr>
                <w:sz w:val="20"/>
                <w:szCs w:val="20"/>
                <w:color w:val="auto"/>
              </w:rPr>
            </w:pPr>
            <w:r>
              <w:rPr>
                <w:rFonts w:ascii="Arial" w:cs="Arial" w:eastAsia="Arial" w:hAnsi="Arial"/>
                <w:sz w:val="15"/>
                <w:szCs w:val="15"/>
                <w:color w:val="auto"/>
                <w:w w:val="92"/>
              </w:rPr>
              <w:t>(484.2)</w:t>
            </w:r>
          </w:p>
        </w:tc>
        <w:tc>
          <w:tcPr>
            <w:tcW w:w="1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(285.9)</w:t>
            </w:r>
          </w:p>
        </w:tc>
      </w:tr>
      <w:tr>
        <w:trPr>
          <w:trHeight w:val="207"/>
        </w:trPr>
        <w:tc>
          <w:tcPr>
            <w:tcW w:w="7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Financing Activities</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center"/>
              <w:ind w:left="864"/>
              <w:spacing w:after="0"/>
              <w:rPr>
                <w:sz w:val="20"/>
                <w:szCs w:val="20"/>
                <w:color w:val="auto"/>
              </w:rPr>
            </w:pPr>
            <w:r>
              <w:rPr>
                <w:rFonts w:ascii="Arial" w:cs="Arial" w:eastAsia="Arial" w:hAnsi="Arial"/>
                <w:sz w:val="15"/>
                <w:szCs w:val="15"/>
                <w:color w:val="auto"/>
                <w:w w:val="90"/>
              </w:rPr>
              <w:t>282.9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93.0</w:t>
            </w: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cash equivalents, and restricted cash increased by $24.4 million from $78.2 million as of December 31, 2021, to $102.6 million as of March 31, 2022.</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u w:val="single" w:color="auto"/>
          <w:color w:val="auto"/>
        </w:rPr>
        <w:t>Operating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 Net cash provided by operating activities increased by $5.2 million to $225.7 million for the three months ended March 31, 2022,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$220.5 million for the three months ended March 31, 2021. The increase was driven by improved operating performance at our MH, RV and marina properties.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net cash flows provided by operating activities from continuing operations may be adversely impacted by, among other things: (a) the market and economic conditions in our current markets generally, and specifically in the metropolitan areas of our current markets; (b) lower occupancy and rental rates of our properties; (c) increased operating costs, such as wage and benefit costs, insurance premiums, real estate taxes and utilities, that cannot be passed on to our tenants; (d) decreased sales of manufactured homes; (e) current volatility in economic conditions and the financial markets; and (f) the effects of the COVID-19 pandemic. See "Risk Factors" in Part I, Item 1A of our 2021 Annual Report.</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Investing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 Net cash used for investing activities increased by $198.3 million to $484.2 million for the three months ended March 31, 2022,</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$285.9 million for the three months ended March 31, 2021. The increase in Net cash used for investing activities was primarily driven by an increase in cash deployed to acquire new properties, capital expenditure activity, and issuance of notes and other receivables. Refer to the consolidated statements of Cash Flow for detail on the net cash used on investing activities during the three months ended March 31, 2022 and 2021. Refer to Note 3, "Real Estate Acquisitions and Dispositions," and Note 4. "Notes and Other Receivables," in our accompanying Consolidated Financial Statements for additional information on acquisitions and issuance of notes and other receivables.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u w:val="single" w:color="auto"/>
          <w:color w:val="auto"/>
        </w:rPr>
        <w:t>Financing activities</w:t>
      </w:r>
      <w:r>
        <w:rPr>
          <w:rFonts w:ascii="Arial" w:cs="Arial" w:eastAsia="Arial" w:hAnsi="Arial"/>
          <w:sz w:val="16"/>
          <w:szCs w:val="16"/>
          <w:i w:val="1"/>
          <w:iCs w:val="1"/>
          <w:color w:val="auto"/>
        </w:rPr>
        <w:t xml:space="preserve"> </w:t>
      </w:r>
      <w:r>
        <w:rPr>
          <w:rFonts w:ascii="Arial" w:cs="Arial" w:eastAsia="Arial" w:hAnsi="Arial"/>
          <w:sz w:val="16"/>
          <w:szCs w:val="16"/>
          <w:color w:val="auto"/>
        </w:rPr>
        <w:t>- Net cash provided by financing activities increased by $189.9 million to $282.9 million for the three months ended March 31, 2022,</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$93.0 million for the three months ended March 31, 2021. The increase in Net cash provided by financing activities was primarily driven by a decrease in payments, and an increase in borrowings, under our Senior Credit Facility, and a decrease in proceeds due to a public equity offering during the three months ended March 31, 2021 that did not exist during the three months ended March 31, 2022. Refer to the consolidated statements of Cash Flow for detail on the net cash provided by financing activities during the three months ended March 31, 2022 and 2021. Refer to Note 8, "Debt and Line of Credit," and Note 9, "Equity and Temporary Equity," in our accompanying Consolidated Financial Statements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Equity and Debt Activity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Equity Offerings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November 2021, we entered into the November 2021 Forward Sale Agreements in connection with an underwritten registered public offering of 4,025,000 shares of our common stock at a public offering price of $185.00. We did not initially receive any proceeds from the sale of shares of our common stock by the forward purchaser or its affiliates. This forward sale agreement was not settled as of March 31,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Offering Sales Agreement</w:t>
      </w:r>
    </w:p>
    <w:p>
      <w:pPr>
        <w:spacing w:after="0" w:line="25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December 2021, we entered into the December 2021 Sales Agreement, with certain sales agents and forward sellers pursuant to which we may sell, from time to time, up to an aggregate gross sales price of $1.25 billion of our common stock through the sales agents, acting as our sales agents or, if applicable, as forward sellers, or directly to the sales agents as principals for their own accounts. We simultaneously terminated our existing sales agreement upon entering into the December 2021 Sales Agreement.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forward sales agreements with respect to 600,503 shares of common stock under our at the market offering program for $107.9 million during the three months ended March 31, 2022. We also entered into forward sale agreements with respect to 1,820,109 shares of common stock under our at the market offering program for $356.5 million during the year ended December 31, 2021. None of these forward sale agreements was settled as of March 31, 2022.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of Forward Sale Agreements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Subsequent to the three months ended March 31, 2022, on April 15, 2022, we settled forward sale agreements with respect to 1,200,000 shares of common stock under our at the market offering program. We also settled forward sale agreements with respect to 4,025,000 shares of common stock under the November 2021 Forward Sale Agreements. The aggregate net proceeds from the settlement of these forward sale agreements was $934.9 million. We used the net proceeds to repay borrowings outstanding under our Senior Credit Facility. Refer to Note 19, "Subsequent Events," for information regarding the settlement of the forward sales agreements completed after March 31,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April 12, 2022, the Operating Partnership issued $600.0 million of senior unsecured 2032 Notes with an interest rate of 4.2 percent and a 10-year term, due April 15, 2032. The net proceeds from the offering were approximately $592.3 million after deducting underwriters' discounts and estimated offering expenses. We used the net proceeds from the offering to repay borrowings outstanding under our Senior Credit Facility. In connection with the 2032 Notes issuance, we settled four 10-year Treasury rate locks totaling $600.0 million and received a settlement payment of $35.3 million, which is included in the Accumulated other comprehensive income balance in our Consolidated Balance Sheets, and will be amortized into interest expense on a straight line basis over the 10-year term of the hedged transaction. This lowers the effective interest rate on the 2032 Notes from 4.2 percent to 3.6 percent.</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2021, the Operating Partnership issued $450.0 million of senior unsecured 2028 Notes with an interest rate of 2.3 percent and a seven-year term, due November 1, 2028. In addition, the Operating Partnership issued $150.0 million of senior unsecured 2031 Notes (as defined below) with an interest rate of 2.7 percent and a ten-year term due July 15, 2031. The net proceeds from the offering were approximately $595.5 million after deducting underwriters' discounts and estimated offering expenses.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2021, the Operating Partnership issued $600.0 million of senior unsecured 2031 Notes with an interest rate of 2.7 percent and a ten-year term, due July 15, 2031. The net proceeds from the offering were approximately $592.4 million, after deducting underwriters' discounts and estimated offering expenses.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proceeds from the 2028 Notes and the 2031 Notes were used to pay down borrowings under our Senior Credit Facility. The total outstanding balance of senior unsecured notes was $1.2 billion at March 31, 2022.</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obligations of the Operating Partnership to pay principal, premiums, if any, and interest on the 2028 Notes, 2031 Notes, and 2032 Notes are guaranteed on a senior basis by Sun Communities, Inc. The irrevocable guarantee is full and unconditional, and the Operating Partnership is a consolidated subsidiary of the Company. Under Rule 3-10 of Regulation S-X, as amended, subsidiary issuers of obligations guaranteed by its parent company are not required to provide separate financial statements, provided that the subsidiary obligor is consolidated into the parent company's consolidated financial statements, the parent guarantee is "full and unconditional" and, subject to certain exceptions, the alternative disclosure required by Rule 13-01 is provided, which includes narrative disclosure and summarized financial information. Accordingly, separate consolidated financial statements of the Operating Partnership have not been presented. Furthermore, as permitted under Rule 13-01(a)(4)(vi), we have excluded the summarized financial information for the Operating Partnership as the assets, liabilities and results of operations of the Operating Partnership are not materially different from the corresponding amounts presented in our consolidated financial statements and management believes such summarized financial information would be repetitive and not provide incremental value to investors.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 of Credit</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7, 2022, in conjunction with the closing of the Park Holidays acquisition, we amended our Senior Credit Facility to increase its aggregate amount to $4.2 billion with the ability to upsize the total borrowings by an additional $800 million, subject to certain conditions. Refer to Note 19, "Subsequent Events," for information regarding the amendment of our Senior Credit Facility completed after March 31, 2022.</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14, 2021, we entered into a senior credit agreement (the "Credit Agreement") with certain lenders. The Credit Agreement combined and replaced our prior $750.0 million credit facility, which was scheduled to mature on May 21, 2023, (the "A&amp;R Facility"), and the $1.8 billion credit facility between Safe Harbor and certain lenders, which was scheduled to mature on October 11, 2024 (the "Safe Harbor Facility"). The Safe Harbor Facility was terminated in connection with the execution of the Credit Agreement. We repaid all amounts due and outstanding under the Safe Harbor Facility on or prior to the effective date. We recognized a Loss on extinguishment of debt in our Consolidated Statement of Operations related to the termination of the A&amp;R Facility and the Safe Harbor Facility of $0.2 million and $7.9 million, respectively.</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Credit Agreement, we may borrow up to $2.0 billion under a revolving loan (the "Senior Credit Facility"). The Senior Credit Facility is available to fund all of the Company's business, including its marina business conducted by Safe Harbor. The Credit Agreement also permits, subject to the satisfaction of certain conditions, additional borrowings (with the consent of the lenders) in an amount not to exceed $1.0 billion with the option to treat all, or a portion, of such additional funds as an incremental term loan.</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Senior Credit Facility has a four-year term ending June 14, 2025, and, at our option, the maturity date may be extended for two additional six-month periods, subject to the satisfaction of certain conditions. However, the maturity date with respect to $500.0 million of available borrowing under the Senior Credit Facility is October 11, 2024, which, under the terms of the Credit Agreement, may not be extended. The Senior Credit Facility bears interest at a floating rate based on the Adjusted Eurocurrency Rate or BBSY rate, plus a margin that is determined based on the Company's credit ratings calculated in accordance with the Credit Agreement, which can range from 0.725 percent to 1.4 percent. As of March 31, 2022, the margin based on our credit ratings was 0.85 percent on the Senior Credit Facility.</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lenders' option, the Senior Credit Facility will become immediately due and payable upon an event of default under the Credit Agreement. We had $1.4 billion and $1.0 billion of borrowings on the Senior Credit Facility as of March 31, 2022 and December 31, 2021. Of the total amount borrowed as of March 31, 2022, $1.2 billion is scheduled to mature on June 14, 2025 and $203.0 million is scheduled to mature October 11, 2024. These balances are recorded in Unsecured debt on the Consolidated Balance Sheets.</w:t>
      </w:r>
    </w:p>
    <w:p>
      <w:pPr>
        <w:spacing w:after="0" w:line="21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Senior Credit Facility provides us with the ability to issue letters of credit. Our issuance of letters of credit does not increase our borrowings outstanding under the Senior Credit Facility, but does reduce the borrowing amount available. At March 31, 2022 and December 31, 2021, we had $2.2 million of outstanding letters of credit,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terms of the Senior Credit Facility, we are subject to various financial and other covenants. The most restrictive financial covenants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Senior Credit Facility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860" w:type="dxa"/>
            <w:vAlign w:val="bottom"/>
            <w:tcBorders>
              <w:bottom w:val="single" w:sz="8" w:color="auto"/>
            </w:tcBorders>
          </w:tcPr>
          <w:p>
            <w:pPr>
              <w:ind w:left="3120"/>
              <w:spacing w:after="0"/>
              <w:rPr>
                <w:sz w:val="20"/>
                <w:szCs w:val="20"/>
                <w:color w:val="auto"/>
              </w:rPr>
            </w:pPr>
            <w:r>
              <w:rPr>
                <w:rFonts w:ascii="Arial" w:cs="Arial" w:eastAsia="Arial" w:hAnsi="Arial"/>
                <w:sz w:val="15"/>
                <w:szCs w:val="15"/>
                <w:b w:val="1"/>
                <w:bCs w:val="1"/>
                <w:color w:val="auto"/>
              </w:rPr>
              <w:t>Covenant</w:t>
            </w:r>
          </w:p>
        </w:tc>
        <w:tc>
          <w:tcPr>
            <w:tcW w:w="12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ind w:left="600"/>
              <w:spacing w:after="0"/>
              <w:rPr>
                <w:sz w:val="20"/>
                <w:szCs w:val="20"/>
                <w:color w:val="auto"/>
              </w:rPr>
            </w:pPr>
            <w:r>
              <w:rPr>
                <w:rFonts w:ascii="Arial" w:cs="Arial" w:eastAsia="Arial" w:hAnsi="Arial"/>
                <w:sz w:val="15"/>
                <w:szCs w:val="15"/>
                <w:b w:val="1"/>
                <w:bCs w:val="1"/>
                <w:color w:val="auto"/>
              </w:rPr>
              <w:t>Requirement</w:t>
            </w:r>
          </w:p>
        </w:tc>
        <w:tc>
          <w:tcPr>
            <w:tcW w:w="10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As of March 31, 2022</w:t>
            </w:r>
          </w:p>
        </w:tc>
      </w:tr>
      <w:tr>
        <w:trPr>
          <w:trHeight w:val="20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Maximum leverage ratio</w:t>
            </w: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&lt;65.0%</w:t>
            </w:r>
          </w:p>
        </w:tc>
        <w:tc>
          <w:tcPr>
            <w:tcW w:w="10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28.8%</w:t>
            </w:r>
          </w:p>
        </w:tc>
      </w:tr>
      <w:tr>
        <w:trPr>
          <w:trHeight w:val="198"/>
        </w:trPr>
        <w:tc>
          <w:tcPr>
            <w:tcW w:w="6980" w:type="dxa"/>
            <w:vAlign w:val="bottom"/>
            <w:gridSpan w:val="2"/>
          </w:tcPr>
          <w:p>
            <w:pPr>
              <w:ind w:left="20"/>
              <w:spacing w:after="0"/>
              <w:rPr>
                <w:sz w:val="20"/>
                <w:szCs w:val="20"/>
                <w:color w:val="auto"/>
              </w:rPr>
            </w:pPr>
            <w:r>
              <w:rPr>
                <w:rFonts w:ascii="Arial" w:cs="Arial" w:eastAsia="Arial" w:hAnsi="Arial"/>
                <w:sz w:val="15"/>
                <w:szCs w:val="15"/>
                <w:color w:val="auto"/>
              </w:rPr>
              <w:t>Minimum fixed charge coverage ratio</w:t>
            </w:r>
          </w:p>
        </w:tc>
        <w:tc>
          <w:tcPr>
            <w:tcW w:w="2080" w:type="dxa"/>
            <w:vAlign w:val="bottom"/>
          </w:tcPr>
          <w:p>
            <w:pPr>
              <w:jc w:val="center"/>
              <w:spacing w:after="0"/>
              <w:rPr>
                <w:sz w:val="20"/>
                <w:szCs w:val="20"/>
                <w:color w:val="auto"/>
              </w:rPr>
            </w:pPr>
            <w:r>
              <w:rPr>
                <w:rFonts w:ascii="Arial" w:cs="Arial" w:eastAsia="Arial" w:hAnsi="Arial"/>
                <w:sz w:val="15"/>
                <w:szCs w:val="15"/>
                <w:color w:val="auto"/>
                <w:w w:val="94"/>
              </w:rPr>
              <w:t>&gt;1.40</w:t>
            </w:r>
          </w:p>
        </w:tc>
        <w:tc>
          <w:tcPr>
            <w:tcW w:w="10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Arial" w:cs="Arial" w:eastAsia="Arial" w:hAnsi="Arial"/>
                <w:sz w:val="15"/>
                <w:szCs w:val="15"/>
                <w:color w:val="auto"/>
                <w:w w:val="95"/>
              </w:rPr>
              <w:t>4.25</w:t>
            </w:r>
          </w:p>
        </w:tc>
      </w:tr>
      <w:tr>
        <w:trPr>
          <w:trHeight w:val="207"/>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Maximum dividend payout ratio</w:t>
            </w: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&lt;95.0%</w:t>
            </w:r>
          </w:p>
        </w:tc>
        <w:tc>
          <w:tcPr>
            <w:tcW w:w="10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49.2%</w:t>
            </w:r>
          </w:p>
        </w:tc>
      </w:tr>
      <w:tr>
        <w:trPr>
          <w:trHeight w:val="194"/>
        </w:trPr>
        <w:tc>
          <w:tcPr>
            <w:tcW w:w="6980" w:type="dxa"/>
            <w:vAlign w:val="bottom"/>
            <w:gridSpan w:val="2"/>
          </w:tcPr>
          <w:p>
            <w:pPr>
              <w:ind w:left="20"/>
              <w:spacing w:after="0"/>
              <w:rPr>
                <w:sz w:val="20"/>
                <w:szCs w:val="20"/>
                <w:color w:val="auto"/>
              </w:rPr>
            </w:pPr>
            <w:r>
              <w:rPr>
                <w:rFonts w:ascii="Arial" w:cs="Arial" w:eastAsia="Arial" w:hAnsi="Arial"/>
                <w:sz w:val="15"/>
                <w:szCs w:val="15"/>
                <w:color w:val="auto"/>
              </w:rPr>
              <w:t>Maximum secured leverage ratio</w:t>
            </w:r>
          </w:p>
        </w:tc>
        <w:tc>
          <w:tcPr>
            <w:tcW w:w="2080" w:type="dxa"/>
            <w:vAlign w:val="bottom"/>
          </w:tcPr>
          <w:p>
            <w:pPr>
              <w:jc w:val="center"/>
              <w:spacing w:after="0"/>
              <w:rPr>
                <w:sz w:val="20"/>
                <w:szCs w:val="20"/>
                <w:color w:val="auto"/>
              </w:rPr>
            </w:pPr>
            <w:r>
              <w:rPr>
                <w:rFonts w:ascii="Arial" w:cs="Arial" w:eastAsia="Arial" w:hAnsi="Arial"/>
                <w:sz w:val="15"/>
                <w:szCs w:val="15"/>
                <w:color w:val="auto"/>
                <w:w w:val="93"/>
              </w:rPr>
              <w:t>&lt;40.0%</w:t>
            </w:r>
          </w:p>
        </w:tc>
        <w:tc>
          <w:tcPr>
            <w:tcW w:w="10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5"/>
                <w:szCs w:val="15"/>
                <w:color w:val="auto"/>
                <w:w w:val="93"/>
              </w:rPr>
              <w:t>14.6%</w:t>
            </w:r>
          </w:p>
        </w:tc>
      </w:tr>
    </w:tbl>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are required to maintain the following covenants with respect to the senior unsecured notes payable: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860" w:type="dxa"/>
            <w:vAlign w:val="bottom"/>
            <w:tcBorders>
              <w:bottom w:val="single" w:sz="8" w:color="auto"/>
            </w:tcBorders>
          </w:tcPr>
          <w:p>
            <w:pPr>
              <w:ind w:left="3120"/>
              <w:spacing w:after="0"/>
              <w:rPr>
                <w:sz w:val="20"/>
                <w:szCs w:val="20"/>
                <w:color w:val="auto"/>
              </w:rPr>
            </w:pPr>
            <w:r>
              <w:rPr>
                <w:rFonts w:ascii="Arial" w:cs="Arial" w:eastAsia="Arial" w:hAnsi="Arial"/>
                <w:sz w:val="15"/>
                <w:szCs w:val="15"/>
                <w:b w:val="1"/>
                <w:bCs w:val="1"/>
                <w:color w:val="auto"/>
              </w:rPr>
              <w:t>Covenant</w:t>
            </w:r>
          </w:p>
        </w:tc>
        <w:tc>
          <w:tcPr>
            <w:tcW w:w="12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ind w:left="600"/>
              <w:spacing w:after="0"/>
              <w:rPr>
                <w:sz w:val="20"/>
                <w:szCs w:val="20"/>
                <w:color w:val="auto"/>
              </w:rPr>
            </w:pPr>
            <w:r>
              <w:rPr>
                <w:rFonts w:ascii="Arial" w:cs="Arial" w:eastAsia="Arial" w:hAnsi="Arial"/>
                <w:sz w:val="15"/>
                <w:szCs w:val="15"/>
                <w:b w:val="1"/>
                <w:bCs w:val="1"/>
                <w:color w:val="auto"/>
              </w:rPr>
              <w:t>Requirement</w:t>
            </w:r>
          </w:p>
        </w:tc>
        <w:tc>
          <w:tcPr>
            <w:tcW w:w="10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As of March 31, 2022</w:t>
            </w:r>
          </w:p>
        </w:tc>
      </w:tr>
      <w:tr>
        <w:trPr>
          <w:trHeight w:val="20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 debt to total assets</w:t>
            </w: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4"/>
              </w:rPr>
              <w:t>≤60.0%</w:t>
            </w: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40.1%</w:t>
            </w:r>
          </w:p>
        </w:tc>
      </w:tr>
      <w:tr>
        <w:trPr>
          <w:trHeight w:val="198"/>
        </w:trPr>
        <w:tc>
          <w:tcPr>
            <w:tcW w:w="6980" w:type="dxa"/>
            <w:vAlign w:val="bottom"/>
            <w:gridSpan w:val="2"/>
          </w:tcPr>
          <w:p>
            <w:pPr>
              <w:ind w:left="20"/>
              <w:spacing w:after="0"/>
              <w:rPr>
                <w:sz w:val="20"/>
                <w:szCs w:val="20"/>
                <w:color w:val="auto"/>
              </w:rPr>
            </w:pPr>
            <w:r>
              <w:rPr>
                <w:rFonts w:ascii="Arial" w:cs="Arial" w:eastAsia="Arial" w:hAnsi="Arial"/>
                <w:sz w:val="15"/>
                <w:szCs w:val="15"/>
                <w:color w:val="auto"/>
              </w:rPr>
              <w:t>Secured debt to total assets</w:t>
            </w:r>
          </w:p>
        </w:tc>
        <w:tc>
          <w:tcPr>
            <w:tcW w:w="2180" w:type="dxa"/>
            <w:vAlign w:val="bottom"/>
            <w:gridSpan w:val="2"/>
          </w:tcPr>
          <w:p>
            <w:pPr>
              <w:jc w:val="center"/>
              <w:ind w:right="100"/>
              <w:spacing w:after="0"/>
              <w:rPr>
                <w:sz w:val="20"/>
                <w:szCs w:val="20"/>
                <w:color w:val="auto"/>
              </w:rPr>
            </w:pPr>
            <w:r>
              <w:rPr>
                <w:rFonts w:ascii="Arial" w:cs="Arial" w:eastAsia="Arial" w:hAnsi="Arial"/>
                <w:sz w:val="15"/>
                <w:szCs w:val="15"/>
                <w:color w:val="auto"/>
                <w:w w:val="94"/>
              </w:rPr>
              <w:t>≤40.0%</w:t>
            </w:r>
          </w:p>
        </w:tc>
        <w:tc>
          <w:tcPr>
            <w:tcW w:w="2080" w:type="dxa"/>
            <w:vAlign w:val="bottom"/>
          </w:tcPr>
          <w:p>
            <w:pPr>
              <w:jc w:val="center"/>
              <w:spacing w:after="0"/>
              <w:rPr>
                <w:sz w:val="20"/>
                <w:szCs w:val="20"/>
                <w:color w:val="auto"/>
              </w:rPr>
            </w:pPr>
            <w:r>
              <w:rPr>
                <w:rFonts w:ascii="Arial" w:cs="Arial" w:eastAsia="Arial" w:hAnsi="Arial"/>
                <w:sz w:val="15"/>
                <w:szCs w:val="15"/>
                <w:color w:val="auto"/>
                <w:w w:val="93"/>
              </w:rPr>
              <w:t>22.1%</w:t>
            </w:r>
          </w:p>
        </w:tc>
      </w:tr>
      <w:tr>
        <w:trPr>
          <w:trHeight w:val="207"/>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Consolidated income available for debt service to debt service</w:t>
            </w:r>
          </w:p>
        </w:tc>
        <w:tc>
          <w:tcPr>
            <w:tcW w:w="218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0"/>
              </w:rPr>
              <w:t>≥1.50</w:t>
            </w:r>
          </w:p>
        </w:tc>
        <w:tc>
          <w:tcPr>
            <w:tcW w:w="2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5.80</w:t>
            </w:r>
          </w:p>
        </w:tc>
      </w:tr>
      <w:tr>
        <w:trPr>
          <w:trHeight w:val="194"/>
        </w:trPr>
        <w:tc>
          <w:tcPr>
            <w:tcW w:w="6980" w:type="dxa"/>
            <w:vAlign w:val="bottom"/>
            <w:gridSpan w:val="2"/>
          </w:tcPr>
          <w:p>
            <w:pPr>
              <w:ind w:left="20"/>
              <w:spacing w:after="0"/>
              <w:rPr>
                <w:sz w:val="20"/>
                <w:szCs w:val="20"/>
                <w:color w:val="auto"/>
              </w:rPr>
            </w:pPr>
            <w:r>
              <w:rPr>
                <w:rFonts w:ascii="Arial" w:cs="Arial" w:eastAsia="Arial" w:hAnsi="Arial"/>
                <w:sz w:val="15"/>
                <w:szCs w:val="15"/>
                <w:color w:val="auto"/>
              </w:rPr>
              <w:t>Unencumbered total asset value to total unsecured debt</w:t>
            </w:r>
          </w:p>
        </w:tc>
        <w:tc>
          <w:tcPr>
            <w:tcW w:w="2180" w:type="dxa"/>
            <w:vAlign w:val="bottom"/>
            <w:gridSpan w:val="2"/>
          </w:tcPr>
          <w:p>
            <w:pPr>
              <w:jc w:val="center"/>
              <w:ind w:right="100"/>
              <w:spacing w:after="0"/>
              <w:rPr>
                <w:sz w:val="20"/>
                <w:szCs w:val="20"/>
                <w:color w:val="auto"/>
              </w:rPr>
            </w:pPr>
            <w:r>
              <w:rPr>
                <w:rFonts w:ascii="Arial" w:cs="Arial" w:eastAsia="Arial" w:hAnsi="Arial"/>
                <w:sz w:val="15"/>
                <w:szCs w:val="15"/>
                <w:color w:val="auto"/>
                <w:w w:val="94"/>
              </w:rPr>
              <w:t>≥150.0%</w:t>
            </w:r>
          </w:p>
        </w:tc>
        <w:tc>
          <w:tcPr>
            <w:tcW w:w="2080" w:type="dxa"/>
            <w:vAlign w:val="bottom"/>
          </w:tcPr>
          <w:p>
            <w:pPr>
              <w:jc w:val="center"/>
              <w:spacing w:after="0"/>
              <w:rPr>
                <w:sz w:val="20"/>
                <w:szCs w:val="20"/>
                <w:color w:val="auto"/>
              </w:rPr>
            </w:pPr>
            <w:r>
              <w:rPr>
                <w:rFonts w:ascii="Arial" w:cs="Arial" w:eastAsia="Arial" w:hAnsi="Arial"/>
                <w:sz w:val="15"/>
                <w:szCs w:val="15"/>
                <w:color w:val="auto"/>
                <w:w w:val="94"/>
              </w:rPr>
              <w:t>382.1%</w:t>
            </w:r>
          </w:p>
        </w:tc>
      </w:tr>
    </w:tbl>
    <w:p>
      <w:pPr>
        <w:spacing w:after="0" w:line="3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we were in compliance with the above covenants and do not anticipate that we will be unable to meet these covenants in the near term.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Bridge Loan Termination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31, 2022, we terminated our commitment letter with Citigroup, pursuant to which, Citigroup (on behalf of its affiliates), previously committed to lend us up to £950 million, or approximately $1.2 billion converted at the March 31, 2022 exchange rate (the "Bridge Loan"). As of the date of termination, we did not have any borrowings outstanding under the Bridge Loan.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Financing and Capital Requirements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Financing</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anticipate meeting our long-term liquidity requirements, such as scheduled debt maturities, large property acquisitions, expansion and development of properties, other nonrecurring capital improvements and Operating Partnership unit redemptions through the long-term unsecured and secured indebtedness and the issuance of certain debt or equity securities subject to market conditions.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had unrestricted cash on hand as of March 31, 2022, of $90.4 million. As of March 31, 2022, there was $572.9 million of remaining capacity on the Senior Credit Facility. At March 31, 2022 we had a total of 413 unencumbered MH, RV and marina properties.</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From time to time, we may also issue shares of our capital stock, issue equity units in our Operating Partnership, issue unsecured notes, obtain other debt financing or sell selected assets. Our ability to finance our long-term liquidity requirements in such a manner will be affected by numerous economic factors affecting the MH, RV and marina industries at the time, including the availability and cost of mortgage debt, our financial condition, the operating history of the properties, the state of the debt and equity markets, and the general national, regional and local economic conditions. When it becomes necessary for us to approach the credit markets, the volatility in those markets could make borrowing more difficult to secure, more expensive, or effectively unavailable. In the event our current credit ratings are downgraded, it may become difficult or more expensive to obtain additional financing or refinance existing unsecured indebtedness as maturities become due. See "Risk Factors" in Part I, Item 1A of our 2021 Annual Report. If we are unable to obtain additional debt or equity financing on acceptable terms, our business, results of operations and financial condition would be adversely impacted.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2022, our net debt to enterprise value was 21.9 percent (assuming conversion of all common OP units, Series A-1 preferred OP units, Series A-3 preferred OP units, Series C preferred OP units, Series D preferred OP units, Series E preferred OP units, Series F preferred OP units, Series G preferred OP units, Series H preferred OP units, Series I preferred OP units and Series J preferred OP units to shares of common stock). Our debt has a weighted average maturity of 8.1 years and a weighted average interest rate of 3.0 percent.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nonconsolidated affiliates, which are accounted for under the equity-method of accounting, have incurred indebtedness. We have not guaranteed the debt of our nonconsolidated affiliates in the arrangements referenced below, nor do we have any obligations to fund this debt should the nonconsolidated affiliates be unable to do so. Refer to Note 6, "Investments in Nonconsolidated Affiliates," in the accompanying Consolidated Financial Statements for additional information about these entities.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GTSC </w:t>
      </w:r>
      <w:r>
        <w:rPr>
          <w:rFonts w:ascii="Arial" w:cs="Arial" w:eastAsia="Arial" w:hAnsi="Arial"/>
          <w:sz w:val="18"/>
          <w:szCs w:val="18"/>
          <w:color w:val="auto"/>
        </w:rPr>
        <w:t>- During September 2019, GTSC, entered into a warehouse line of credit with a maximum loan amount of $125.0 million. During September 2020,</w:t>
      </w:r>
      <w:r>
        <w:rPr>
          <w:rFonts w:ascii="Arial" w:cs="Arial" w:eastAsia="Arial" w:hAnsi="Arial"/>
          <w:sz w:val="18"/>
          <w:szCs w:val="18"/>
          <w:i w:val="1"/>
          <w:iCs w:val="1"/>
          <w:color w:val="auto"/>
        </w:rPr>
        <w:t xml:space="preserve"> </w:t>
      </w:r>
      <w:r>
        <w:rPr>
          <w:rFonts w:ascii="Arial" w:cs="Arial" w:eastAsia="Arial" w:hAnsi="Arial"/>
          <w:sz w:val="18"/>
          <w:szCs w:val="18"/>
          <w:color w:val="auto"/>
        </w:rPr>
        <w:t>May 2021 and December 2021, the maximum amount was increased to $180.0 million, $230.0 million and $255.0 million, respectively, with an option to increase to $275.0 million subject to the lender's consent. As of March 31, 2022, the aggregate carrying amount of debt, including both our and our partner's share, incurred by GTSC was $256.4 million (of which our proportionate share is $102.6 million). As of December 31, 2021, the aggregate carrying amount of debt, including both our and our partner's share, incurred by GTSC was $243.1 million (of which our proportionate share is $97.2 million). The debt bears interest at a variable rate based on a Commercial Paper or adjusted Secured Overnight Financing Rate plus 1.65 percent per annum and matures on December 15, 2025.</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Sungenia JV </w:t>
      </w:r>
      <w:r>
        <w:rPr>
          <w:rFonts w:ascii="Arial" w:cs="Arial" w:eastAsia="Arial" w:hAnsi="Arial"/>
          <w:sz w:val="18"/>
          <w:szCs w:val="18"/>
          <w:color w:val="auto"/>
        </w:rPr>
        <w:t>- During May 2020, Sungenia JV, entered into a debt facility agreement with a maximum loan amount of $27.0 million Australian dollars, or</w:t>
      </w:r>
      <w:r>
        <w:rPr>
          <w:rFonts w:ascii="Arial" w:cs="Arial" w:eastAsia="Arial" w:hAnsi="Arial"/>
          <w:sz w:val="18"/>
          <w:szCs w:val="18"/>
          <w:i w:val="1"/>
          <w:iCs w:val="1"/>
          <w:color w:val="auto"/>
        </w:rPr>
        <w:t xml:space="preserve"> </w:t>
      </w:r>
      <w:r>
        <w:rPr>
          <w:rFonts w:ascii="Arial" w:cs="Arial" w:eastAsia="Arial" w:hAnsi="Arial"/>
          <w:sz w:val="18"/>
          <w:szCs w:val="18"/>
          <w:color w:val="auto"/>
        </w:rPr>
        <w:t>$20.2 million converted at the March 31, 2022 exchange rate. As of March 31, 2022, the aggregate carrying amount of debt, including both our and our partners' share, incurred by Sungenia JV was $6.5 million (of which our proportionate share is approximately $3.2 million). As of December 31, 2021, the aggregate carrying amount of debt, including both our and our partners' share, incurred by Sungenia JV was $6.3 million (of which our proportionate share is $3.1 million). The debt bears interest at a variable rate based on the BBSY rate plus 2.05 percent per annum and is available for a minimum of three years.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report contains various "forward-looking statements" within the meaning of the Securities Act of 1933, as amended (the "Securities Act"), and the Securities Exchange Act of 1934, as amended (the "Exchange Act"), and we intend that such forward-looking statements will be subject to the safe harbors created thereby. For this purpose, any statements contained in this filing that relate to expectations, beliefs, projections, future plans and strategies, trends or prospective events or developments and similar expressions concerning matters that are not historical facts are deemed to be forward-looking statements. Words such as "forecasts," "intends," "intend," "intended," "goal," "estimate," "estimates," "expects," "expect," "expected," "project," "projected," "projections," "plans," "predicts," "potential," "seeks," "anticipates," "anticipated," "should," "could," "may," "will," "designed to," "foreseeable future," "believe," "believes," "scheduled," "guidance," "target" and similar expressions are intended to identify forward-looking statements, although not all forward-looking statements contain these words. These forward-looking statements reflect our current views with respect to future events and financial performance, but involve known and unknown risks and uncertainties, both general and specific to the matters discussed in this filing. These risks and uncertainties may cause our actual results to be materially different from any future results expressed or implied by such forward-looking statements. In addition to the risks disclosed under "Risk Factors" in our 2021 Annual Report, and in our other filings with the SEC, such risks and uncertainties include, but are not limited to:</w:t>
      </w:r>
    </w:p>
    <w:p>
      <w:pPr>
        <w:spacing w:after="0" w:line="206" w:lineRule="exact"/>
        <w:rPr>
          <w:sz w:val="20"/>
          <w:szCs w:val="20"/>
          <w:color w:val="auto"/>
        </w:rPr>
      </w:pPr>
    </w:p>
    <w:p>
      <w:pPr>
        <w:ind w:left="66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Outbreaks of disease, including the COVID-19 pandemic, and related stay-at-home orders, quarantine policies and restrictions on travel, trade and business operations;</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general economic conditions, including, inflation, deflation, and energy costs, the real estate industry and the markets in which the Company operates;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Difficulties in our ability to evaluate, finance, complete and integrate acquisitions, developments and expansions successfully;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liquidity and refinancing demands;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obtain or refinance maturing debt;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compliance with covenants contained in our debt facilities and our senior unsecured notes;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Availability of capital;</w:t>
      </w:r>
    </w:p>
    <w:p>
      <w:pPr>
        <w:spacing w:after="0" w:line="9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foreign currency exchange rates, including between the U.S. dollar and each of the Canadian dollar, Australian dollar and Pounds sterling;</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rental rates and occupancy levels;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 over financial reporting and disclosure controls and procedures;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in interest rates and operating costs, including insurance premiums and real property taxes;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Risks related to natural disasters such as hurricanes, earthquakes, floods, droughts and wildfires;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volatility of the capital markets and the market price of shares of our capital stock;</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our status as a REIT;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real estate and zoning laws and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Legislative or regulatory changes, including changes to laws governing the taxation of REITs;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Litigation, judgments or settlements;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Competitive market forces;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purchasers of manufactured homes and boats to obtain financing;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level of repossessions by manufactured home and boat lenders.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Readers are cautioned not to place undue reliance on these forward-looking statements, which speak only as of the date the statement was made. We undertake no obligation to publicly update or revise any forward-looking statements included or incorporated by reference into this filing, whether as a result of new information, future events, changes in our expectations or otherwise, except as required by law.</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All written and oral forward-looking statements attributable to us or persons acting on our behalf are qualified in their entirety by these cautionary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risk is the exposure to loss resulting from changes in market factors such as interest rates, foreign currency exchange rates, commodity prices and equity prices.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market risk exposure is interest rate risk. We mitigate this risk by maintaining prudent amounts of leverage, minimizing capital costs and interest expense while continuously evaluating all available debt and equity resources and following established risk management policies and procedures, which include the periodic use of derivatives. Our primary strategy in entering into derivative contracts is to minimize the variability that interest rate changes could have on our future cash flows. From time to time, we employ derivative instruments that effectively convert a portion of our variable rate debt to fixed rate debt. We do not enter into derivative instruments for speculative purposes.</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variable rate debt totaled $1.5 billion and $917.6 million as of March 31, 2022 and 2021, respectively, and at such dates bore interest at the Adjusted Eurocurrency Rate or BBSY rate, plus a margin, and Prime or various LIBOR rates, respectively. If the Adjusted Eurocurrency Rate or BBSY rates, and Prime or LIBOR rates increased or decreased by 1.0 percent, our interest expense would have increased or decreased by $3.0 million for the three months ended March 31, 2022 and 2021, respectively, based on the $1.2 billion average balances outstanding under our variable rate debt facilities,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Foreign currency exchange rate risk is the risk that fluctuations in currencies against the U.S. dollar will negatively impact our results of operations. We are exposed to foreign currency exchange rate risk as a result of remeasurement and translation of the assets and liabilities of our Canadian properties, our Australian equity investment and joint venture, and our United Kingdom assets into U.S. dollars. Fluctuations in foreign currency exchange rates can therefore create volatility in our results of operations and may adversely affect our financial condition.</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March 31, 2022 and December 31, 2021, our shareholder's equity included $834.3 million and $663.6 million from our investments and operations in Canada, Australia and the United Kingdom, which collectively represented 12.5 percent and 9.9 percent of total shareholder's equity, respectively. Based on our sensitivity analysis, a 10.0 percent strengthening of the U.S. dollar against the Canadian dollar, Australian dollar and Pounds sterling would have caused a reduction of $83.4 million and $66.4 million to our total shareholder's equity at March 31, 2022 and December 31,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Market Risk</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borrowings under other financing arrangements.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with the participation of our CEO and CFO, evaluated the effectiveness of our disclosure controls and procedures (pursuant to Rules 13a-15(e) or 15d-15(e) of the Exchange Act) at March 31, 2022. Based upon this evaluation, our CEO and CFO concluded that our disclosure controls and procedures were effective as of March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 Arising in the Ordinary Course of Business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Refer to "Legal Proceedings" in Part 1 - Item 1 - Note 16, "Commitments and Contingencies," in our accompanying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Item 103 of Regulation S-K requires disclosure of certain environmental matters when a governmental authority is a party to the proceedings and such proceedings involve potential monetary sanctions that we reasonably believe will exceed an applied threshold not to exceed $1.0 million. Applying this threshold, there are no environmental matters to disclose for the three months ended March 31,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described in Part 1, Item 1A., "Risk Factors," in our 2021 Annual Report, which could materially affect our business, financial condition or future results. There have been no material changes to the disclosure on these matters as set forth in such report.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OP units have converted the following units during the three months ended March 31, 2022:</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3"/>
          </w:tcPr>
          <w:p>
            <w:pPr>
              <w:jc w:val="right"/>
              <w:ind w:right="504"/>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206"/>
        </w:trPr>
        <w:tc>
          <w:tcPr>
            <w:tcW w:w="7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bottom w:val="single" w:sz="8" w:color="auto"/>
            </w:tcBorders>
            <w:gridSpan w:val="3"/>
          </w:tcPr>
          <w:p>
            <w:pPr>
              <w:jc w:val="right"/>
              <w:ind w:right="704"/>
              <w:spacing w:after="0"/>
              <w:rPr>
                <w:sz w:val="20"/>
                <w:szCs w:val="20"/>
                <w:color w:val="auto"/>
              </w:rPr>
            </w:pPr>
            <w:r>
              <w:rPr>
                <w:rFonts w:ascii="Arial" w:cs="Arial" w:eastAsia="Arial" w:hAnsi="Arial"/>
                <w:sz w:val="15"/>
                <w:szCs w:val="15"/>
                <w:b w:val="1"/>
                <w:bCs w:val="1"/>
                <w:color w:val="auto"/>
              </w:rPr>
              <w:t>March 31, 2022</w:t>
            </w:r>
          </w:p>
        </w:tc>
        <w:tc>
          <w:tcPr>
            <w:tcW w:w="0" w:type="dxa"/>
            <w:vAlign w:val="bottom"/>
          </w:tcPr>
          <w:p>
            <w:pPr>
              <w:spacing w:after="0"/>
              <w:rPr>
                <w:sz w:val="1"/>
                <w:szCs w:val="1"/>
                <w:color w:val="auto"/>
              </w:rPr>
            </w:pPr>
          </w:p>
        </w:tc>
      </w:tr>
      <w:tr>
        <w:trPr>
          <w:trHeight w:val="146"/>
        </w:trPr>
        <w:tc>
          <w:tcPr>
            <w:tcW w:w="712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Series</w:t>
            </w:r>
          </w:p>
        </w:tc>
        <w:tc>
          <w:tcPr>
            <w:tcW w:w="120" w:type="dxa"/>
            <w:vAlign w:val="bottom"/>
            <w:vMerge w:val="restart"/>
          </w:tcPr>
          <w:p>
            <w:pPr>
              <w:spacing w:after="0"/>
              <w:rPr>
                <w:sz w:val="12"/>
                <w:szCs w:val="12"/>
                <w:color w:val="auto"/>
              </w:rPr>
            </w:pPr>
          </w:p>
        </w:tc>
        <w:tc>
          <w:tcPr>
            <w:tcW w:w="124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w w:val="95"/>
              </w:rPr>
              <w:t>Conversion Rate</w:t>
            </w:r>
          </w:p>
        </w:tc>
        <w:tc>
          <w:tcPr>
            <w:tcW w:w="120" w:type="dxa"/>
            <w:vAlign w:val="bottom"/>
            <w:vMerge w:val="restart"/>
          </w:tcPr>
          <w:p>
            <w:pPr>
              <w:spacing w:after="0"/>
              <w:rPr>
                <w:sz w:val="12"/>
                <w:szCs w:val="12"/>
                <w:color w:val="auto"/>
              </w:rPr>
            </w:pPr>
          </w:p>
        </w:tc>
        <w:tc>
          <w:tcPr>
            <w:tcW w:w="1360" w:type="dxa"/>
            <w:vAlign w:val="bottom"/>
            <w:gridSpan w:val="2"/>
          </w:tcPr>
          <w:p>
            <w:pPr>
              <w:ind w:left="160"/>
              <w:spacing w:after="0" w:line="146" w:lineRule="exact"/>
              <w:rPr>
                <w:sz w:val="20"/>
                <w:szCs w:val="20"/>
                <w:color w:val="auto"/>
              </w:rPr>
            </w:pPr>
            <w:r>
              <w:rPr>
                <w:rFonts w:ascii="Arial" w:cs="Arial" w:eastAsia="Arial" w:hAnsi="Arial"/>
                <w:sz w:val="15"/>
                <w:szCs w:val="15"/>
                <w:b w:val="1"/>
                <w:bCs w:val="1"/>
                <w:color w:val="auto"/>
              </w:rPr>
              <w:t>Units / Shares</w:t>
            </w:r>
          </w:p>
        </w:tc>
        <w:tc>
          <w:tcPr>
            <w:tcW w:w="12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0"/>
              </w:rPr>
              <w:t>Common Stock</w:t>
            </w:r>
            <w:r>
              <w:rPr>
                <w:rFonts w:ascii="Arial" w:cs="Arial" w:eastAsia="Arial" w:hAnsi="Arial"/>
                <w:sz w:val="19"/>
                <w:szCs w:val="19"/>
                <w:color w:val="auto"/>
                <w:w w:val="90"/>
                <w:vertAlign w:val="superscript"/>
              </w:rPr>
              <w:t>(1)</w:t>
            </w:r>
          </w:p>
        </w:tc>
        <w:tc>
          <w:tcPr>
            <w:tcW w:w="0" w:type="dxa"/>
            <w:vAlign w:val="bottom"/>
          </w:tcPr>
          <w:p>
            <w:pPr>
              <w:spacing w:after="0"/>
              <w:rPr>
                <w:sz w:val="1"/>
                <w:szCs w:val="1"/>
                <w:color w:val="auto"/>
              </w:rPr>
            </w:pPr>
          </w:p>
        </w:tc>
      </w:tr>
      <w:tr>
        <w:trPr>
          <w:trHeight w:val="203"/>
        </w:trPr>
        <w:tc>
          <w:tcPr>
            <w:tcW w:w="71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4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Converted</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Common OP units</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1,260</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1,260</w:t>
            </w:r>
          </w:p>
        </w:tc>
        <w:tc>
          <w:tcPr>
            <w:tcW w:w="0" w:type="dxa"/>
            <w:vAlign w:val="bottom"/>
          </w:tcPr>
          <w:p>
            <w:pPr>
              <w:spacing w:after="0"/>
              <w:rPr>
                <w:sz w:val="1"/>
                <w:szCs w:val="1"/>
                <w:color w:val="auto"/>
              </w:rPr>
            </w:pPr>
          </w:p>
        </w:tc>
      </w:tr>
      <w:tr>
        <w:trPr>
          <w:trHeight w:val="198"/>
        </w:trPr>
        <w:tc>
          <w:tcPr>
            <w:tcW w:w="7240" w:type="dxa"/>
            <w:vAlign w:val="bottom"/>
            <w:gridSpan w:val="2"/>
          </w:tcPr>
          <w:p>
            <w:pPr>
              <w:ind w:left="20"/>
              <w:spacing w:after="0"/>
              <w:rPr>
                <w:sz w:val="20"/>
                <w:szCs w:val="20"/>
                <w:color w:val="auto"/>
              </w:rPr>
            </w:pPr>
            <w:r>
              <w:rPr>
                <w:rFonts w:ascii="Arial" w:cs="Arial" w:eastAsia="Arial" w:hAnsi="Arial"/>
                <w:sz w:val="15"/>
                <w:szCs w:val="15"/>
                <w:color w:val="auto"/>
              </w:rPr>
              <w:t>Series A-1 preferred OP units</w:t>
            </w:r>
          </w:p>
        </w:tc>
        <w:tc>
          <w:tcPr>
            <w:tcW w:w="1240" w:type="dxa"/>
            <w:vAlign w:val="bottom"/>
          </w:tcPr>
          <w:p>
            <w:pPr>
              <w:jc w:val="right"/>
              <w:spacing w:after="0"/>
              <w:rPr>
                <w:sz w:val="20"/>
                <w:szCs w:val="20"/>
                <w:color w:val="auto"/>
              </w:rPr>
            </w:pPr>
            <w:r>
              <w:rPr>
                <w:rFonts w:ascii="Arial" w:cs="Arial" w:eastAsia="Arial" w:hAnsi="Arial"/>
                <w:sz w:val="15"/>
                <w:szCs w:val="15"/>
                <w:color w:val="auto"/>
              </w:rPr>
              <w:t>2.4390</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2,694</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6,568</w:t>
            </w:r>
          </w:p>
        </w:tc>
        <w:tc>
          <w:tcPr>
            <w:tcW w:w="0" w:type="dxa"/>
            <w:vAlign w:val="bottom"/>
          </w:tcPr>
          <w:p>
            <w:pPr>
              <w:spacing w:after="0"/>
              <w:rPr>
                <w:sz w:val="1"/>
                <w:szCs w:val="1"/>
                <w:color w:val="auto"/>
              </w:rPr>
            </w:pPr>
          </w:p>
        </w:tc>
      </w:tr>
      <w:tr>
        <w:trPr>
          <w:trHeight w:val="207"/>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Series C preferred OP units</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1.1100</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w:t>
            </w:r>
          </w:p>
        </w:tc>
        <w:tc>
          <w:tcPr>
            <w:tcW w:w="0" w:type="dxa"/>
            <w:vAlign w:val="bottom"/>
          </w:tcPr>
          <w:p>
            <w:pPr>
              <w:spacing w:after="0"/>
              <w:rPr>
                <w:sz w:val="1"/>
                <w:szCs w:val="1"/>
                <w:color w:val="auto"/>
              </w:rPr>
            </w:pPr>
          </w:p>
        </w:tc>
      </w:tr>
      <w:tr>
        <w:trPr>
          <w:trHeight w:val="194"/>
        </w:trPr>
        <w:tc>
          <w:tcPr>
            <w:tcW w:w="7240" w:type="dxa"/>
            <w:vAlign w:val="bottom"/>
            <w:gridSpan w:val="2"/>
          </w:tcPr>
          <w:p>
            <w:pPr>
              <w:ind w:left="20"/>
              <w:spacing w:after="0"/>
              <w:rPr>
                <w:sz w:val="20"/>
                <w:szCs w:val="20"/>
                <w:color w:val="auto"/>
              </w:rPr>
            </w:pPr>
            <w:r>
              <w:rPr>
                <w:rFonts w:ascii="Arial" w:cs="Arial" w:eastAsia="Arial" w:hAnsi="Arial"/>
                <w:sz w:val="15"/>
                <w:szCs w:val="15"/>
                <w:color w:val="auto"/>
              </w:rPr>
              <w:t>Series E preferred OP units</w:t>
            </w:r>
          </w:p>
        </w:tc>
        <w:tc>
          <w:tcPr>
            <w:tcW w:w="1240" w:type="dxa"/>
            <w:vAlign w:val="bottom"/>
          </w:tcPr>
          <w:p>
            <w:pPr>
              <w:jc w:val="right"/>
              <w:spacing w:after="0"/>
              <w:rPr>
                <w:sz w:val="20"/>
                <w:szCs w:val="20"/>
                <w:color w:val="auto"/>
              </w:rPr>
            </w:pPr>
            <w:r>
              <w:rPr>
                <w:rFonts w:ascii="Arial" w:cs="Arial" w:eastAsia="Arial" w:hAnsi="Arial"/>
                <w:sz w:val="15"/>
                <w:szCs w:val="15"/>
                <w:color w:val="auto"/>
              </w:rPr>
              <w:t>0.6897</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5,000</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3,448</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60" w:hanging="152"/>
        <w:spacing w:after="0"/>
        <w:tabs>
          <w:tab w:leader="none" w:pos="160"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Calculation may yield minor differences due to rounding incorporated in the above numbers.</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the securities described above were issued in private placements in reliance on Section 4(a)(2) of the Securities Act, including Regulation D promulgated thereunder, based on certain investment representations made by the parties to whom the securities were issued. No underwriters were used in connection with any of such issuances.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common stock repurchases during the three months ended March 31,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2"/>
            <w:vMerge w:val="restart"/>
          </w:tcPr>
          <w:p>
            <w:pPr>
              <w:jc w:val="center"/>
              <w:ind w:right="60"/>
              <w:spacing w:after="0"/>
              <w:rPr>
                <w:sz w:val="20"/>
                <w:szCs w:val="20"/>
                <w:color w:val="auto"/>
              </w:rPr>
            </w:pPr>
            <w:r>
              <w:rPr>
                <w:rFonts w:ascii="Arial" w:cs="Arial" w:eastAsia="Arial" w:hAnsi="Arial"/>
                <w:sz w:val="15"/>
                <w:szCs w:val="15"/>
                <w:b w:val="1"/>
                <w:bCs w:val="1"/>
                <w:color w:val="auto"/>
                <w:w w:val="90"/>
              </w:rPr>
              <w:t>Total number of shares</w:t>
            </w:r>
          </w:p>
        </w:tc>
        <w:tc>
          <w:tcPr>
            <w:tcW w:w="140" w:type="dxa"/>
            <w:vAlign w:val="bottom"/>
          </w:tcPr>
          <w:p>
            <w:pPr>
              <w:spacing w:after="0"/>
              <w:rPr>
                <w:sz w:val="14"/>
                <w:szCs w:val="14"/>
                <w:color w:val="auto"/>
              </w:rPr>
            </w:pPr>
          </w:p>
        </w:tc>
        <w:tc>
          <w:tcPr>
            <w:tcW w:w="1660" w:type="dxa"/>
            <w:vAlign w:val="bottom"/>
          </w:tcPr>
          <w:p>
            <w:pPr>
              <w:jc w:val="center"/>
              <w:ind w:right="64"/>
              <w:spacing w:after="0"/>
              <w:rPr>
                <w:sz w:val="20"/>
                <w:szCs w:val="20"/>
                <w:color w:val="auto"/>
              </w:rPr>
            </w:pPr>
            <w:r>
              <w:rPr>
                <w:rFonts w:ascii="Arial" w:cs="Arial" w:eastAsia="Arial" w:hAnsi="Arial"/>
                <w:sz w:val="15"/>
                <w:szCs w:val="15"/>
                <w:b w:val="1"/>
                <w:bCs w:val="1"/>
                <w:color w:val="auto"/>
                <w:w w:val="97"/>
              </w:rPr>
              <w:t>Maximum number (or</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93"/>
              </w:rPr>
              <w:t>approximate dollar value)</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5"/>
                <w:szCs w:val="15"/>
                <w:b w:val="1"/>
                <w:bCs w:val="1"/>
                <w:color w:val="auto"/>
                <w:w w:val="93"/>
              </w:rPr>
              <w:t>Total number of</w:t>
            </w:r>
          </w:p>
        </w:tc>
        <w:tc>
          <w:tcPr>
            <w:tcW w:w="260" w:type="dxa"/>
            <w:vAlign w:val="bottom"/>
          </w:tcPr>
          <w:p>
            <w:pPr>
              <w:spacing w:after="0"/>
              <w:rPr>
                <w:sz w:val="12"/>
                <w:szCs w:val="12"/>
                <w:color w:val="auto"/>
              </w:rPr>
            </w:pPr>
          </w:p>
        </w:tc>
        <w:tc>
          <w:tcPr>
            <w:tcW w:w="1600" w:type="dxa"/>
            <w:vAlign w:val="bottom"/>
            <w:gridSpan w:val="2"/>
            <w:vMerge w:val="restart"/>
          </w:tcPr>
          <w:p>
            <w:pPr>
              <w:jc w:val="center"/>
              <w:ind w:right="380"/>
              <w:spacing w:after="0"/>
              <w:rPr>
                <w:sz w:val="20"/>
                <w:szCs w:val="20"/>
                <w:color w:val="auto"/>
              </w:rPr>
            </w:pPr>
            <w:r>
              <w:rPr>
                <w:rFonts w:ascii="Arial" w:cs="Arial" w:eastAsia="Arial" w:hAnsi="Arial"/>
                <w:sz w:val="15"/>
                <w:szCs w:val="15"/>
                <w:b w:val="1"/>
                <w:bCs w:val="1"/>
                <w:color w:val="auto"/>
                <w:w w:val="90"/>
              </w:rPr>
              <w:t>Average price</w:t>
            </w:r>
          </w:p>
        </w:tc>
        <w:tc>
          <w:tcPr>
            <w:tcW w:w="1880" w:type="dxa"/>
            <w:vAlign w:val="bottom"/>
            <w:gridSpan w:val="2"/>
          </w:tcPr>
          <w:p>
            <w:pPr>
              <w:jc w:val="center"/>
              <w:ind w:right="60"/>
              <w:spacing w:after="0" w:line="149" w:lineRule="exact"/>
              <w:rPr>
                <w:sz w:val="20"/>
                <w:szCs w:val="20"/>
                <w:color w:val="auto"/>
              </w:rPr>
            </w:pPr>
            <w:r>
              <w:rPr>
                <w:rFonts w:ascii="Arial" w:cs="Arial" w:eastAsia="Arial" w:hAnsi="Arial"/>
                <w:sz w:val="15"/>
                <w:szCs w:val="15"/>
                <w:b w:val="1"/>
                <w:bCs w:val="1"/>
                <w:color w:val="auto"/>
                <w:w w:val="90"/>
              </w:rPr>
              <w:t>purchased as part of</w:t>
            </w:r>
          </w:p>
        </w:tc>
        <w:tc>
          <w:tcPr>
            <w:tcW w:w="180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89"/>
              </w:rPr>
              <w:t>of shares that may yet be</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80" w:type="dxa"/>
            <w:vAlign w:val="bottom"/>
            <w:gridSpan w:val="2"/>
          </w:tcPr>
          <w:p>
            <w:pPr>
              <w:jc w:val="right"/>
              <w:ind w:right="140"/>
              <w:spacing w:after="0" w:line="149" w:lineRule="exact"/>
              <w:rPr>
                <w:sz w:val="20"/>
                <w:szCs w:val="20"/>
                <w:color w:val="auto"/>
              </w:rPr>
            </w:pPr>
            <w:r>
              <w:rPr>
                <w:rFonts w:ascii="Arial" w:cs="Arial" w:eastAsia="Arial" w:hAnsi="Arial"/>
                <w:sz w:val="15"/>
                <w:szCs w:val="15"/>
                <w:b w:val="1"/>
                <w:bCs w:val="1"/>
                <w:color w:val="auto"/>
                <w:w w:val="93"/>
              </w:rPr>
              <w:t>publicly announced plans</w:t>
            </w:r>
          </w:p>
        </w:tc>
        <w:tc>
          <w:tcPr>
            <w:tcW w:w="1800" w:type="dxa"/>
            <w:vAlign w:val="bottom"/>
            <w:gridSpan w:val="2"/>
          </w:tcPr>
          <w:p>
            <w:pPr>
              <w:jc w:val="center"/>
              <w:spacing w:after="0" w:line="149" w:lineRule="exact"/>
              <w:rPr>
                <w:sz w:val="20"/>
                <w:szCs w:val="20"/>
                <w:color w:val="auto"/>
              </w:rPr>
            </w:pPr>
            <w:r>
              <w:rPr>
                <w:rFonts w:ascii="Arial" w:cs="Arial" w:eastAsia="Arial" w:hAnsi="Arial"/>
                <w:sz w:val="15"/>
                <w:szCs w:val="15"/>
                <w:b w:val="1"/>
                <w:bCs w:val="1"/>
                <w:color w:val="auto"/>
                <w:w w:val="89"/>
              </w:rPr>
              <w:t>purchased under the plans</w:t>
            </w:r>
          </w:p>
        </w:tc>
        <w:tc>
          <w:tcPr>
            <w:tcW w:w="0" w:type="dxa"/>
            <w:vAlign w:val="bottom"/>
          </w:tcPr>
          <w:p>
            <w:pPr>
              <w:spacing w:after="0"/>
              <w:rPr>
                <w:sz w:val="1"/>
                <w:szCs w:val="1"/>
                <w:color w:val="auto"/>
              </w:rPr>
            </w:pPr>
          </w:p>
        </w:tc>
      </w:tr>
      <w:tr>
        <w:trPr>
          <w:trHeight w:val="198"/>
        </w:trPr>
        <w:tc>
          <w:tcPr>
            <w:tcW w:w="3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88"/>
              </w:rPr>
              <w:t>shares purchased</w:t>
            </w:r>
          </w:p>
        </w:tc>
        <w:tc>
          <w:tcPr>
            <w:tcW w:w="260" w:type="dxa"/>
            <w:vAlign w:val="bottom"/>
          </w:tcPr>
          <w:p>
            <w:pPr>
              <w:spacing w:after="0"/>
              <w:rPr>
                <w:sz w:val="17"/>
                <w:szCs w:val="17"/>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1"/>
              </w:rPr>
              <w:t>paid per share</w:t>
            </w:r>
          </w:p>
        </w:tc>
        <w:tc>
          <w:tcPr>
            <w:tcW w:w="1880" w:type="dxa"/>
            <w:vAlign w:val="bottom"/>
            <w:gridSpan w:val="2"/>
          </w:tcPr>
          <w:p>
            <w:pPr>
              <w:jc w:val="center"/>
              <w:ind w:right="60"/>
              <w:spacing w:after="0"/>
              <w:rPr>
                <w:sz w:val="20"/>
                <w:szCs w:val="20"/>
                <w:color w:val="auto"/>
              </w:rPr>
            </w:pPr>
            <w:r>
              <w:rPr>
                <w:rFonts w:ascii="Arial" w:cs="Arial" w:eastAsia="Arial" w:hAnsi="Arial"/>
                <w:sz w:val="15"/>
                <w:szCs w:val="15"/>
                <w:b w:val="1"/>
                <w:bCs w:val="1"/>
                <w:color w:val="auto"/>
                <w:w w:val="92"/>
              </w:rPr>
              <w:t>or programs</w:t>
            </w:r>
          </w:p>
        </w:tc>
        <w:tc>
          <w:tcPr>
            <w:tcW w:w="140" w:type="dxa"/>
            <w:vAlign w:val="bottom"/>
          </w:tcPr>
          <w:p>
            <w:pPr>
              <w:spacing w:after="0"/>
              <w:rPr>
                <w:sz w:val="17"/>
                <w:szCs w:val="17"/>
                <w:color w:val="auto"/>
              </w:rPr>
            </w:pPr>
          </w:p>
        </w:tc>
        <w:tc>
          <w:tcPr>
            <w:tcW w:w="1660" w:type="dxa"/>
            <w:vAlign w:val="bottom"/>
          </w:tcPr>
          <w:p>
            <w:pPr>
              <w:jc w:val="center"/>
              <w:ind w:right="44"/>
              <w:spacing w:after="0"/>
              <w:rPr>
                <w:sz w:val="20"/>
                <w:szCs w:val="20"/>
                <w:color w:val="auto"/>
              </w:rPr>
            </w:pPr>
            <w:r>
              <w:rPr>
                <w:rFonts w:ascii="Arial" w:cs="Arial" w:eastAsia="Arial" w:hAnsi="Arial"/>
                <w:sz w:val="15"/>
                <w:szCs w:val="15"/>
                <w:b w:val="1"/>
                <w:bCs w:val="1"/>
                <w:color w:val="auto"/>
                <w:w w:val="92"/>
              </w:rPr>
              <w:t>or programs</w:t>
            </w:r>
          </w:p>
        </w:tc>
        <w:tc>
          <w:tcPr>
            <w:tcW w:w="0" w:type="dxa"/>
            <w:vAlign w:val="bottom"/>
          </w:tcPr>
          <w:p>
            <w:pPr>
              <w:spacing w:after="0"/>
              <w:rPr>
                <w:sz w:val="1"/>
                <w:szCs w:val="1"/>
                <w:color w:val="auto"/>
              </w:rPr>
            </w:pPr>
          </w:p>
        </w:tc>
      </w:tr>
      <w:tr>
        <w:trPr>
          <w:trHeight w:val="203"/>
        </w:trPr>
        <w:tc>
          <w:tcPr>
            <w:tcW w:w="3760" w:type="dxa"/>
            <w:vAlign w:val="bottom"/>
            <w:tcBorders>
              <w:bottom w:val="single" w:sz="8" w:color="auto"/>
            </w:tcBorders>
          </w:tcPr>
          <w:p>
            <w:pPr>
              <w:ind w:left="1660"/>
              <w:spacing w:after="0"/>
              <w:rPr>
                <w:sz w:val="20"/>
                <w:szCs w:val="20"/>
                <w:color w:val="auto"/>
              </w:rPr>
            </w:pPr>
            <w:r>
              <w:rPr>
                <w:rFonts w:ascii="Arial" w:cs="Arial" w:eastAsia="Arial" w:hAnsi="Arial"/>
                <w:sz w:val="15"/>
                <w:szCs w:val="15"/>
                <w:b w:val="1"/>
                <w:bCs w:val="1"/>
                <w:color w:val="auto"/>
              </w:rPr>
              <w:t>Period</w:t>
            </w:r>
          </w:p>
        </w:tc>
        <w:tc>
          <w:tcPr>
            <w:tcW w:w="8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(a)</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184"/>
              <w:spacing w:after="0"/>
              <w:rPr>
                <w:sz w:val="20"/>
                <w:szCs w:val="20"/>
                <w:color w:val="auto"/>
              </w:rPr>
            </w:pPr>
            <w:r>
              <w:rPr>
                <w:rFonts w:ascii="Arial" w:cs="Arial" w:eastAsia="Arial" w:hAnsi="Arial"/>
                <w:sz w:val="15"/>
                <w:szCs w:val="15"/>
                <w:b w:val="1"/>
                <w:bCs w:val="1"/>
                <w:color w:val="auto"/>
                <w:w w:val="93"/>
              </w:rPr>
              <w:t>(b)</w:t>
            </w:r>
          </w:p>
        </w:tc>
        <w:tc>
          <w:tcPr>
            <w:tcW w:w="8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(c)</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rPr>
              <w:t>(d)</w:t>
            </w:r>
          </w:p>
        </w:tc>
        <w:tc>
          <w:tcPr>
            <w:tcW w:w="0" w:type="dxa"/>
            <w:vAlign w:val="bottom"/>
          </w:tcPr>
          <w:p>
            <w:pPr>
              <w:spacing w:after="0"/>
              <w:rPr>
                <w:sz w:val="1"/>
                <w:szCs w:val="1"/>
                <w:color w:val="auto"/>
              </w:rPr>
            </w:pPr>
          </w:p>
        </w:tc>
      </w:tr>
      <w:tr>
        <w:trPr>
          <w:trHeight w:val="200"/>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January 1, 2022 - January 31, 2022</w:t>
            </w: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28,362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205.79</w:t>
            </w:r>
          </w:p>
        </w:tc>
        <w:tc>
          <w:tcPr>
            <w:tcW w:w="8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ind w:left="14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840" w:type="dxa"/>
            <w:vAlign w:val="bottom"/>
            <w:gridSpan w:val="2"/>
          </w:tcPr>
          <w:p>
            <w:pPr>
              <w:ind w:left="20"/>
              <w:spacing w:after="0"/>
              <w:rPr>
                <w:sz w:val="20"/>
                <w:szCs w:val="20"/>
                <w:color w:val="auto"/>
              </w:rPr>
            </w:pPr>
            <w:r>
              <w:rPr>
                <w:rFonts w:ascii="Arial" w:cs="Arial" w:eastAsia="Arial" w:hAnsi="Arial"/>
                <w:sz w:val="15"/>
                <w:szCs w:val="15"/>
                <w:color w:val="auto"/>
              </w:rPr>
              <w:t>February 1, 2022 - February 28, 2022</w:t>
            </w:r>
          </w:p>
        </w:tc>
        <w:tc>
          <w:tcPr>
            <w:tcW w:w="1780" w:type="dxa"/>
            <w:vAlign w:val="bottom"/>
          </w:tcPr>
          <w:p>
            <w:pPr>
              <w:jc w:val="right"/>
              <w:spacing w:after="0"/>
              <w:rPr>
                <w:sz w:val="20"/>
                <w:szCs w:val="20"/>
                <w:color w:val="auto"/>
              </w:rPr>
            </w:pPr>
            <w:r>
              <w:rPr>
                <w:rFonts w:ascii="Arial" w:cs="Arial" w:eastAsia="Arial" w:hAnsi="Arial"/>
                <w:sz w:val="15"/>
                <w:szCs w:val="15"/>
                <w:color w:val="auto"/>
              </w:rPr>
              <w:t>12,611</w:t>
            </w:r>
          </w:p>
        </w:tc>
        <w:tc>
          <w:tcPr>
            <w:tcW w:w="8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186.16</w:t>
            </w:r>
          </w:p>
        </w:tc>
        <w:tc>
          <w:tcPr>
            <w:tcW w:w="80" w:type="dxa"/>
            <w:vAlign w:val="bottom"/>
          </w:tcPr>
          <w:p>
            <w:pPr>
              <w:spacing w:after="0"/>
              <w:rPr>
                <w:sz w:val="17"/>
                <w:szCs w:val="17"/>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tcPr>
          <w:p>
            <w:pPr>
              <w:ind w:left="14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March 1, 2022 - March 31, 2022</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47,154</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174.71</w:t>
            </w:r>
          </w:p>
        </w:tc>
        <w:tc>
          <w:tcPr>
            <w:tcW w:w="80" w:type="dxa"/>
            <w:vAlign w:val="bottom"/>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3840" w:type="dxa"/>
            <w:vAlign w:val="bottom"/>
            <w:gridSpan w:val="2"/>
          </w:tcPr>
          <w:p>
            <w:pPr>
              <w:ind w:left="240"/>
              <w:spacing w:after="0"/>
              <w:rPr>
                <w:sz w:val="20"/>
                <w:szCs w:val="20"/>
                <w:color w:val="auto"/>
              </w:rPr>
            </w:pPr>
            <w:r>
              <w:rPr>
                <w:rFonts w:ascii="Arial" w:cs="Arial" w:eastAsia="Arial" w:hAnsi="Arial"/>
                <w:sz w:val="15"/>
                <w:szCs w:val="15"/>
                <w:b w:val="1"/>
                <w:bCs w:val="1"/>
                <w:color w:val="auto"/>
              </w:rPr>
              <w:t>Total</w:t>
            </w:r>
          </w:p>
        </w:tc>
        <w:tc>
          <w:tcPr>
            <w:tcW w:w="1780" w:type="dxa"/>
            <w:vAlign w:val="bottom"/>
          </w:tcPr>
          <w:p>
            <w:pPr>
              <w:jc w:val="right"/>
              <w:spacing w:after="0"/>
              <w:rPr>
                <w:sz w:val="20"/>
                <w:szCs w:val="20"/>
                <w:color w:val="auto"/>
              </w:rPr>
            </w:pPr>
            <w:r>
              <w:rPr>
                <w:rFonts w:ascii="Arial" w:cs="Arial" w:eastAsia="Arial" w:hAnsi="Arial"/>
                <w:sz w:val="15"/>
                <w:szCs w:val="15"/>
                <w:color w:val="auto"/>
              </w:rPr>
              <w:t>88,127</w:t>
            </w:r>
          </w:p>
        </w:tc>
        <w:tc>
          <w:tcPr>
            <w:tcW w:w="8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186.35</w:t>
            </w:r>
          </w:p>
        </w:tc>
        <w:tc>
          <w:tcPr>
            <w:tcW w:w="80" w:type="dxa"/>
            <w:vAlign w:val="bottom"/>
          </w:tcPr>
          <w:p>
            <w:pPr>
              <w:spacing w:after="0"/>
              <w:rPr>
                <w:sz w:val="17"/>
                <w:szCs w:val="17"/>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60" w:type="dxa"/>
            <w:vAlign w:val="bottom"/>
          </w:tcPr>
          <w:p>
            <w:pPr>
              <w:ind w:left="14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2022, we withheld 88,127 shares from employees to satisfy estimated statutory income tax obligations related to vesting of restricted stock awards. The value of the common stock withheld was based on the closing price of our common stock on the applicable vesting date.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6. EXHIBITS</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820" w:type="dxa"/>
            <w:vAlign w:val="bottom"/>
            <w:tcBorders>
              <w:top w:val="single" w:sz="8" w:color="auto"/>
              <w:left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Exhibit No.</w:t>
            </w:r>
          </w:p>
        </w:tc>
        <w:tc>
          <w:tcPr>
            <w:tcW w:w="460" w:type="dxa"/>
            <w:vAlign w:val="bottom"/>
            <w:tcBorders>
              <w:top w:val="single" w:sz="8" w:color="auto"/>
              <w:bottom w:val="single" w:sz="8" w:color="auto"/>
            </w:tcBorders>
          </w:tcPr>
          <w:p>
            <w:pPr>
              <w:spacing w:after="0"/>
              <w:rPr>
                <w:sz w:val="21"/>
                <w:szCs w:val="21"/>
                <w:color w:val="auto"/>
              </w:rPr>
            </w:pPr>
          </w:p>
        </w:tc>
        <w:tc>
          <w:tcPr>
            <w:tcW w:w="19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3500" w:type="dxa"/>
            <w:vAlign w:val="bottom"/>
            <w:tcBorders>
              <w:top w:val="single" w:sz="8" w:color="auto"/>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Description</w:t>
            </w: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right w:val="single" w:sz="8" w:color="auto"/>
            </w:tcBorders>
          </w:tcPr>
          <w:p>
            <w:pPr>
              <w:spacing w:after="0"/>
              <w:rPr>
                <w:sz w:val="21"/>
                <w:szCs w:val="21"/>
                <w:color w:val="auto"/>
              </w:rPr>
            </w:pPr>
          </w:p>
        </w:tc>
        <w:tc>
          <w:tcPr>
            <w:tcW w:w="284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Method of Filing</w:t>
            </w: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3.1</w:t>
            </w:r>
          </w:p>
        </w:tc>
        <w:tc>
          <w:tcPr>
            <w:tcW w:w="6260" w:type="dxa"/>
            <w:vAlign w:val="bottom"/>
            <w:gridSpan w:val="8"/>
            <w:shd w:val="clear" w:color="auto" w:fill="CCEEFF"/>
          </w:tcPr>
          <w:p>
            <w:pPr>
              <w:spacing w:after="0" w:line="182" w:lineRule="exact"/>
              <w:rPr>
                <w:rFonts w:ascii="Arial" w:cs="Arial" w:eastAsia="Arial" w:hAnsi="Arial"/>
                <w:sz w:val="18"/>
                <w:szCs w:val="18"/>
                <w:color w:val="0000FF"/>
              </w:rPr>
            </w:pPr>
            <w:hyperlink r:id="rId75">
              <w:r>
                <w:rPr>
                  <w:rFonts w:ascii="Arial" w:cs="Arial" w:eastAsia="Arial" w:hAnsi="Arial"/>
                  <w:sz w:val="18"/>
                  <w:szCs w:val="18"/>
                  <w:color w:val="0000FF"/>
                </w:rPr>
                <w:t>Sun Communities, Inc. Articles of Restatement</w:t>
              </w:r>
            </w:hyperlink>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right w:val="single" w:sz="8" w:color="auto"/>
            </w:tcBorders>
            <w:shd w:val="clear" w:color="auto" w:fill="CCEEFF"/>
          </w:tcPr>
          <w:p>
            <w:pPr>
              <w:spacing w:after="0"/>
              <w:rPr>
                <w:sz w:val="15"/>
                <w:szCs w:val="15"/>
                <w:color w:val="auto"/>
              </w:rPr>
            </w:pPr>
          </w:p>
        </w:tc>
        <w:tc>
          <w:tcPr>
            <w:tcW w:w="2840" w:type="dxa"/>
            <w:vAlign w:val="bottom"/>
            <w:tcBorders>
              <w:right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142"/>
        </w:trPr>
        <w:tc>
          <w:tcPr>
            <w:tcW w:w="1820" w:type="dxa"/>
            <w:vAlign w:val="bottom"/>
            <w:tcBorders>
              <w:top w:val="single" w:sz="8" w:color="CCEEFF"/>
              <w:left w:val="single" w:sz="8" w:color="auto"/>
              <w:right w:val="single" w:sz="8" w:color="auto"/>
            </w:tcBorders>
            <w:shd w:val="clear" w:color="auto" w:fill="CCEEFF"/>
          </w:tcPr>
          <w:p>
            <w:pPr>
              <w:spacing w:after="0"/>
              <w:rPr>
                <w:sz w:val="12"/>
                <w:szCs w:val="12"/>
                <w:color w:val="auto"/>
              </w:rPr>
            </w:pPr>
          </w:p>
        </w:tc>
        <w:tc>
          <w:tcPr>
            <w:tcW w:w="460" w:type="dxa"/>
            <w:vAlign w:val="bottom"/>
            <w:tcBorders>
              <w:top w:val="single" w:sz="8" w:color="0000FF"/>
            </w:tcBorders>
            <w:shd w:val="clear" w:color="auto" w:fill="CCEEFF"/>
          </w:tcPr>
          <w:p>
            <w:pPr>
              <w:spacing w:after="0"/>
              <w:rPr>
                <w:sz w:val="12"/>
                <w:szCs w:val="12"/>
                <w:color w:val="auto"/>
              </w:rPr>
            </w:pPr>
          </w:p>
        </w:tc>
        <w:tc>
          <w:tcPr>
            <w:tcW w:w="1900" w:type="dxa"/>
            <w:vAlign w:val="bottom"/>
            <w:tcBorders>
              <w:top w:val="single" w:sz="8" w:color="0000FF"/>
            </w:tcBorders>
            <w:shd w:val="clear" w:color="auto" w:fill="CCEEFF"/>
          </w:tcPr>
          <w:p>
            <w:pPr>
              <w:spacing w:after="0"/>
              <w:rPr>
                <w:sz w:val="12"/>
                <w:szCs w:val="12"/>
                <w:color w:val="auto"/>
              </w:rPr>
            </w:pPr>
          </w:p>
        </w:tc>
        <w:tc>
          <w:tcPr>
            <w:tcW w:w="34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640" w:type="dxa"/>
            <w:vAlign w:val="bottom"/>
            <w:tcBorders>
              <w:top w:val="single" w:sz="8" w:color="0000FF"/>
            </w:tcBorders>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right w:val="single" w:sz="8" w:color="auto"/>
            </w:tcBorders>
            <w:shd w:val="clear" w:color="auto" w:fill="CCEEFF"/>
          </w:tcPr>
          <w:p>
            <w:pPr>
              <w:spacing w:after="0"/>
              <w:rPr>
                <w:sz w:val="12"/>
                <w:szCs w:val="12"/>
                <w:color w:val="auto"/>
              </w:rPr>
            </w:pPr>
          </w:p>
        </w:tc>
        <w:tc>
          <w:tcPr>
            <w:tcW w:w="2840" w:type="dxa"/>
            <w:vAlign w:val="bottom"/>
            <w:tcBorders>
              <w:top w:val="single" w:sz="8" w:color="CCEEFF"/>
              <w:right w:val="single" w:sz="8" w:color="auto"/>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Communities, Inc.'s Annual Report on</w:t>
            </w: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right w:val="single" w:sz="8" w:color="auto"/>
            </w:tcBorders>
            <w:shd w:val="clear" w:color="auto" w:fill="CCEEFF"/>
          </w:tcPr>
          <w:p>
            <w:pPr>
              <w:spacing w:after="0"/>
              <w:rPr>
                <w:sz w:val="19"/>
                <w:szCs w:val="19"/>
                <w:color w:val="auto"/>
              </w:rPr>
            </w:pP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2"/>
              </w:rPr>
              <w:t>Form 10-K filed on February 22, 2018</w:t>
            </w: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Arial" w:cs="Arial" w:eastAsia="Arial" w:hAnsi="Arial"/>
                <w:sz w:val="18"/>
                <w:szCs w:val="18"/>
                <w:color w:val="auto"/>
              </w:rPr>
              <w:t>3.2</w:t>
            </w:r>
          </w:p>
        </w:tc>
        <w:tc>
          <w:tcPr>
            <w:tcW w:w="6260" w:type="dxa"/>
            <w:vAlign w:val="bottom"/>
            <w:gridSpan w:val="8"/>
          </w:tcPr>
          <w:p>
            <w:pPr>
              <w:spacing w:after="0" w:line="182" w:lineRule="exact"/>
              <w:rPr>
                <w:rFonts w:ascii="Arial" w:cs="Arial" w:eastAsia="Arial" w:hAnsi="Arial"/>
                <w:sz w:val="18"/>
                <w:szCs w:val="18"/>
                <w:color w:val="0000FF"/>
              </w:rPr>
            </w:pPr>
            <w:hyperlink r:id="rId76">
              <w:r>
                <w:rPr>
                  <w:rFonts w:ascii="Arial" w:cs="Arial" w:eastAsia="Arial" w:hAnsi="Arial"/>
                  <w:sz w:val="18"/>
                  <w:szCs w:val="18"/>
                  <w:color w:val="0000FF"/>
                </w:rPr>
                <w:t>Third Amended and Restated Bylaws</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142"/>
        </w:trPr>
        <w:tc>
          <w:tcPr>
            <w:tcW w:w="1820" w:type="dxa"/>
            <w:vAlign w:val="bottom"/>
            <w:tcBorders>
              <w:left w:val="single" w:sz="8" w:color="auto"/>
              <w:right w:val="single" w:sz="8" w:color="auto"/>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90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2840" w:type="dxa"/>
            <w:vAlign w:val="bottom"/>
            <w:tcBorders>
              <w:right w:val="single" w:sz="8" w:color="auto"/>
            </w:tcBorders>
          </w:tcPr>
          <w:p>
            <w:pPr>
              <w:ind w:left="20"/>
              <w:spacing w:after="0" w:line="142" w:lineRule="exact"/>
              <w:rPr>
                <w:sz w:val="20"/>
                <w:szCs w:val="20"/>
                <w:color w:val="auto"/>
              </w:rPr>
            </w:pPr>
            <w:r>
              <w:rPr>
                <w:rFonts w:ascii="Arial" w:cs="Arial" w:eastAsia="Arial" w:hAnsi="Arial"/>
                <w:sz w:val="16"/>
                <w:szCs w:val="16"/>
                <w:color w:val="auto"/>
              </w:rPr>
              <w:t>Communities Inc.'s Current Report on</w:t>
            </w: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Form 8-K filed on May 12, 2017</w:t>
            </w: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10.1</w:t>
            </w:r>
          </w:p>
        </w:tc>
        <w:tc>
          <w:tcPr>
            <w:tcW w:w="6600" w:type="dxa"/>
            <w:vAlign w:val="bottom"/>
            <w:tcBorders>
              <w:right w:val="single" w:sz="8" w:color="auto"/>
            </w:tcBorders>
            <w:gridSpan w:val="14"/>
            <w:shd w:val="clear" w:color="auto" w:fill="CCEEFF"/>
          </w:tcPr>
          <w:p>
            <w:pPr>
              <w:spacing w:after="0" w:line="182" w:lineRule="exact"/>
              <w:rPr>
                <w:rFonts w:ascii="Arial" w:cs="Arial" w:eastAsia="Arial" w:hAnsi="Arial"/>
                <w:sz w:val="18"/>
                <w:szCs w:val="18"/>
                <w:color w:val="0000FF"/>
                <w:w w:val="90"/>
              </w:rPr>
            </w:pPr>
            <w:hyperlink w:anchor="page64">
              <w:r>
                <w:rPr>
                  <w:rFonts w:ascii="Arial" w:cs="Arial" w:eastAsia="Arial" w:hAnsi="Arial"/>
                  <w:sz w:val="18"/>
                  <w:szCs w:val="18"/>
                  <w:color w:val="0000FF"/>
                  <w:w w:val="90"/>
                </w:rPr>
                <w:t>Second Amendment to the Sun Communities, Inc. First Amended and Restated 2004 Non-</w:t>
              </w:r>
            </w:hyperlink>
          </w:p>
        </w:tc>
        <w:tc>
          <w:tcPr>
            <w:tcW w:w="2840" w:type="dxa"/>
            <w:vAlign w:val="bottom"/>
            <w:tcBorders>
              <w:right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top w:val="single" w:sz="8" w:color="CCEEFF"/>
              <w:left w:val="single" w:sz="8" w:color="auto"/>
              <w:bottom w:val="single" w:sz="8" w:color="auto"/>
              <w:right w:val="single" w:sz="8" w:color="auto"/>
            </w:tcBorders>
            <w:shd w:val="clear" w:color="auto" w:fill="CCEEFF"/>
          </w:tcPr>
          <w:p>
            <w:pPr>
              <w:spacing w:after="0"/>
              <w:rPr>
                <w:sz w:val="19"/>
                <w:szCs w:val="19"/>
                <w:color w:val="auto"/>
              </w:rPr>
            </w:pPr>
          </w:p>
        </w:tc>
        <w:tc>
          <w:tcPr>
            <w:tcW w:w="6260" w:type="dxa"/>
            <w:vAlign w:val="bottom"/>
            <w:tcBorders>
              <w:top w:val="single" w:sz="8" w:color="0000FF"/>
              <w:bottom w:val="single" w:sz="8" w:color="auto"/>
            </w:tcBorders>
            <w:gridSpan w:val="8"/>
            <w:shd w:val="clear" w:color="auto" w:fill="CCEEFF"/>
          </w:tcPr>
          <w:p>
            <w:pPr>
              <w:spacing w:after="0" w:line="169" w:lineRule="exact"/>
              <w:rPr>
                <w:rFonts w:ascii="Arial" w:cs="Arial" w:eastAsia="Arial" w:hAnsi="Arial"/>
                <w:sz w:val="18"/>
                <w:szCs w:val="18"/>
                <w:color w:val="0000FF"/>
              </w:rPr>
            </w:pPr>
            <w:hyperlink w:anchor="page64">
              <w:r>
                <w:rPr>
                  <w:rFonts w:ascii="Arial" w:cs="Arial" w:eastAsia="Arial" w:hAnsi="Arial"/>
                  <w:sz w:val="18"/>
                  <w:szCs w:val="18"/>
                  <w:color w:val="0000FF"/>
                </w:rPr>
                <w:t>Employee Director Option Plan effective as of March 29, 2022#</w:t>
              </w:r>
            </w:hyperlink>
          </w:p>
        </w:tc>
        <w:tc>
          <w:tcPr>
            <w:tcW w:w="40" w:type="dxa"/>
            <w:vAlign w:val="bottom"/>
            <w:tcBorders>
              <w:top w:val="single" w:sz="8" w:color="0000FF"/>
              <w:bottom w:val="single" w:sz="8" w:color="auto"/>
            </w:tcBorders>
            <w:shd w:val="clear" w:color="auto" w:fill="CCEEFF"/>
          </w:tcPr>
          <w:p>
            <w:pPr>
              <w:spacing w:after="0"/>
              <w:rPr>
                <w:sz w:val="19"/>
                <w:szCs w:val="19"/>
                <w:color w:val="auto"/>
              </w:rPr>
            </w:pPr>
          </w:p>
        </w:tc>
        <w:tc>
          <w:tcPr>
            <w:tcW w:w="60" w:type="dxa"/>
            <w:vAlign w:val="bottom"/>
            <w:tcBorders>
              <w:top w:val="single" w:sz="8" w:color="0000FF"/>
              <w:bottom w:val="single" w:sz="8" w:color="auto"/>
            </w:tcBorders>
            <w:shd w:val="clear" w:color="auto" w:fill="CCEEFF"/>
          </w:tcPr>
          <w:p>
            <w:pPr>
              <w:spacing w:after="0"/>
              <w:rPr>
                <w:sz w:val="19"/>
                <w:szCs w:val="19"/>
                <w:color w:val="auto"/>
              </w:rPr>
            </w:pPr>
          </w:p>
        </w:tc>
        <w:tc>
          <w:tcPr>
            <w:tcW w:w="100" w:type="dxa"/>
            <w:vAlign w:val="bottom"/>
            <w:tcBorders>
              <w:top w:val="single" w:sz="8" w:color="0000FF"/>
              <w:bottom w:val="single" w:sz="8" w:color="auto"/>
            </w:tcBorders>
            <w:shd w:val="clear" w:color="auto" w:fill="CCEEFF"/>
          </w:tcPr>
          <w:p>
            <w:pPr>
              <w:spacing w:after="0"/>
              <w:rPr>
                <w:sz w:val="19"/>
                <w:szCs w:val="19"/>
                <w:color w:val="auto"/>
              </w:rPr>
            </w:pPr>
          </w:p>
        </w:tc>
        <w:tc>
          <w:tcPr>
            <w:tcW w:w="40" w:type="dxa"/>
            <w:vAlign w:val="bottom"/>
            <w:tcBorders>
              <w:top w:val="single" w:sz="8" w:color="0000FF"/>
              <w:bottom w:val="single" w:sz="8" w:color="auto"/>
            </w:tcBorders>
            <w:shd w:val="clear" w:color="auto" w:fill="CCEEFF"/>
          </w:tcPr>
          <w:p>
            <w:pPr>
              <w:spacing w:after="0"/>
              <w:rPr>
                <w:sz w:val="19"/>
                <w:szCs w:val="19"/>
                <w:color w:val="auto"/>
              </w:rPr>
            </w:pPr>
          </w:p>
        </w:tc>
        <w:tc>
          <w:tcPr>
            <w:tcW w:w="40" w:type="dxa"/>
            <w:vAlign w:val="bottom"/>
            <w:tcBorders>
              <w:top w:val="single" w:sz="8" w:color="0000FF"/>
              <w:bottom w:val="single" w:sz="8" w:color="auto"/>
            </w:tcBorders>
            <w:shd w:val="clear" w:color="auto" w:fill="CCEEFF"/>
          </w:tcPr>
          <w:p>
            <w:pPr>
              <w:spacing w:after="0"/>
              <w:rPr>
                <w:sz w:val="19"/>
                <w:szCs w:val="19"/>
                <w:color w:val="auto"/>
              </w:rPr>
            </w:pPr>
          </w:p>
        </w:tc>
        <w:tc>
          <w:tcPr>
            <w:tcW w:w="60" w:type="dxa"/>
            <w:vAlign w:val="bottom"/>
            <w:tcBorders>
              <w:top w:val="single" w:sz="8" w:color="0000FF"/>
              <w:bottom w:val="single" w:sz="8" w:color="auto"/>
              <w:right w:val="single" w:sz="8" w:color="auto"/>
            </w:tcBorders>
            <w:shd w:val="clear" w:color="auto" w:fill="CCEEFF"/>
          </w:tcPr>
          <w:p>
            <w:pPr>
              <w:spacing w:after="0"/>
              <w:rPr>
                <w:sz w:val="19"/>
                <w:szCs w:val="19"/>
                <w:color w:val="auto"/>
              </w:rPr>
            </w:pPr>
          </w:p>
        </w:tc>
        <w:tc>
          <w:tcPr>
            <w:tcW w:w="2840" w:type="dxa"/>
            <w:vAlign w:val="bottom"/>
            <w:tcBorders>
              <w:top w:val="single" w:sz="8" w:color="CCEEFF"/>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Arial" w:cs="Arial" w:eastAsia="Arial" w:hAnsi="Arial"/>
                <w:sz w:val="18"/>
                <w:szCs w:val="18"/>
                <w:color w:val="auto"/>
              </w:rPr>
              <w:t>10.2</w:t>
            </w:r>
          </w:p>
        </w:tc>
        <w:tc>
          <w:tcPr>
            <w:tcW w:w="6260" w:type="dxa"/>
            <w:vAlign w:val="bottom"/>
            <w:gridSpan w:val="8"/>
          </w:tcPr>
          <w:p>
            <w:pPr>
              <w:spacing w:after="0" w:line="182" w:lineRule="exact"/>
              <w:rPr>
                <w:rFonts w:ascii="Arial" w:cs="Arial" w:eastAsia="Arial" w:hAnsi="Arial"/>
                <w:sz w:val="18"/>
                <w:szCs w:val="18"/>
                <w:color w:val="0000FF"/>
                <w:w w:val="96"/>
              </w:rPr>
            </w:pPr>
            <w:hyperlink r:id="rId77">
              <w:r>
                <w:rPr>
                  <w:rFonts w:ascii="Arial" w:cs="Arial" w:eastAsia="Arial" w:hAnsi="Arial"/>
                  <w:sz w:val="18"/>
                  <w:szCs w:val="18"/>
                  <w:color w:val="0000FF"/>
                  <w:w w:val="96"/>
                </w:rPr>
                <w:t>First  Amendment  to  Employment  Agreement  among  Sun  Communities,  Inc.,</w:t>
              </w:r>
            </w:hyperlink>
          </w:p>
        </w:tc>
        <w:tc>
          <w:tcPr>
            <w:tcW w:w="340" w:type="dxa"/>
            <w:vAlign w:val="bottom"/>
            <w:tcBorders>
              <w:right w:val="single" w:sz="8" w:color="auto"/>
            </w:tcBorders>
            <w:gridSpan w:val="6"/>
          </w:tcPr>
          <w:p>
            <w:pPr>
              <w:jc w:val="center"/>
              <w:ind w:right="20"/>
              <w:spacing w:after="0" w:line="182" w:lineRule="exact"/>
              <w:rPr>
                <w:rFonts w:ascii="Arial" w:cs="Arial" w:eastAsia="Arial" w:hAnsi="Arial"/>
                <w:sz w:val="18"/>
                <w:szCs w:val="18"/>
                <w:color w:val="0000FF"/>
                <w:w w:val="87"/>
              </w:rPr>
            </w:pPr>
            <w:hyperlink r:id="rId77">
              <w:r>
                <w:rPr>
                  <w:rFonts w:ascii="Arial" w:cs="Arial" w:eastAsia="Arial" w:hAnsi="Arial"/>
                  <w:sz w:val="18"/>
                  <w:szCs w:val="18"/>
                  <w:color w:val="0000FF"/>
                  <w:w w:val="87"/>
                </w:rPr>
                <w:t>Sun</w:t>
              </w:r>
            </w:hyperlink>
          </w:p>
        </w:tc>
        <w:tc>
          <w:tcPr>
            <w:tcW w:w="28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163"/>
        </w:trPr>
        <w:tc>
          <w:tcPr>
            <w:tcW w:w="1820" w:type="dxa"/>
            <w:vAlign w:val="bottom"/>
            <w:tcBorders>
              <w:left w:val="single" w:sz="8" w:color="auto"/>
              <w:right w:val="single" w:sz="8" w:color="auto"/>
            </w:tcBorders>
          </w:tcPr>
          <w:p>
            <w:pPr>
              <w:spacing w:after="0"/>
              <w:rPr>
                <w:sz w:val="14"/>
                <w:szCs w:val="14"/>
                <w:color w:val="auto"/>
              </w:rPr>
            </w:pPr>
          </w:p>
        </w:tc>
        <w:tc>
          <w:tcPr>
            <w:tcW w:w="62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8"/>
              </w:rPr>
            </w:pPr>
            <w:hyperlink r:id="rId77">
              <w:r>
                <w:rPr>
                  <w:rFonts w:ascii="Arial" w:cs="Arial" w:eastAsia="Arial" w:hAnsi="Arial"/>
                  <w:sz w:val="18"/>
                  <w:szCs w:val="18"/>
                  <w:color w:val="0000FF"/>
                  <w:w w:val="98"/>
                </w:rPr>
                <w:t>Communities Operating Limited Partnership and Gary A. Shiffman dated March</w:t>
              </w:r>
            </w:hyperlink>
          </w:p>
        </w:tc>
        <w:tc>
          <w:tcPr>
            <w:tcW w:w="340" w:type="dxa"/>
            <w:vAlign w:val="bottom"/>
            <w:tcBorders>
              <w:top w:val="single" w:sz="8" w:color="0000FF"/>
              <w:bottom w:val="single" w:sz="8" w:color="0000FF"/>
              <w:right w:val="single" w:sz="8" w:color="auto"/>
            </w:tcBorders>
            <w:gridSpan w:val="6"/>
          </w:tcPr>
          <w:p>
            <w:pPr>
              <w:jc w:val="center"/>
              <w:spacing w:after="0" w:line="156" w:lineRule="exact"/>
              <w:rPr>
                <w:rFonts w:ascii="Arial" w:cs="Arial" w:eastAsia="Arial" w:hAnsi="Arial"/>
                <w:sz w:val="18"/>
                <w:szCs w:val="18"/>
                <w:color w:val="0000FF"/>
                <w:w w:val="87"/>
              </w:rPr>
            </w:pPr>
            <w:hyperlink r:id="rId77">
              <w:r>
                <w:rPr>
                  <w:rFonts w:ascii="Arial" w:cs="Arial" w:eastAsia="Arial" w:hAnsi="Arial"/>
                  <w:sz w:val="18"/>
                  <w:szCs w:val="18"/>
                  <w:color w:val="0000FF"/>
                  <w:w w:val="87"/>
                </w:rPr>
                <w:t>30,</w:t>
              </w:r>
            </w:hyperlink>
          </w:p>
        </w:tc>
        <w:tc>
          <w:tcPr>
            <w:tcW w:w="28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8"/>
                <w:szCs w:val="18"/>
                <w:color w:val="auto"/>
                <w:w w:val="92"/>
              </w:rPr>
              <w:t>Communities Inc.'s Current Report on</w:t>
            </w:r>
          </w:p>
        </w:tc>
        <w:tc>
          <w:tcPr>
            <w:tcW w:w="0" w:type="dxa"/>
            <w:vAlign w:val="bottom"/>
          </w:tcPr>
          <w:p>
            <w:pPr>
              <w:spacing w:after="0"/>
              <w:rPr>
                <w:sz w:val="1"/>
                <w:szCs w:val="1"/>
                <w:color w:val="auto"/>
              </w:rPr>
            </w:pPr>
          </w:p>
        </w:tc>
      </w:tr>
      <w:tr>
        <w:trPr>
          <w:trHeight w:val="176"/>
        </w:trPr>
        <w:tc>
          <w:tcPr>
            <w:tcW w:w="1820" w:type="dxa"/>
            <w:vAlign w:val="bottom"/>
            <w:tcBorders>
              <w:left w:val="single" w:sz="8" w:color="auto"/>
              <w:right w:val="single" w:sz="8" w:color="auto"/>
            </w:tcBorders>
          </w:tcPr>
          <w:p>
            <w:pPr>
              <w:spacing w:after="0"/>
              <w:rPr>
                <w:sz w:val="15"/>
                <w:szCs w:val="15"/>
                <w:color w:val="auto"/>
              </w:rPr>
            </w:pPr>
          </w:p>
        </w:tc>
        <w:tc>
          <w:tcPr>
            <w:tcW w:w="2360" w:type="dxa"/>
            <w:vAlign w:val="bottom"/>
            <w:gridSpan w:val="2"/>
          </w:tcPr>
          <w:p>
            <w:pPr>
              <w:spacing w:after="0" w:line="176" w:lineRule="exact"/>
              <w:rPr>
                <w:rFonts w:ascii="Arial" w:cs="Arial" w:eastAsia="Arial" w:hAnsi="Arial"/>
                <w:sz w:val="18"/>
                <w:szCs w:val="18"/>
                <w:color w:val="0000FF"/>
              </w:rPr>
            </w:pPr>
            <w:hyperlink r:id="rId77">
              <w:r>
                <w:rPr>
                  <w:rFonts w:ascii="Arial" w:cs="Arial" w:eastAsia="Arial" w:hAnsi="Arial"/>
                  <w:sz w:val="18"/>
                  <w:szCs w:val="18"/>
                  <w:color w:val="0000FF"/>
                </w:rPr>
                <w:t>2022#</w:t>
              </w:r>
            </w:hyperlink>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28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Form 8-K filed on April 1, 2022</w:t>
            </w:r>
          </w:p>
        </w:tc>
        <w:tc>
          <w:tcPr>
            <w:tcW w:w="0" w:type="dxa"/>
            <w:vAlign w:val="bottom"/>
          </w:tcPr>
          <w:p>
            <w:pPr>
              <w:spacing w:after="0"/>
              <w:rPr>
                <w:sz w:val="1"/>
                <w:szCs w:val="1"/>
                <w:color w:val="auto"/>
              </w:rPr>
            </w:pPr>
          </w:p>
        </w:tc>
      </w:tr>
      <w:tr>
        <w:trPr>
          <w:trHeight w:val="34"/>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10.3</w:t>
            </w:r>
          </w:p>
        </w:tc>
        <w:tc>
          <w:tcPr>
            <w:tcW w:w="6260" w:type="dxa"/>
            <w:vAlign w:val="bottom"/>
            <w:gridSpan w:val="8"/>
            <w:shd w:val="clear" w:color="auto" w:fill="CCEEFF"/>
          </w:tcPr>
          <w:p>
            <w:pPr>
              <w:spacing w:after="0" w:line="182" w:lineRule="exact"/>
              <w:rPr>
                <w:rFonts w:ascii="Arial" w:cs="Arial" w:eastAsia="Arial" w:hAnsi="Arial"/>
                <w:sz w:val="18"/>
                <w:szCs w:val="18"/>
                <w:color w:val="0000FF"/>
                <w:w w:val="96"/>
              </w:rPr>
            </w:pPr>
            <w:hyperlink r:id="rId77">
              <w:r>
                <w:rPr>
                  <w:rFonts w:ascii="Arial" w:cs="Arial" w:eastAsia="Arial" w:hAnsi="Arial"/>
                  <w:sz w:val="18"/>
                  <w:szCs w:val="18"/>
                  <w:color w:val="0000FF"/>
                  <w:w w:val="96"/>
                </w:rPr>
                <w:t>First  Amendment  to  Employment  Agreement  among  Sun  Communities,  Inc.,</w:t>
              </w:r>
            </w:hyperlink>
          </w:p>
        </w:tc>
        <w:tc>
          <w:tcPr>
            <w:tcW w:w="340" w:type="dxa"/>
            <w:vAlign w:val="bottom"/>
            <w:tcBorders>
              <w:right w:val="single" w:sz="8" w:color="auto"/>
            </w:tcBorders>
            <w:gridSpan w:val="6"/>
            <w:shd w:val="clear" w:color="auto" w:fill="CCEEFF"/>
          </w:tcPr>
          <w:p>
            <w:pPr>
              <w:jc w:val="center"/>
              <w:ind w:right="20"/>
              <w:spacing w:after="0" w:line="182" w:lineRule="exact"/>
              <w:rPr>
                <w:rFonts w:ascii="Arial" w:cs="Arial" w:eastAsia="Arial" w:hAnsi="Arial"/>
                <w:sz w:val="18"/>
                <w:szCs w:val="18"/>
                <w:color w:val="0000FF"/>
                <w:w w:val="87"/>
              </w:rPr>
            </w:pPr>
            <w:hyperlink r:id="rId77">
              <w:r>
                <w:rPr>
                  <w:rFonts w:ascii="Arial" w:cs="Arial" w:eastAsia="Arial" w:hAnsi="Arial"/>
                  <w:sz w:val="18"/>
                  <w:szCs w:val="18"/>
                  <w:color w:val="0000FF"/>
                  <w:w w:val="87"/>
                </w:rPr>
                <w:t>Sun</w:t>
              </w:r>
            </w:hyperlink>
          </w:p>
        </w:tc>
        <w:tc>
          <w:tcPr>
            <w:tcW w:w="2840" w:type="dxa"/>
            <w:vAlign w:val="bottom"/>
            <w:tcBorders>
              <w:right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163"/>
        </w:trPr>
        <w:tc>
          <w:tcPr>
            <w:tcW w:w="1820" w:type="dxa"/>
            <w:vAlign w:val="bottom"/>
            <w:tcBorders>
              <w:top w:val="single" w:sz="8" w:color="CCEEFF"/>
              <w:left w:val="single" w:sz="8" w:color="auto"/>
              <w:right w:val="single" w:sz="8" w:color="auto"/>
            </w:tcBorders>
            <w:shd w:val="clear" w:color="auto" w:fill="CCEEFF"/>
          </w:tcPr>
          <w:p>
            <w:pPr>
              <w:spacing w:after="0"/>
              <w:rPr>
                <w:sz w:val="14"/>
                <w:szCs w:val="14"/>
                <w:color w:val="auto"/>
              </w:rPr>
            </w:pPr>
          </w:p>
        </w:tc>
        <w:tc>
          <w:tcPr>
            <w:tcW w:w="6600" w:type="dxa"/>
            <w:vAlign w:val="bottom"/>
            <w:tcBorders>
              <w:top w:val="single" w:sz="8" w:color="0000FF"/>
              <w:right w:val="single" w:sz="8" w:color="auto"/>
            </w:tcBorders>
            <w:gridSpan w:val="14"/>
            <w:shd w:val="clear" w:color="auto" w:fill="CCEEFF"/>
          </w:tcPr>
          <w:p>
            <w:pPr>
              <w:spacing w:after="0" w:line="15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Communities Operating Limited Partnership and John B. McLaren dated March 30, 2022#</w:t>
              </w:r>
            </w:hyperlink>
          </w:p>
        </w:tc>
        <w:tc>
          <w:tcPr>
            <w:tcW w:w="2840" w:type="dxa"/>
            <w:vAlign w:val="bottom"/>
            <w:tcBorders>
              <w:top w:val="single" w:sz="8" w:color="CCEEFF"/>
              <w:right w:val="single" w:sz="8" w:color="auto"/>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2"/>
              </w:rPr>
              <w:t>Communities Inc.'s Current Report on</w:t>
            </w:r>
          </w:p>
        </w:tc>
        <w:tc>
          <w:tcPr>
            <w:tcW w:w="0" w:type="dxa"/>
            <w:vAlign w:val="bottom"/>
          </w:tcPr>
          <w:p>
            <w:pPr>
              <w:spacing w:after="0"/>
              <w:rPr>
                <w:sz w:val="1"/>
                <w:szCs w:val="1"/>
                <w:color w:val="auto"/>
              </w:rPr>
            </w:pPr>
          </w:p>
        </w:tc>
      </w:tr>
      <w:tr>
        <w:trPr>
          <w:trHeight w:val="189"/>
        </w:trPr>
        <w:tc>
          <w:tcPr>
            <w:tcW w:w="1820" w:type="dxa"/>
            <w:vAlign w:val="bottom"/>
            <w:tcBorders>
              <w:top w:val="single" w:sz="8" w:color="CCEEFF"/>
              <w:left w:val="single" w:sz="8" w:color="auto"/>
              <w:bottom w:val="single" w:sz="8" w:color="auto"/>
              <w:right w:val="single" w:sz="8" w:color="auto"/>
            </w:tcBorders>
            <w:shd w:val="clear" w:color="auto" w:fill="CCEEFF"/>
          </w:tcPr>
          <w:p>
            <w:pPr>
              <w:spacing w:after="0"/>
              <w:rPr>
                <w:sz w:val="16"/>
                <w:szCs w:val="16"/>
                <w:color w:val="auto"/>
              </w:rPr>
            </w:pPr>
          </w:p>
        </w:tc>
        <w:tc>
          <w:tcPr>
            <w:tcW w:w="460" w:type="dxa"/>
            <w:vAlign w:val="bottom"/>
            <w:tcBorders>
              <w:top w:val="single" w:sz="8" w:color="0000FF"/>
              <w:bottom w:val="single" w:sz="8" w:color="auto"/>
            </w:tcBorders>
            <w:shd w:val="clear" w:color="auto" w:fill="CCEEFF"/>
          </w:tcPr>
          <w:p>
            <w:pPr>
              <w:spacing w:after="0"/>
              <w:rPr>
                <w:sz w:val="16"/>
                <w:szCs w:val="16"/>
                <w:color w:val="auto"/>
              </w:rPr>
            </w:pPr>
          </w:p>
        </w:tc>
        <w:tc>
          <w:tcPr>
            <w:tcW w:w="1900" w:type="dxa"/>
            <w:vAlign w:val="bottom"/>
            <w:tcBorders>
              <w:top w:val="single" w:sz="8" w:color="0000FF"/>
              <w:bottom w:val="single" w:sz="8" w:color="auto"/>
            </w:tcBorders>
            <w:shd w:val="clear" w:color="auto" w:fill="CCEEFF"/>
          </w:tcPr>
          <w:p>
            <w:pPr>
              <w:spacing w:after="0"/>
              <w:rPr>
                <w:sz w:val="16"/>
                <w:szCs w:val="16"/>
                <w:color w:val="auto"/>
              </w:rPr>
            </w:pPr>
          </w:p>
        </w:tc>
        <w:tc>
          <w:tcPr>
            <w:tcW w:w="340" w:type="dxa"/>
            <w:vAlign w:val="bottom"/>
            <w:tcBorders>
              <w:top w:val="single" w:sz="8" w:color="0000FF"/>
              <w:bottom w:val="single" w:sz="8" w:color="auto"/>
            </w:tcBorders>
            <w:shd w:val="clear" w:color="auto" w:fill="CCEEFF"/>
          </w:tcPr>
          <w:p>
            <w:pPr>
              <w:spacing w:after="0"/>
              <w:rPr>
                <w:sz w:val="16"/>
                <w:szCs w:val="16"/>
                <w:color w:val="auto"/>
              </w:rPr>
            </w:pPr>
          </w:p>
        </w:tc>
        <w:tc>
          <w:tcPr>
            <w:tcW w:w="60" w:type="dxa"/>
            <w:vAlign w:val="bottom"/>
            <w:tcBorders>
              <w:top w:val="single" w:sz="8" w:color="0000FF"/>
              <w:bottom w:val="single" w:sz="8" w:color="auto"/>
            </w:tcBorders>
            <w:shd w:val="clear" w:color="auto" w:fill="CCEEFF"/>
          </w:tcPr>
          <w:p>
            <w:pPr>
              <w:spacing w:after="0"/>
              <w:rPr>
                <w:sz w:val="16"/>
                <w:szCs w:val="16"/>
                <w:color w:val="auto"/>
              </w:rPr>
            </w:pPr>
          </w:p>
        </w:tc>
        <w:tc>
          <w:tcPr>
            <w:tcW w:w="640" w:type="dxa"/>
            <w:vAlign w:val="bottom"/>
            <w:tcBorders>
              <w:top w:val="single" w:sz="8" w:color="0000FF"/>
              <w:bottom w:val="single" w:sz="8" w:color="auto"/>
            </w:tcBorders>
            <w:shd w:val="clear" w:color="auto" w:fill="CCEEFF"/>
          </w:tcPr>
          <w:p>
            <w:pPr>
              <w:spacing w:after="0"/>
              <w:rPr>
                <w:sz w:val="16"/>
                <w:szCs w:val="16"/>
                <w:color w:val="auto"/>
              </w:rPr>
            </w:pPr>
          </w:p>
        </w:tc>
        <w:tc>
          <w:tcPr>
            <w:tcW w:w="1220" w:type="dxa"/>
            <w:vAlign w:val="bottom"/>
            <w:tcBorders>
              <w:top w:val="single" w:sz="8" w:color="0000FF"/>
              <w:bottom w:val="single" w:sz="8" w:color="auto"/>
            </w:tcBorders>
            <w:shd w:val="clear" w:color="auto" w:fill="CCEEFF"/>
          </w:tcPr>
          <w:p>
            <w:pPr>
              <w:spacing w:after="0"/>
              <w:rPr>
                <w:sz w:val="16"/>
                <w:szCs w:val="16"/>
                <w:color w:val="auto"/>
              </w:rPr>
            </w:pPr>
          </w:p>
        </w:tc>
        <w:tc>
          <w:tcPr>
            <w:tcW w:w="1580" w:type="dxa"/>
            <w:vAlign w:val="bottom"/>
            <w:tcBorders>
              <w:top w:val="single" w:sz="8" w:color="0000FF"/>
              <w:bottom w:val="single" w:sz="8" w:color="auto"/>
            </w:tcBorders>
            <w:shd w:val="clear" w:color="auto" w:fill="CCEEFF"/>
          </w:tcPr>
          <w:p>
            <w:pPr>
              <w:spacing w:after="0"/>
              <w:rPr>
                <w:sz w:val="16"/>
                <w:szCs w:val="16"/>
                <w:color w:val="auto"/>
              </w:rPr>
            </w:pPr>
          </w:p>
        </w:tc>
        <w:tc>
          <w:tcPr>
            <w:tcW w:w="60" w:type="dxa"/>
            <w:vAlign w:val="bottom"/>
            <w:tcBorders>
              <w:top w:val="single" w:sz="8" w:color="0000FF"/>
              <w:bottom w:val="single" w:sz="8" w:color="auto"/>
            </w:tcBorders>
            <w:shd w:val="clear" w:color="auto" w:fill="CCEEFF"/>
          </w:tcPr>
          <w:p>
            <w:pPr>
              <w:spacing w:after="0"/>
              <w:rPr>
                <w:sz w:val="16"/>
                <w:szCs w:val="16"/>
                <w:color w:val="auto"/>
              </w:rPr>
            </w:pPr>
          </w:p>
        </w:tc>
        <w:tc>
          <w:tcPr>
            <w:tcW w:w="40" w:type="dxa"/>
            <w:vAlign w:val="bottom"/>
            <w:tcBorders>
              <w:top w:val="single" w:sz="8" w:color="0000FF"/>
              <w:bottom w:val="single" w:sz="8" w:color="auto"/>
            </w:tcBorders>
            <w:shd w:val="clear" w:color="auto" w:fill="CCEEFF"/>
          </w:tcPr>
          <w:p>
            <w:pPr>
              <w:spacing w:after="0"/>
              <w:rPr>
                <w:sz w:val="16"/>
                <w:szCs w:val="16"/>
                <w:color w:val="auto"/>
              </w:rPr>
            </w:pPr>
          </w:p>
        </w:tc>
        <w:tc>
          <w:tcPr>
            <w:tcW w:w="60" w:type="dxa"/>
            <w:vAlign w:val="bottom"/>
            <w:tcBorders>
              <w:top w:val="single" w:sz="8" w:color="0000FF"/>
              <w:bottom w:val="single" w:sz="8" w:color="auto"/>
            </w:tcBorders>
            <w:shd w:val="clear" w:color="auto" w:fill="CCEEFF"/>
          </w:tcPr>
          <w:p>
            <w:pPr>
              <w:spacing w:after="0"/>
              <w:rPr>
                <w:sz w:val="16"/>
                <w:szCs w:val="16"/>
                <w:color w:val="auto"/>
              </w:rPr>
            </w:pPr>
          </w:p>
        </w:tc>
        <w:tc>
          <w:tcPr>
            <w:tcW w:w="100" w:type="dxa"/>
            <w:vAlign w:val="bottom"/>
            <w:tcBorders>
              <w:top w:val="single" w:sz="8" w:color="0000FF"/>
              <w:bottom w:val="single" w:sz="8" w:color="auto"/>
            </w:tcBorders>
            <w:shd w:val="clear" w:color="auto" w:fill="CCEEFF"/>
          </w:tcPr>
          <w:p>
            <w:pPr>
              <w:spacing w:after="0"/>
              <w:rPr>
                <w:sz w:val="16"/>
                <w:szCs w:val="16"/>
                <w:color w:val="auto"/>
              </w:rPr>
            </w:pPr>
          </w:p>
        </w:tc>
        <w:tc>
          <w:tcPr>
            <w:tcW w:w="40" w:type="dxa"/>
            <w:vAlign w:val="bottom"/>
            <w:tcBorders>
              <w:top w:val="single" w:sz="8" w:color="0000FF"/>
              <w:bottom w:val="single" w:sz="8" w:color="auto"/>
            </w:tcBorders>
            <w:shd w:val="clear" w:color="auto" w:fill="CCEEFF"/>
          </w:tcPr>
          <w:p>
            <w:pPr>
              <w:spacing w:after="0"/>
              <w:rPr>
                <w:sz w:val="16"/>
                <w:szCs w:val="16"/>
                <w:color w:val="auto"/>
              </w:rPr>
            </w:pPr>
          </w:p>
        </w:tc>
        <w:tc>
          <w:tcPr>
            <w:tcW w:w="40" w:type="dxa"/>
            <w:vAlign w:val="bottom"/>
            <w:tcBorders>
              <w:top w:val="single" w:sz="8" w:color="0000FF"/>
              <w:bottom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auto"/>
              <w:right w:val="single" w:sz="8" w:color="auto"/>
            </w:tcBorders>
            <w:shd w:val="clear" w:color="auto" w:fill="CCEEFF"/>
          </w:tcPr>
          <w:p>
            <w:pPr>
              <w:spacing w:after="0"/>
              <w:rPr>
                <w:sz w:val="16"/>
                <w:szCs w:val="16"/>
                <w:color w:val="auto"/>
              </w:rPr>
            </w:pPr>
          </w:p>
        </w:tc>
        <w:tc>
          <w:tcPr>
            <w:tcW w:w="2840" w:type="dxa"/>
            <w:vAlign w:val="bottom"/>
            <w:tcBorders>
              <w:top w:val="single" w:sz="8" w:color="CCEEFF"/>
              <w:bottom w:val="single" w:sz="8" w:color="auto"/>
              <w:right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Form 8-K filed on April 1, 2022</w:t>
            </w: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Arial" w:cs="Arial" w:eastAsia="Arial" w:hAnsi="Arial"/>
                <w:sz w:val="18"/>
                <w:szCs w:val="18"/>
                <w:color w:val="auto"/>
              </w:rPr>
              <w:t>10.4</w:t>
            </w:r>
          </w:p>
        </w:tc>
        <w:tc>
          <w:tcPr>
            <w:tcW w:w="6260" w:type="dxa"/>
            <w:vAlign w:val="bottom"/>
            <w:gridSpan w:val="8"/>
          </w:tcPr>
          <w:p>
            <w:pPr>
              <w:spacing w:after="0" w:line="182" w:lineRule="exact"/>
              <w:rPr>
                <w:rFonts w:ascii="Arial" w:cs="Arial" w:eastAsia="Arial" w:hAnsi="Arial"/>
                <w:sz w:val="18"/>
                <w:szCs w:val="18"/>
                <w:color w:val="0000FF"/>
                <w:w w:val="96"/>
              </w:rPr>
            </w:pPr>
            <w:hyperlink r:id="rId77">
              <w:r>
                <w:rPr>
                  <w:rFonts w:ascii="Arial" w:cs="Arial" w:eastAsia="Arial" w:hAnsi="Arial"/>
                  <w:sz w:val="18"/>
                  <w:szCs w:val="18"/>
                  <w:color w:val="0000FF"/>
                  <w:w w:val="96"/>
                </w:rPr>
                <w:t>First  Amendment  to  Employment  Agreement  among  Sun  Communities,  Inc.,</w:t>
              </w:r>
            </w:hyperlink>
          </w:p>
        </w:tc>
        <w:tc>
          <w:tcPr>
            <w:tcW w:w="340" w:type="dxa"/>
            <w:vAlign w:val="bottom"/>
            <w:tcBorders>
              <w:right w:val="single" w:sz="8" w:color="auto"/>
            </w:tcBorders>
            <w:gridSpan w:val="6"/>
          </w:tcPr>
          <w:p>
            <w:pPr>
              <w:jc w:val="center"/>
              <w:ind w:right="20"/>
              <w:spacing w:after="0" w:line="182" w:lineRule="exact"/>
              <w:rPr>
                <w:rFonts w:ascii="Arial" w:cs="Arial" w:eastAsia="Arial" w:hAnsi="Arial"/>
                <w:sz w:val="18"/>
                <w:szCs w:val="18"/>
                <w:color w:val="0000FF"/>
                <w:w w:val="87"/>
              </w:rPr>
            </w:pPr>
            <w:hyperlink r:id="rId77">
              <w:r>
                <w:rPr>
                  <w:rFonts w:ascii="Arial" w:cs="Arial" w:eastAsia="Arial" w:hAnsi="Arial"/>
                  <w:sz w:val="18"/>
                  <w:szCs w:val="18"/>
                  <w:color w:val="0000FF"/>
                  <w:w w:val="87"/>
                </w:rPr>
                <w:t>Sun</w:t>
              </w:r>
            </w:hyperlink>
          </w:p>
        </w:tc>
        <w:tc>
          <w:tcPr>
            <w:tcW w:w="28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163"/>
        </w:trPr>
        <w:tc>
          <w:tcPr>
            <w:tcW w:w="1820" w:type="dxa"/>
            <w:vAlign w:val="bottom"/>
            <w:tcBorders>
              <w:left w:val="single" w:sz="8" w:color="auto"/>
              <w:right w:val="single" w:sz="8" w:color="auto"/>
            </w:tcBorders>
          </w:tcPr>
          <w:p>
            <w:pPr>
              <w:spacing w:after="0"/>
              <w:rPr>
                <w:sz w:val="14"/>
                <w:szCs w:val="14"/>
                <w:color w:val="auto"/>
              </w:rPr>
            </w:pPr>
          </w:p>
        </w:tc>
        <w:tc>
          <w:tcPr>
            <w:tcW w:w="6600" w:type="dxa"/>
            <w:vAlign w:val="bottom"/>
            <w:tcBorders>
              <w:top w:val="single" w:sz="8" w:color="0000FF"/>
              <w:right w:val="single" w:sz="8" w:color="auto"/>
            </w:tcBorders>
            <w:gridSpan w:val="14"/>
          </w:tcPr>
          <w:p>
            <w:pPr>
              <w:spacing w:after="0" w:line="15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Communities Operating Limited Partnership and Karen J. Dearing dated March 30, 2022#</w:t>
              </w:r>
            </w:hyperlink>
          </w:p>
        </w:tc>
        <w:tc>
          <w:tcPr>
            <w:tcW w:w="28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8"/>
                <w:szCs w:val="18"/>
                <w:color w:val="auto"/>
                <w:w w:val="92"/>
              </w:rPr>
              <w:t>Communities Inc.'s Current Report on</w:t>
            </w:r>
          </w:p>
        </w:tc>
        <w:tc>
          <w:tcPr>
            <w:tcW w:w="0" w:type="dxa"/>
            <w:vAlign w:val="bottom"/>
          </w:tcPr>
          <w:p>
            <w:pPr>
              <w:spacing w:after="0"/>
              <w:rPr>
                <w:sz w:val="1"/>
                <w:szCs w:val="1"/>
                <w:color w:val="auto"/>
              </w:rPr>
            </w:pPr>
          </w:p>
        </w:tc>
      </w:tr>
      <w:tr>
        <w:trPr>
          <w:trHeight w:val="189"/>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460" w:type="dxa"/>
            <w:vAlign w:val="bottom"/>
            <w:tcBorders>
              <w:top w:val="single" w:sz="8" w:color="0000FF"/>
              <w:bottom w:val="single" w:sz="8" w:color="auto"/>
            </w:tcBorders>
          </w:tcPr>
          <w:p>
            <w:pPr>
              <w:spacing w:after="0"/>
              <w:rPr>
                <w:sz w:val="16"/>
                <w:szCs w:val="16"/>
                <w:color w:val="auto"/>
              </w:rPr>
            </w:pPr>
          </w:p>
        </w:tc>
        <w:tc>
          <w:tcPr>
            <w:tcW w:w="1900" w:type="dxa"/>
            <w:vAlign w:val="bottom"/>
            <w:tcBorders>
              <w:top w:val="single" w:sz="8" w:color="0000FF"/>
              <w:bottom w:val="single" w:sz="8" w:color="auto"/>
            </w:tcBorders>
          </w:tcPr>
          <w:p>
            <w:pPr>
              <w:spacing w:after="0"/>
              <w:rPr>
                <w:sz w:val="16"/>
                <w:szCs w:val="16"/>
                <w:color w:val="auto"/>
              </w:rPr>
            </w:pPr>
          </w:p>
        </w:tc>
        <w:tc>
          <w:tcPr>
            <w:tcW w:w="340" w:type="dxa"/>
            <w:vAlign w:val="bottom"/>
            <w:tcBorders>
              <w:top w:val="single" w:sz="8" w:color="0000FF"/>
              <w:bottom w:val="single" w:sz="8" w:color="auto"/>
            </w:tcBorders>
          </w:tcPr>
          <w:p>
            <w:pPr>
              <w:spacing w:after="0"/>
              <w:rPr>
                <w:sz w:val="16"/>
                <w:szCs w:val="16"/>
                <w:color w:val="auto"/>
              </w:rPr>
            </w:pPr>
          </w:p>
        </w:tc>
        <w:tc>
          <w:tcPr>
            <w:tcW w:w="60" w:type="dxa"/>
            <w:vAlign w:val="bottom"/>
            <w:tcBorders>
              <w:top w:val="single" w:sz="8" w:color="0000FF"/>
              <w:bottom w:val="single" w:sz="8" w:color="auto"/>
            </w:tcBorders>
          </w:tcPr>
          <w:p>
            <w:pPr>
              <w:spacing w:after="0"/>
              <w:rPr>
                <w:sz w:val="16"/>
                <w:szCs w:val="16"/>
                <w:color w:val="auto"/>
              </w:rPr>
            </w:pPr>
          </w:p>
        </w:tc>
        <w:tc>
          <w:tcPr>
            <w:tcW w:w="640" w:type="dxa"/>
            <w:vAlign w:val="bottom"/>
            <w:tcBorders>
              <w:top w:val="single" w:sz="8" w:color="0000FF"/>
              <w:bottom w:val="single" w:sz="8" w:color="auto"/>
            </w:tcBorders>
          </w:tcPr>
          <w:p>
            <w:pPr>
              <w:spacing w:after="0"/>
              <w:rPr>
                <w:sz w:val="16"/>
                <w:szCs w:val="16"/>
                <w:color w:val="auto"/>
              </w:rPr>
            </w:pPr>
          </w:p>
        </w:tc>
        <w:tc>
          <w:tcPr>
            <w:tcW w:w="1220" w:type="dxa"/>
            <w:vAlign w:val="bottom"/>
            <w:tcBorders>
              <w:top w:val="single" w:sz="8" w:color="0000FF"/>
              <w:bottom w:val="single" w:sz="8" w:color="auto"/>
            </w:tcBorders>
          </w:tcPr>
          <w:p>
            <w:pPr>
              <w:spacing w:after="0"/>
              <w:rPr>
                <w:sz w:val="16"/>
                <w:szCs w:val="16"/>
                <w:color w:val="auto"/>
              </w:rPr>
            </w:pPr>
          </w:p>
        </w:tc>
        <w:tc>
          <w:tcPr>
            <w:tcW w:w="1580" w:type="dxa"/>
            <w:vAlign w:val="bottom"/>
            <w:tcBorders>
              <w:top w:val="single" w:sz="8" w:color="0000FF"/>
              <w:bottom w:val="single" w:sz="8" w:color="auto"/>
            </w:tcBorders>
          </w:tcPr>
          <w:p>
            <w:pPr>
              <w:spacing w:after="0"/>
              <w:rPr>
                <w:sz w:val="16"/>
                <w:szCs w:val="16"/>
                <w:color w:val="auto"/>
              </w:rPr>
            </w:pPr>
          </w:p>
        </w:tc>
        <w:tc>
          <w:tcPr>
            <w:tcW w:w="60" w:type="dxa"/>
            <w:vAlign w:val="bottom"/>
            <w:tcBorders>
              <w:top w:val="single" w:sz="8" w:color="0000FF"/>
              <w:bottom w:val="single" w:sz="8" w:color="auto"/>
            </w:tcBorders>
          </w:tcPr>
          <w:p>
            <w:pPr>
              <w:spacing w:after="0"/>
              <w:rPr>
                <w:sz w:val="16"/>
                <w:szCs w:val="16"/>
                <w:color w:val="auto"/>
              </w:rPr>
            </w:pPr>
          </w:p>
        </w:tc>
        <w:tc>
          <w:tcPr>
            <w:tcW w:w="40" w:type="dxa"/>
            <w:vAlign w:val="bottom"/>
            <w:tcBorders>
              <w:top w:val="single" w:sz="8" w:color="0000FF"/>
              <w:bottom w:val="single" w:sz="8" w:color="auto"/>
            </w:tcBorders>
          </w:tcPr>
          <w:p>
            <w:pPr>
              <w:spacing w:after="0"/>
              <w:rPr>
                <w:sz w:val="16"/>
                <w:szCs w:val="16"/>
                <w:color w:val="auto"/>
              </w:rPr>
            </w:pPr>
          </w:p>
        </w:tc>
        <w:tc>
          <w:tcPr>
            <w:tcW w:w="60" w:type="dxa"/>
            <w:vAlign w:val="bottom"/>
            <w:tcBorders>
              <w:top w:val="single" w:sz="8" w:color="0000FF"/>
              <w:bottom w:val="single" w:sz="8" w:color="auto"/>
            </w:tcBorders>
          </w:tcPr>
          <w:p>
            <w:pPr>
              <w:spacing w:after="0"/>
              <w:rPr>
                <w:sz w:val="16"/>
                <w:szCs w:val="16"/>
                <w:color w:val="auto"/>
              </w:rPr>
            </w:pPr>
          </w:p>
        </w:tc>
        <w:tc>
          <w:tcPr>
            <w:tcW w:w="100" w:type="dxa"/>
            <w:vAlign w:val="bottom"/>
            <w:tcBorders>
              <w:top w:val="single" w:sz="8" w:color="0000FF"/>
              <w:bottom w:val="single" w:sz="8" w:color="auto"/>
            </w:tcBorders>
          </w:tcPr>
          <w:p>
            <w:pPr>
              <w:spacing w:after="0"/>
              <w:rPr>
                <w:sz w:val="16"/>
                <w:szCs w:val="16"/>
                <w:color w:val="auto"/>
              </w:rPr>
            </w:pPr>
          </w:p>
        </w:tc>
        <w:tc>
          <w:tcPr>
            <w:tcW w:w="40" w:type="dxa"/>
            <w:vAlign w:val="bottom"/>
            <w:tcBorders>
              <w:top w:val="single" w:sz="8" w:color="0000FF"/>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2840" w:type="dxa"/>
            <w:vAlign w:val="bottom"/>
            <w:tcBorders>
              <w:bottom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Form 8-K filed on April 1, 2022</w:t>
            </w: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10.5</w:t>
            </w:r>
          </w:p>
        </w:tc>
        <w:tc>
          <w:tcPr>
            <w:tcW w:w="6260" w:type="dxa"/>
            <w:vAlign w:val="bottom"/>
            <w:gridSpan w:val="8"/>
            <w:shd w:val="clear" w:color="auto" w:fill="CCEEFF"/>
          </w:tcPr>
          <w:p>
            <w:pPr>
              <w:spacing w:after="0" w:line="182" w:lineRule="exact"/>
              <w:rPr>
                <w:rFonts w:ascii="Arial" w:cs="Arial" w:eastAsia="Arial" w:hAnsi="Arial"/>
                <w:sz w:val="18"/>
                <w:szCs w:val="18"/>
                <w:color w:val="0000FF"/>
                <w:w w:val="96"/>
              </w:rPr>
            </w:pPr>
            <w:hyperlink r:id="rId77">
              <w:r>
                <w:rPr>
                  <w:rFonts w:ascii="Arial" w:cs="Arial" w:eastAsia="Arial" w:hAnsi="Arial"/>
                  <w:sz w:val="18"/>
                  <w:szCs w:val="18"/>
                  <w:color w:val="0000FF"/>
                  <w:w w:val="96"/>
                </w:rPr>
                <w:t>First  Amendment  to  Employment  Agreement  among  Sun  Communities,  Inc.,</w:t>
              </w:r>
            </w:hyperlink>
          </w:p>
        </w:tc>
        <w:tc>
          <w:tcPr>
            <w:tcW w:w="340" w:type="dxa"/>
            <w:vAlign w:val="bottom"/>
            <w:tcBorders>
              <w:right w:val="single" w:sz="8" w:color="auto"/>
            </w:tcBorders>
            <w:gridSpan w:val="6"/>
            <w:shd w:val="clear" w:color="auto" w:fill="CCEEFF"/>
          </w:tcPr>
          <w:p>
            <w:pPr>
              <w:jc w:val="center"/>
              <w:ind w:right="20"/>
              <w:spacing w:after="0" w:line="182" w:lineRule="exact"/>
              <w:rPr>
                <w:rFonts w:ascii="Arial" w:cs="Arial" w:eastAsia="Arial" w:hAnsi="Arial"/>
                <w:sz w:val="18"/>
                <w:szCs w:val="18"/>
                <w:color w:val="0000FF"/>
                <w:w w:val="87"/>
              </w:rPr>
            </w:pPr>
            <w:hyperlink r:id="rId77">
              <w:r>
                <w:rPr>
                  <w:rFonts w:ascii="Arial" w:cs="Arial" w:eastAsia="Arial" w:hAnsi="Arial"/>
                  <w:sz w:val="18"/>
                  <w:szCs w:val="18"/>
                  <w:color w:val="0000FF"/>
                  <w:w w:val="87"/>
                </w:rPr>
                <w:t>Sun</w:t>
              </w:r>
            </w:hyperlink>
          </w:p>
        </w:tc>
        <w:tc>
          <w:tcPr>
            <w:tcW w:w="2840" w:type="dxa"/>
            <w:vAlign w:val="bottom"/>
            <w:tcBorders>
              <w:right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163"/>
        </w:trPr>
        <w:tc>
          <w:tcPr>
            <w:tcW w:w="1820" w:type="dxa"/>
            <w:vAlign w:val="bottom"/>
            <w:tcBorders>
              <w:top w:val="single" w:sz="8" w:color="CCEEFF"/>
              <w:left w:val="single" w:sz="8" w:color="auto"/>
              <w:bottom w:val="single" w:sz="8" w:color="CCEEFF"/>
              <w:right w:val="single" w:sz="8" w:color="auto"/>
            </w:tcBorders>
            <w:shd w:val="clear" w:color="auto" w:fill="CCEEFF"/>
          </w:tcPr>
          <w:p>
            <w:pPr>
              <w:spacing w:after="0"/>
              <w:rPr>
                <w:sz w:val="14"/>
                <w:szCs w:val="14"/>
                <w:color w:val="auto"/>
              </w:rPr>
            </w:pPr>
          </w:p>
        </w:tc>
        <w:tc>
          <w:tcPr>
            <w:tcW w:w="6260" w:type="dxa"/>
            <w:vAlign w:val="bottom"/>
            <w:tcBorders>
              <w:top w:val="single" w:sz="8" w:color="0000FF"/>
              <w:bottom w:val="single" w:sz="8" w:color="0000FF"/>
            </w:tcBorders>
            <w:gridSpan w:val="8"/>
            <w:shd w:val="clear" w:color="auto" w:fill="CCEEFF"/>
          </w:tcPr>
          <w:p>
            <w:pPr>
              <w:spacing w:after="0" w:line="156" w:lineRule="exact"/>
              <w:rPr>
                <w:rFonts w:ascii="Arial" w:cs="Arial" w:eastAsia="Arial" w:hAnsi="Arial"/>
                <w:sz w:val="18"/>
                <w:szCs w:val="18"/>
                <w:color w:val="0000FF"/>
                <w:w w:val="90"/>
              </w:rPr>
            </w:pPr>
            <w:hyperlink r:id="rId77">
              <w:r>
                <w:rPr>
                  <w:rFonts w:ascii="Arial" w:cs="Arial" w:eastAsia="Arial" w:hAnsi="Arial"/>
                  <w:sz w:val="18"/>
                  <w:szCs w:val="18"/>
                  <w:color w:val="0000FF"/>
                  <w:w w:val="90"/>
                </w:rPr>
                <w:t>Communities Operating Limited Partnership and Bruce Thelen dated March 30, 2022#</w:t>
              </w:r>
            </w:hyperlink>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10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right w:val="single" w:sz="8" w:color="auto"/>
            </w:tcBorders>
            <w:shd w:val="clear" w:color="auto" w:fill="CCEEFF"/>
          </w:tcPr>
          <w:p>
            <w:pPr>
              <w:spacing w:after="0"/>
              <w:rPr>
                <w:sz w:val="14"/>
                <w:szCs w:val="14"/>
                <w:color w:val="auto"/>
              </w:rPr>
            </w:pPr>
          </w:p>
        </w:tc>
        <w:tc>
          <w:tcPr>
            <w:tcW w:w="2840" w:type="dxa"/>
            <w:vAlign w:val="bottom"/>
            <w:tcBorders>
              <w:top w:val="single" w:sz="8" w:color="CCEEFF"/>
              <w:bottom w:val="single" w:sz="8" w:color="CCEEFF"/>
              <w:right w:val="single" w:sz="8" w:color="auto"/>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2"/>
              </w:rPr>
              <w:t>Communities Inc.'s Current Report on</w:t>
            </w:r>
          </w:p>
        </w:tc>
        <w:tc>
          <w:tcPr>
            <w:tcW w:w="0" w:type="dxa"/>
            <w:vAlign w:val="bottom"/>
          </w:tcPr>
          <w:p>
            <w:pPr>
              <w:spacing w:after="0"/>
              <w:rPr>
                <w:sz w:val="1"/>
                <w:szCs w:val="1"/>
                <w:color w:val="auto"/>
              </w:rPr>
            </w:pPr>
          </w:p>
        </w:tc>
      </w:tr>
      <w:tr>
        <w:trPr>
          <w:trHeight w:val="189"/>
        </w:trPr>
        <w:tc>
          <w:tcPr>
            <w:tcW w:w="182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9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right w:val="single" w:sz="8" w:color="auto"/>
            </w:tcBorders>
            <w:shd w:val="clear" w:color="auto" w:fill="CCEEFF"/>
          </w:tcPr>
          <w:p>
            <w:pPr>
              <w:spacing w:after="0"/>
              <w:rPr>
                <w:sz w:val="16"/>
                <w:szCs w:val="16"/>
                <w:color w:val="auto"/>
              </w:rPr>
            </w:pPr>
          </w:p>
        </w:tc>
        <w:tc>
          <w:tcPr>
            <w:tcW w:w="2840" w:type="dxa"/>
            <w:vAlign w:val="bottom"/>
            <w:tcBorders>
              <w:bottom w:val="single" w:sz="8" w:color="auto"/>
              <w:right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Form 8-K filed on April 1, 2022</w:t>
            </w: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Arial" w:cs="Arial" w:eastAsia="Arial" w:hAnsi="Arial"/>
                <w:sz w:val="18"/>
                <w:szCs w:val="18"/>
                <w:color w:val="auto"/>
              </w:rPr>
              <w:t>10.6</w:t>
            </w:r>
          </w:p>
        </w:tc>
        <w:tc>
          <w:tcPr>
            <w:tcW w:w="6260" w:type="dxa"/>
            <w:vAlign w:val="bottom"/>
            <w:gridSpan w:val="8"/>
          </w:tcPr>
          <w:p>
            <w:pPr>
              <w:spacing w:after="0" w:line="182" w:lineRule="exact"/>
              <w:rPr>
                <w:rFonts w:ascii="Arial" w:cs="Arial" w:eastAsia="Arial" w:hAnsi="Arial"/>
                <w:sz w:val="18"/>
                <w:szCs w:val="18"/>
                <w:color w:val="0000FF"/>
                <w:w w:val="96"/>
              </w:rPr>
            </w:pPr>
            <w:hyperlink r:id="rId77">
              <w:r>
                <w:rPr>
                  <w:rFonts w:ascii="Arial" w:cs="Arial" w:eastAsia="Arial" w:hAnsi="Arial"/>
                  <w:sz w:val="18"/>
                  <w:szCs w:val="18"/>
                  <w:color w:val="0000FF"/>
                  <w:w w:val="96"/>
                </w:rPr>
                <w:t>First  Amendment  to  Employment  Agreement  among  Sun  Communities,  Inc.,</w:t>
              </w:r>
            </w:hyperlink>
          </w:p>
        </w:tc>
        <w:tc>
          <w:tcPr>
            <w:tcW w:w="340" w:type="dxa"/>
            <w:vAlign w:val="bottom"/>
            <w:tcBorders>
              <w:right w:val="single" w:sz="8" w:color="auto"/>
            </w:tcBorders>
            <w:gridSpan w:val="6"/>
          </w:tcPr>
          <w:p>
            <w:pPr>
              <w:jc w:val="center"/>
              <w:ind w:right="20"/>
              <w:spacing w:after="0" w:line="182" w:lineRule="exact"/>
              <w:rPr>
                <w:rFonts w:ascii="Arial" w:cs="Arial" w:eastAsia="Arial" w:hAnsi="Arial"/>
                <w:sz w:val="18"/>
                <w:szCs w:val="18"/>
                <w:color w:val="0000FF"/>
                <w:w w:val="87"/>
              </w:rPr>
            </w:pPr>
            <w:hyperlink r:id="rId77">
              <w:r>
                <w:rPr>
                  <w:rFonts w:ascii="Arial" w:cs="Arial" w:eastAsia="Arial" w:hAnsi="Arial"/>
                  <w:sz w:val="18"/>
                  <w:szCs w:val="18"/>
                  <w:color w:val="0000FF"/>
                  <w:w w:val="87"/>
                </w:rPr>
                <w:t>Sun</w:t>
              </w:r>
            </w:hyperlink>
          </w:p>
        </w:tc>
        <w:tc>
          <w:tcPr>
            <w:tcW w:w="28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Incorporated by reference to Sun</w:t>
            </w:r>
          </w:p>
        </w:tc>
        <w:tc>
          <w:tcPr>
            <w:tcW w:w="0" w:type="dxa"/>
            <w:vAlign w:val="bottom"/>
          </w:tcPr>
          <w:p>
            <w:pPr>
              <w:spacing w:after="0"/>
              <w:rPr>
                <w:sz w:val="1"/>
                <w:szCs w:val="1"/>
                <w:color w:val="auto"/>
              </w:rPr>
            </w:pPr>
          </w:p>
        </w:tc>
      </w:tr>
      <w:tr>
        <w:trPr>
          <w:trHeight w:val="163"/>
        </w:trPr>
        <w:tc>
          <w:tcPr>
            <w:tcW w:w="1820" w:type="dxa"/>
            <w:vAlign w:val="bottom"/>
            <w:tcBorders>
              <w:left w:val="single" w:sz="8" w:color="auto"/>
              <w:right w:val="single" w:sz="8" w:color="auto"/>
            </w:tcBorders>
          </w:tcPr>
          <w:p>
            <w:pPr>
              <w:spacing w:after="0"/>
              <w:rPr>
                <w:sz w:val="14"/>
                <w:szCs w:val="14"/>
                <w:color w:val="auto"/>
              </w:rPr>
            </w:pPr>
          </w:p>
        </w:tc>
        <w:tc>
          <w:tcPr>
            <w:tcW w:w="6260" w:type="dxa"/>
            <w:vAlign w:val="bottom"/>
            <w:tcBorders>
              <w:top w:val="single" w:sz="8" w:color="0000FF"/>
            </w:tcBorders>
            <w:gridSpan w:val="8"/>
          </w:tcPr>
          <w:p>
            <w:pPr>
              <w:spacing w:after="0" w:line="15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Communities Operating Limited Partnership and Aaron Weiss dated March 30, 2022#</w:t>
              </w:r>
            </w:hyperlink>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right w:val="single" w:sz="8" w:color="auto"/>
            </w:tcBorders>
          </w:tcPr>
          <w:p>
            <w:pPr>
              <w:spacing w:after="0"/>
              <w:rPr>
                <w:sz w:val="14"/>
                <w:szCs w:val="14"/>
                <w:color w:val="auto"/>
              </w:rPr>
            </w:pPr>
          </w:p>
        </w:tc>
        <w:tc>
          <w:tcPr>
            <w:tcW w:w="2840" w:type="dxa"/>
            <w:vAlign w:val="bottom"/>
            <w:tcBorders>
              <w:right w:val="single" w:sz="8" w:color="auto"/>
            </w:tcBorders>
          </w:tcPr>
          <w:p>
            <w:pPr>
              <w:ind w:left="20"/>
              <w:spacing w:after="0" w:line="156" w:lineRule="exact"/>
              <w:rPr>
                <w:sz w:val="20"/>
                <w:szCs w:val="20"/>
                <w:color w:val="auto"/>
              </w:rPr>
            </w:pPr>
            <w:r>
              <w:rPr>
                <w:rFonts w:ascii="Arial" w:cs="Arial" w:eastAsia="Arial" w:hAnsi="Arial"/>
                <w:sz w:val="18"/>
                <w:szCs w:val="18"/>
                <w:color w:val="auto"/>
                <w:w w:val="92"/>
              </w:rPr>
              <w:t>Communities Inc.'s Current Report on</w:t>
            </w:r>
          </w:p>
        </w:tc>
        <w:tc>
          <w:tcPr>
            <w:tcW w:w="0" w:type="dxa"/>
            <w:vAlign w:val="bottom"/>
          </w:tcPr>
          <w:p>
            <w:pPr>
              <w:spacing w:after="0"/>
              <w:rPr>
                <w:sz w:val="1"/>
                <w:szCs w:val="1"/>
                <w:color w:val="auto"/>
              </w:rPr>
            </w:pPr>
          </w:p>
        </w:tc>
      </w:tr>
      <w:tr>
        <w:trPr>
          <w:trHeight w:val="189"/>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460" w:type="dxa"/>
            <w:vAlign w:val="bottom"/>
            <w:tcBorders>
              <w:top w:val="single" w:sz="8" w:color="0000FF"/>
              <w:bottom w:val="single" w:sz="8" w:color="auto"/>
            </w:tcBorders>
          </w:tcPr>
          <w:p>
            <w:pPr>
              <w:spacing w:after="0"/>
              <w:rPr>
                <w:sz w:val="16"/>
                <w:szCs w:val="16"/>
                <w:color w:val="auto"/>
              </w:rPr>
            </w:pPr>
          </w:p>
        </w:tc>
        <w:tc>
          <w:tcPr>
            <w:tcW w:w="1900" w:type="dxa"/>
            <w:vAlign w:val="bottom"/>
            <w:tcBorders>
              <w:top w:val="single" w:sz="8" w:color="0000FF"/>
              <w:bottom w:val="single" w:sz="8" w:color="auto"/>
            </w:tcBorders>
          </w:tcPr>
          <w:p>
            <w:pPr>
              <w:spacing w:after="0"/>
              <w:rPr>
                <w:sz w:val="16"/>
                <w:szCs w:val="16"/>
                <w:color w:val="auto"/>
              </w:rPr>
            </w:pPr>
          </w:p>
        </w:tc>
        <w:tc>
          <w:tcPr>
            <w:tcW w:w="340" w:type="dxa"/>
            <w:vAlign w:val="bottom"/>
            <w:tcBorders>
              <w:top w:val="single" w:sz="8" w:color="0000FF"/>
              <w:bottom w:val="single" w:sz="8" w:color="auto"/>
            </w:tcBorders>
          </w:tcPr>
          <w:p>
            <w:pPr>
              <w:spacing w:after="0"/>
              <w:rPr>
                <w:sz w:val="16"/>
                <w:szCs w:val="16"/>
                <w:color w:val="auto"/>
              </w:rPr>
            </w:pPr>
          </w:p>
        </w:tc>
        <w:tc>
          <w:tcPr>
            <w:tcW w:w="60" w:type="dxa"/>
            <w:vAlign w:val="bottom"/>
            <w:tcBorders>
              <w:top w:val="single" w:sz="8" w:color="0000FF"/>
              <w:bottom w:val="single" w:sz="8" w:color="auto"/>
            </w:tcBorders>
          </w:tcPr>
          <w:p>
            <w:pPr>
              <w:spacing w:after="0"/>
              <w:rPr>
                <w:sz w:val="16"/>
                <w:szCs w:val="16"/>
                <w:color w:val="auto"/>
              </w:rPr>
            </w:pPr>
          </w:p>
        </w:tc>
        <w:tc>
          <w:tcPr>
            <w:tcW w:w="640" w:type="dxa"/>
            <w:vAlign w:val="bottom"/>
            <w:tcBorders>
              <w:top w:val="single" w:sz="8" w:color="0000FF"/>
              <w:bottom w:val="single" w:sz="8" w:color="auto"/>
            </w:tcBorders>
          </w:tcPr>
          <w:p>
            <w:pPr>
              <w:spacing w:after="0"/>
              <w:rPr>
                <w:sz w:val="16"/>
                <w:szCs w:val="16"/>
                <w:color w:val="auto"/>
              </w:rPr>
            </w:pPr>
          </w:p>
        </w:tc>
        <w:tc>
          <w:tcPr>
            <w:tcW w:w="1220" w:type="dxa"/>
            <w:vAlign w:val="bottom"/>
            <w:tcBorders>
              <w:top w:val="single" w:sz="8" w:color="0000FF"/>
              <w:bottom w:val="single" w:sz="8" w:color="auto"/>
            </w:tcBorders>
          </w:tcPr>
          <w:p>
            <w:pPr>
              <w:spacing w:after="0"/>
              <w:rPr>
                <w:sz w:val="16"/>
                <w:szCs w:val="16"/>
                <w:color w:val="auto"/>
              </w:rPr>
            </w:pPr>
          </w:p>
        </w:tc>
        <w:tc>
          <w:tcPr>
            <w:tcW w:w="1580" w:type="dxa"/>
            <w:vAlign w:val="bottom"/>
            <w:tcBorders>
              <w:top w:val="single" w:sz="8" w:color="0000FF"/>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2840" w:type="dxa"/>
            <w:vAlign w:val="bottom"/>
            <w:tcBorders>
              <w:bottom w:val="single" w:sz="8" w:color="auto"/>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Form 8-K filed on April 1, 2022</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22.1</w:t>
            </w:r>
          </w:p>
        </w:tc>
        <w:tc>
          <w:tcPr>
            <w:tcW w:w="6260" w:type="dxa"/>
            <w:vAlign w:val="bottom"/>
            <w:tcBorders>
              <w:bottom w:val="single" w:sz="8" w:color="auto"/>
            </w:tcBorders>
            <w:gridSpan w:val="8"/>
            <w:shd w:val="clear" w:color="auto" w:fill="CCEEFF"/>
          </w:tcPr>
          <w:p>
            <w:pPr>
              <w:spacing w:after="0" w:line="182" w:lineRule="exact"/>
              <w:rPr>
                <w:rFonts w:ascii="Arial" w:cs="Arial" w:eastAsia="Arial" w:hAnsi="Arial"/>
                <w:sz w:val="18"/>
                <w:szCs w:val="18"/>
                <w:color w:val="0000FF"/>
              </w:rPr>
            </w:pPr>
            <w:hyperlink w:anchor="page65">
              <w:r>
                <w:rPr>
                  <w:rFonts w:ascii="Arial" w:cs="Arial" w:eastAsia="Arial" w:hAnsi="Arial"/>
                  <w:sz w:val="18"/>
                  <w:szCs w:val="18"/>
                  <w:color w:val="0000FF"/>
                </w:rPr>
                <w:t>List of issuers of guaranteed securities</w:t>
              </w:r>
            </w:hyperlink>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right w:val="single" w:sz="8" w:color="auto"/>
            </w:tcBorders>
            <w:shd w:val="clear" w:color="auto" w:fill="CCEEFF"/>
          </w:tcPr>
          <w:p>
            <w:pPr>
              <w:spacing w:after="0"/>
              <w:rPr>
                <w:sz w:val="19"/>
                <w:szCs w:val="19"/>
                <w:color w:val="auto"/>
              </w:rPr>
            </w:pPr>
          </w:p>
        </w:tc>
        <w:tc>
          <w:tcPr>
            <w:tcW w:w="2840" w:type="dxa"/>
            <w:vAlign w:val="bottom"/>
            <w:tcBorders>
              <w:bottom w:val="single" w:sz="8" w:color="auto"/>
              <w:right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Arial" w:cs="Arial" w:eastAsia="Arial" w:hAnsi="Arial"/>
                <w:sz w:val="18"/>
                <w:szCs w:val="18"/>
                <w:color w:val="auto"/>
              </w:rPr>
              <w:t>31.1</w:t>
            </w:r>
          </w:p>
        </w:tc>
        <w:tc>
          <w:tcPr>
            <w:tcW w:w="6360" w:type="dxa"/>
            <w:vAlign w:val="bottom"/>
            <w:tcBorders>
              <w:bottom w:val="single" w:sz="8" w:color="0000FF"/>
            </w:tcBorders>
            <w:gridSpan w:val="10"/>
          </w:tcPr>
          <w:p>
            <w:pPr>
              <w:spacing w:after="0" w:line="182" w:lineRule="exact"/>
              <w:rPr>
                <w:rFonts w:ascii="Arial" w:cs="Arial" w:eastAsia="Arial" w:hAnsi="Arial"/>
                <w:sz w:val="18"/>
                <w:szCs w:val="18"/>
                <w:color w:val="0000FF"/>
                <w:w w:val="91"/>
              </w:rPr>
            </w:pPr>
            <w:hyperlink w:anchor="page66">
              <w:r>
                <w:rPr>
                  <w:rFonts w:ascii="Arial" w:cs="Arial" w:eastAsia="Arial" w:hAnsi="Arial"/>
                  <w:sz w:val="18"/>
                  <w:szCs w:val="18"/>
                  <w:color w:val="0000FF"/>
                  <w:w w:val="91"/>
                </w:rPr>
                <w:t>Certification of Chief Executive Officer pursuant to Securities Exchange Act Rules 13a-</w:t>
              </w:r>
            </w:hyperlink>
          </w:p>
        </w:tc>
        <w:tc>
          <w:tcPr>
            <w:tcW w:w="240" w:type="dxa"/>
            <w:vAlign w:val="bottom"/>
            <w:tcBorders>
              <w:right w:val="single" w:sz="8" w:color="auto"/>
            </w:tcBorders>
            <w:gridSpan w:val="4"/>
          </w:tcPr>
          <w:p>
            <w:pPr>
              <w:spacing w:after="0"/>
              <w:rPr>
                <w:sz w:val="15"/>
                <w:szCs w:val="15"/>
                <w:color w:val="auto"/>
              </w:rPr>
            </w:pPr>
          </w:p>
        </w:tc>
        <w:tc>
          <w:tcPr>
            <w:tcW w:w="28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56"/>
        </w:trPr>
        <w:tc>
          <w:tcPr>
            <w:tcW w:w="1820" w:type="dxa"/>
            <w:vAlign w:val="bottom"/>
            <w:tcBorders>
              <w:left w:val="single" w:sz="8" w:color="auto"/>
              <w:right w:val="single" w:sz="8" w:color="auto"/>
            </w:tcBorders>
          </w:tcPr>
          <w:p>
            <w:pPr>
              <w:spacing w:after="0"/>
              <w:rPr>
                <w:sz w:val="13"/>
                <w:szCs w:val="13"/>
                <w:color w:val="auto"/>
              </w:rPr>
            </w:pPr>
          </w:p>
        </w:tc>
        <w:tc>
          <w:tcPr>
            <w:tcW w:w="6600" w:type="dxa"/>
            <w:vAlign w:val="bottom"/>
            <w:tcBorders>
              <w:right w:val="single" w:sz="8" w:color="auto"/>
            </w:tcBorders>
            <w:gridSpan w:val="14"/>
          </w:tcPr>
          <w:p>
            <w:pPr>
              <w:spacing w:after="0" w:line="156" w:lineRule="exact"/>
              <w:rPr>
                <w:rFonts w:ascii="Arial" w:cs="Arial" w:eastAsia="Arial" w:hAnsi="Arial"/>
                <w:sz w:val="18"/>
                <w:szCs w:val="18"/>
                <w:color w:val="0000FF"/>
                <w:w w:val="91"/>
              </w:rPr>
            </w:pPr>
            <w:hyperlink w:anchor="page66">
              <w:r>
                <w:rPr>
                  <w:rFonts w:ascii="Arial" w:cs="Arial" w:eastAsia="Arial" w:hAnsi="Arial"/>
                  <w:sz w:val="18"/>
                  <w:szCs w:val="18"/>
                  <w:color w:val="0000FF"/>
                  <w:w w:val="91"/>
                </w:rPr>
                <w:t>14(a)/15(d)-14(a), as adopted pursuant to Section 302 of the Sarbanes-Oxley Act of 2002.</w:t>
              </w:r>
            </w:hyperlink>
          </w:p>
        </w:tc>
        <w:tc>
          <w:tcPr>
            <w:tcW w:w="2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90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22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2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820" w:type="dxa"/>
            <w:vAlign w:val="bottom"/>
            <w:tcBorders>
              <w:left w:val="single" w:sz="8" w:color="auto"/>
              <w:right w:val="single" w:sz="8" w:color="auto"/>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31.2</w:t>
            </w:r>
          </w:p>
        </w:tc>
        <w:tc>
          <w:tcPr>
            <w:tcW w:w="6600" w:type="dxa"/>
            <w:vAlign w:val="bottom"/>
            <w:tcBorders>
              <w:right w:val="single" w:sz="8" w:color="auto"/>
            </w:tcBorders>
            <w:gridSpan w:val="14"/>
            <w:shd w:val="clear" w:color="auto" w:fill="CCEEFF"/>
          </w:tcPr>
          <w:p>
            <w:pPr>
              <w:spacing w:after="0" w:line="182" w:lineRule="exact"/>
              <w:rPr>
                <w:rFonts w:ascii="Arial" w:cs="Arial" w:eastAsia="Arial" w:hAnsi="Arial"/>
                <w:sz w:val="18"/>
                <w:szCs w:val="18"/>
                <w:color w:val="0000FF"/>
                <w:w w:val="95"/>
              </w:rPr>
            </w:pPr>
            <w:hyperlink w:anchor="page67">
              <w:r>
                <w:rPr>
                  <w:rFonts w:ascii="Arial" w:cs="Arial" w:eastAsia="Arial" w:hAnsi="Arial"/>
                  <w:sz w:val="18"/>
                  <w:szCs w:val="18"/>
                  <w:color w:val="0000FF"/>
                  <w:w w:val="95"/>
                </w:rPr>
                <w:t>Certification of Chief Financial Officer pursuant to Securities Exchange Act Rules 13a-</w:t>
              </w:r>
            </w:hyperlink>
          </w:p>
        </w:tc>
        <w:tc>
          <w:tcPr>
            <w:tcW w:w="2840" w:type="dxa"/>
            <w:vAlign w:val="bottom"/>
            <w:tcBorders>
              <w:right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182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3940" w:type="dxa"/>
            <w:vAlign w:val="bottom"/>
            <w:gridSpan w:val="7"/>
            <w:shd w:val="clear" w:color="auto" w:fill="0000FF"/>
          </w:tcPr>
          <w:p>
            <w:pPr>
              <w:spacing w:after="0" w:line="20" w:lineRule="exact"/>
              <w:rPr>
                <w:sz w:val="1"/>
                <w:szCs w:val="1"/>
                <w:color w:val="auto"/>
              </w:rPr>
            </w:pPr>
          </w:p>
        </w:tc>
        <w:tc>
          <w:tcPr>
            <w:tcW w:w="300" w:type="dxa"/>
            <w:vAlign w:val="bottom"/>
            <w:tcBorders>
              <w:right w:val="single" w:sz="8" w:color="auto"/>
            </w:tcBorders>
            <w:gridSpan w:val="5"/>
            <w:shd w:val="clear" w:color="auto" w:fill="CCEEFF"/>
          </w:tcPr>
          <w:p>
            <w:pPr>
              <w:spacing w:after="0" w:line="20" w:lineRule="exact"/>
              <w:rPr>
                <w:sz w:val="1"/>
                <w:szCs w:val="1"/>
                <w:color w:val="auto"/>
              </w:rPr>
            </w:pPr>
          </w:p>
        </w:tc>
        <w:tc>
          <w:tcPr>
            <w:tcW w:w="284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20" w:type="dxa"/>
            <w:vAlign w:val="bottom"/>
            <w:tcBorders>
              <w:left w:val="single" w:sz="8" w:color="auto"/>
              <w:bottom w:val="single" w:sz="8" w:color="auto"/>
              <w:right w:val="single" w:sz="8" w:color="auto"/>
            </w:tcBorders>
            <w:shd w:val="clear" w:color="auto" w:fill="CCEEFF"/>
          </w:tcPr>
          <w:p>
            <w:pPr>
              <w:spacing w:after="0"/>
              <w:rPr>
                <w:sz w:val="17"/>
                <w:szCs w:val="17"/>
                <w:color w:val="auto"/>
              </w:rPr>
            </w:pPr>
          </w:p>
        </w:tc>
        <w:tc>
          <w:tcPr>
            <w:tcW w:w="6600" w:type="dxa"/>
            <w:vAlign w:val="bottom"/>
            <w:tcBorders>
              <w:bottom w:val="single" w:sz="8" w:color="auto"/>
              <w:right w:val="single" w:sz="8" w:color="auto"/>
            </w:tcBorders>
            <w:gridSpan w:val="14"/>
            <w:shd w:val="clear" w:color="auto" w:fill="CCEEFF"/>
          </w:tcPr>
          <w:p>
            <w:pPr>
              <w:spacing w:after="0" w:line="156" w:lineRule="exact"/>
              <w:rPr>
                <w:rFonts w:ascii="Arial" w:cs="Arial" w:eastAsia="Arial" w:hAnsi="Arial"/>
                <w:sz w:val="18"/>
                <w:szCs w:val="18"/>
                <w:color w:val="0000FF"/>
                <w:w w:val="91"/>
              </w:rPr>
            </w:pPr>
            <w:hyperlink w:anchor="page67">
              <w:r>
                <w:rPr>
                  <w:rFonts w:ascii="Arial" w:cs="Arial" w:eastAsia="Arial" w:hAnsi="Arial"/>
                  <w:sz w:val="18"/>
                  <w:szCs w:val="18"/>
                  <w:color w:val="0000FF"/>
                  <w:w w:val="91"/>
                </w:rPr>
                <w:t>14(a)/15(d)-14(a), as adopted pursuant to Section 302 of the Sarbanes-Oxley Act of 2002.</w:t>
              </w:r>
            </w:hyperlink>
          </w:p>
        </w:tc>
        <w:tc>
          <w:tcPr>
            <w:tcW w:w="284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right w:val="single" w:sz="8" w:color="auto"/>
            </w:tcBorders>
          </w:tcPr>
          <w:p>
            <w:pPr>
              <w:ind w:left="140"/>
              <w:spacing w:after="0" w:line="182" w:lineRule="exact"/>
              <w:rPr>
                <w:sz w:val="20"/>
                <w:szCs w:val="20"/>
                <w:color w:val="auto"/>
              </w:rPr>
            </w:pPr>
            <w:r>
              <w:rPr>
                <w:rFonts w:ascii="Arial" w:cs="Arial" w:eastAsia="Arial" w:hAnsi="Arial"/>
                <w:sz w:val="18"/>
                <w:szCs w:val="18"/>
                <w:color w:val="auto"/>
              </w:rPr>
              <w:t>32.1</w:t>
            </w:r>
          </w:p>
        </w:tc>
        <w:tc>
          <w:tcPr>
            <w:tcW w:w="6600" w:type="dxa"/>
            <w:vAlign w:val="bottom"/>
            <w:tcBorders>
              <w:right w:val="single" w:sz="8" w:color="auto"/>
            </w:tcBorders>
            <w:gridSpan w:val="14"/>
          </w:tcPr>
          <w:p>
            <w:pPr>
              <w:spacing w:after="0" w:line="182" w:lineRule="exact"/>
              <w:rPr>
                <w:rFonts w:ascii="Arial" w:cs="Arial" w:eastAsia="Arial" w:hAnsi="Arial"/>
                <w:sz w:val="18"/>
                <w:szCs w:val="18"/>
                <w:color w:val="0000FF"/>
                <w:w w:val="94"/>
              </w:rPr>
            </w:pPr>
            <w:hyperlink w:anchor="page68">
              <w:r>
                <w:rPr>
                  <w:rFonts w:ascii="Arial" w:cs="Arial" w:eastAsia="Arial" w:hAnsi="Arial"/>
                  <w:sz w:val="18"/>
                  <w:szCs w:val="18"/>
                  <w:color w:val="0000FF"/>
                  <w:w w:val="94"/>
                </w:rPr>
                <w:t>Certification pursuant to 18 U.S.C. Section 1350, as adopted pursuant to Section 906 of</w:t>
              </w:r>
            </w:hyperlink>
          </w:p>
        </w:tc>
        <w:tc>
          <w:tcPr>
            <w:tcW w:w="284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56"/>
        </w:trPr>
        <w:tc>
          <w:tcPr>
            <w:tcW w:w="1820" w:type="dxa"/>
            <w:vAlign w:val="bottom"/>
            <w:tcBorders>
              <w:left w:val="single" w:sz="8" w:color="auto"/>
              <w:right w:val="single" w:sz="8" w:color="auto"/>
            </w:tcBorders>
          </w:tcPr>
          <w:p>
            <w:pPr>
              <w:spacing w:after="0"/>
              <w:rPr>
                <w:sz w:val="13"/>
                <w:szCs w:val="13"/>
                <w:color w:val="auto"/>
              </w:rPr>
            </w:pPr>
          </w:p>
        </w:tc>
        <w:tc>
          <w:tcPr>
            <w:tcW w:w="626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68">
              <w:r>
                <w:rPr>
                  <w:rFonts w:ascii="Arial" w:cs="Arial" w:eastAsia="Arial" w:hAnsi="Arial"/>
                  <w:sz w:val="18"/>
                  <w:szCs w:val="18"/>
                  <w:color w:val="0000FF"/>
                </w:rPr>
                <w:t>the Sarbanes-Oxley Act of 2002.</w:t>
              </w:r>
            </w:hyperlink>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right w:val="single" w:sz="8" w:color="auto"/>
            </w:tcBorders>
          </w:tcPr>
          <w:p>
            <w:pPr>
              <w:spacing w:after="0"/>
              <w:rPr>
                <w:sz w:val="13"/>
                <w:szCs w:val="13"/>
                <w:color w:val="auto"/>
              </w:rPr>
            </w:pPr>
          </w:p>
        </w:tc>
        <w:tc>
          <w:tcPr>
            <w:tcW w:w="2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90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28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1820" w:type="dxa"/>
            <w:vAlign w:val="bottom"/>
            <w:tcBorders>
              <w:left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101.INS</w:t>
            </w:r>
          </w:p>
        </w:tc>
        <w:tc>
          <w:tcPr>
            <w:tcW w:w="62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right w:val="single" w:sz="8" w:color="auto"/>
            </w:tcBorders>
            <w:shd w:val="clear" w:color="auto" w:fill="CCEEFF"/>
          </w:tcPr>
          <w:p>
            <w:pPr>
              <w:spacing w:after="0"/>
              <w:rPr>
                <w:sz w:val="19"/>
                <w:szCs w:val="19"/>
                <w:color w:val="auto"/>
              </w:rPr>
            </w:pPr>
          </w:p>
        </w:tc>
        <w:tc>
          <w:tcPr>
            <w:tcW w:w="284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The instance document does not</w:t>
            </w:r>
          </w:p>
        </w:tc>
        <w:tc>
          <w:tcPr>
            <w:tcW w:w="0" w:type="dxa"/>
            <w:vAlign w:val="bottom"/>
          </w:tcPr>
          <w:p>
            <w:pPr>
              <w:spacing w:after="0"/>
              <w:rPr>
                <w:sz w:val="1"/>
                <w:szCs w:val="1"/>
                <w:color w:val="auto"/>
              </w:rPr>
            </w:pPr>
          </w:p>
        </w:tc>
      </w:tr>
      <w:tr>
        <w:trPr>
          <w:trHeight w:val="40"/>
        </w:trPr>
        <w:tc>
          <w:tcPr>
            <w:tcW w:w="1820" w:type="dxa"/>
            <w:vAlign w:val="bottom"/>
            <w:tcBorders>
              <w:left w:val="single" w:sz="8" w:color="auto"/>
              <w:right w:val="single" w:sz="8" w:color="auto"/>
            </w:tcBorders>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tcBorders>
              <w:right w:val="single" w:sz="8" w:color="auto"/>
            </w:tcBorders>
            <w:shd w:val="clear" w:color="auto" w:fill="CCEEFF"/>
          </w:tcPr>
          <w:p>
            <w:pPr>
              <w:spacing w:after="0"/>
              <w:rPr>
                <w:sz w:val="3"/>
                <w:szCs w:val="3"/>
                <w:color w:val="auto"/>
              </w:rPr>
            </w:pPr>
          </w:p>
        </w:tc>
        <w:tc>
          <w:tcPr>
            <w:tcW w:w="2840" w:type="dxa"/>
            <w:vAlign w:val="bottom"/>
            <w:tcBorders>
              <w:right w:val="single" w:sz="8" w:color="auto"/>
            </w:tcBorders>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1820" w:type="dxa"/>
            <w:vAlign w:val="bottom"/>
            <w:tcBorders>
              <w:left w:val="single" w:sz="8" w:color="auto"/>
              <w:right w:val="single" w:sz="8" w:color="auto"/>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right w:val="single" w:sz="8" w:color="auto"/>
            </w:tcBorders>
            <w:shd w:val="clear" w:color="auto" w:fill="CCEEFF"/>
          </w:tcPr>
          <w:p>
            <w:pPr>
              <w:spacing w:after="0"/>
              <w:rPr>
                <w:sz w:val="15"/>
                <w:szCs w:val="15"/>
                <w:color w:val="auto"/>
              </w:rPr>
            </w:pPr>
          </w:p>
        </w:tc>
        <w:tc>
          <w:tcPr>
            <w:tcW w:w="2840" w:type="dxa"/>
            <w:vAlign w:val="bottom"/>
            <w:tcBorders>
              <w:right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appear in the Interactive Data File</w:t>
            </w:r>
          </w:p>
        </w:tc>
        <w:tc>
          <w:tcPr>
            <w:tcW w:w="0" w:type="dxa"/>
            <w:vAlign w:val="bottom"/>
          </w:tcPr>
          <w:p>
            <w:pPr>
              <w:spacing w:after="0"/>
              <w:rPr>
                <w:sz w:val="1"/>
                <w:szCs w:val="1"/>
                <w:color w:val="auto"/>
              </w:rPr>
            </w:pPr>
          </w:p>
        </w:tc>
      </w:tr>
      <w:tr>
        <w:trPr>
          <w:trHeight w:val="175"/>
        </w:trPr>
        <w:tc>
          <w:tcPr>
            <w:tcW w:w="1820" w:type="dxa"/>
            <w:vAlign w:val="bottom"/>
            <w:tcBorders>
              <w:left w:val="single" w:sz="8" w:color="auto"/>
              <w:right w:val="single" w:sz="8" w:color="auto"/>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right w:val="single" w:sz="8" w:color="auto"/>
            </w:tcBorders>
            <w:shd w:val="clear" w:color="auto" w:fill="CCEEFF"/>
          </w:tcPr>
          <w:p>
            <w:pPr>
              <w:spacing w:after="0"/>
              <w:rPr>
                <w:sz w:val="15"/>
                <w:szCs w:val="15"/>
                <w:color w:val="auto"/>
              </w:rPr>
            </w:pPr>
          </w:p>
        </w:tc>
        <w:tc>
          <w:tcPr>
            <w:tcW w:w="2840" w:type="dxa"/>
            <w:vAlign w:val="bottom"/>
            <w:tcBorders>
              <w:right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because its XBRL tags are embedded</w:t>
            </w: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tcBorders>
              <w:right w:val="single" w:sz="8" w:color="auto"/>
            </w:tcBorders>
            <w:shd w:val="clear" w:color="auto" w:fill="CCEEFF"/>
          </w:tcPr>
          <w:p>
            <w:pPr>
              <w:spacing w:after="0"/>
              <w:rPr>
                <w:sz w:val="20"/>
                <w:szCs w:val="20"/>
                <w:color w:val="auto"/>
              </w:rPr>
            </w:pPr>
          </w:p>
        </w:tc>
        <w:tc>
          <w:tcPr>
            <w:tcW w:w="284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80"/>
        </w:trPr>
        <w:tc>
          <w:tcPr>
            <w:tcW w:w="1820" w:type="dxa"/>
            <w:vAlign w:val="bottom"/>
            <w:tcBorders>
              <w:left w:val="single" w:sz="8" w:color="auto"/>
              <w:bottom w:val="single" w:sz="8" w:color="auto"/>
              <w:right w:val="single" w:sz="8" w:color="auto"/>
            </w:tcBorders>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90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shd w:val="clear" w:color="auto" w:fill="CCEEFF"/>
          </w:tcPr>
          <w:p>
            <w:pPr>
              <w:spacing w:after="0"/>
              <w:rPr>
                <w:sz w:val="6"/>
                <w:szCs w:val="6"/>
                <w:color w:val="auto"/>
              </w:rPr>
            </w:pPr>
          </w:p>
        </w:tc>
        <w:tc>
          <w:tcPr>
            <w:tcW w:w="1580" w:type="dxa"/>
            <w:vAlign w:val="bottom"/>
            <w:tcBorders>
              <w:bottom w:val="single" w:sz="8" w:color="auto"/>
            </w:tcBorders>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60" w:type="dxa"/>
            <w:vAlign w:val="bottom"/>
            <w:tcBorders>
              <w:bottom w:val="single" w:sz="8" w:color="auto"/>
              <w:right w:val="single" w:sz="8" w:color="auto"/>
            </w:tcBorders>
            <w:shd w:val="clear" w:color="auto" w:fill="CCEEFF"/>
          </w:tcPr>
          <w:p>
            <w:pPr>
              <w:spacing w:after="0"/>
              <w:rPr>
                <w:sz w:val="6"/>
                <w:szCs w:val="6"/>
                <w:color w:val="auto"/>
              </w:rPr>
            </w:pPr>
          </w:p>
        </w:tc>
        <w:tc>
          <w:tcPr>
            <w:tcW w:w="2840" w:type="dxa"/>
            <w:vAlign w:val="bottom"/>
            <w:tcBorders>
              <w:bottom w:val="single" w:sz="8" w:color="auto"/>
              <w:right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101.SCH</w:t>
            </w:r>
          </w:p>
        </w:tc>
        <w:tc>
          <w:tcPr>
            <w:tcW w:w="626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101.CAL</w:t>
            </w:r>
          </w:p>
        </w:tc>
        <w:tc>
          <w:tcPr>
            <w:tcW w:w="6260" w:type="dxa"/>
            <w:vAlign w:val="bottom"/>
            <w:tcBorders>
              <w:bottom w:val="single" w:sz="8" w:color="auto"/>
            </w:tcBorders>
            <w:gridSpan w:val="8"/>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right w:val="single" w:sz="8" w:color="auto"/>
            </w:tcBorders>
            <w:shd w:val="clear" w:color="auto" w:fill="CCEEFF"/>
          </w:tcPr>
          <w:p>
            <w:pPr>
              <w:spacing w:after="0"/>
              <w:rPr>
                <w:sz w:val="19"/>
                <w:szCs w:val="19"/>
                <w:color w:val="auto"/>
              </w:rPr>
            </w:pP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101.LAB</w:t>
            </w:r>
          </w:p>
        </w:tc>
        <w:tc>
          <w:tcPr>
            <w:tcW w:w="626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101.PRE</w:t>
            </w:r>
          </w:p>
        </w:tc>
        <w:tc>
          <w:tcPr>
            <w:tcW w:w="6260" w:type="dxa"/>
            <w:vAlign w:val="bottom"/>
            <w:tcBorders>
              <w:bottom w:val="single" w:sz="8" w:color="auto"/>
            </w:tcBorders>
            <w:gridSpan w:val="8"/>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right w:val="single" w:sz="8" w:color="auto"/>
            </w:tcBorders>
            <w:shd w:val="clear" w:color="auto" w:fill="CCEEFF"/>
          </w:tcPr>
          <w:p>
            <w:pPr>
              <w:spacing w:after="0"/>
              <w:rPr>
                <w:sz w:val="19"/>
                <w:szCs w:val="19"/>
                <w:color w:val="auto"/>
              </w:rPr>
            </w:pP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3"/>
        </w:trPr>
        <w:tc>
          <w:tcPr>
            <w:tcW w:w="18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101.DEF</w:t>
            </w:r>
          </w:p>
        </w:tc>
        <w:tc>
          <w:tcPr>
            <w:tcW w:w="626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69"/>
        </w:trPr>
        <w:tc>
          <w:tcPr>
            <w:tcW w:w="1820" w:type="dxa"/>
            <w:vAlign w:val="bottom"/>
            <w:tcBorders>
              <w:left w:val="single" w:sz="8" w:color="auto"/>
              <w:right w:val="single" w:sz="8" w:color="auto"/>
            </w:tcBorders>
            <w:shd w:val="clear" w:color="auto" w:fill="CCEEFF"/>
          </w:tcPr>
          <w:p>
            <w:pPr>
              <w:ind w:left="140"/>
              <w:spacing w:after="0" w:line="169" w:lineRule="exact"/>
              <w:rPr>
                <w:sz w:val="20"/>
                <w:szCs w:val="20"/>
                <w:color w:val="auto"/>
              </w:rPr>
            </w:pPr>
            <w:r>
              <w:rPr>
                <w:rFonts w:ascii="Arial" w:cs="Arial" w:eastAsia="Arial" w:hAnsi="Arial"/>
                <w:sz w:val="18"/>
                <w:szCs w:val="18"/>
                <w:color w:val="auto"/>
              </w:rPr>
              <w:t>104</w:t>
            </w:r>
          </w:p>
        </w:tc>
        <w:tc>
          <w:tcPr>
            <w:tcW w:w="6600" w:type="dxa"/>
            <w:vAlign w:val="bottom"/>
            <w:tcBorders>
              <w:right w:val="single" w:sz="8" w:color="auto"/>
            </w:tcBorders>
            <w:gridSpan w:val="14"/>
            <w:shd w:val="clear" w:color="auto" w:fill="CCEEFF"/>
          </w:tcPr>
          <w:p>
            <w:pPr>
              <w:spacing w:after="0" w:line="169" w:lineRule="exact"/>
              <w:rPr>
                <w:sz w:val="20"/>
                <w:szCs w:val="20"/>
                <w:color w:val="auto"/>
              </w:rPr>
            </w:pPr>
            <w:r>
              <w:rPr>
                <w:rFonts w:ascii="Arial" w:cs="Arial" w:eastAsia="Arial" w:hAnsi="Arial"/>
                <w:sz w:val="18"/>
                <w:szCs w:val="18"/>
                <w:color w:val="auto"/>
                <w:w w:val="93"/>
              </w:rPr>
              <w:t>Cover Page Interactive Data File (embedded within the Inline XBRL document contained</w:t>
            </w:r>
          </w:p>
        </w:tc>
        <w:tc>
          <w:tcPr>
            <w:tcW w:w="2840" w:type="dxa"/>
            <w:vAlign w:val="bottom"/>
            <w:tcBorders>
              <w:right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9"/>
        </w:trPr>
        <w:tc>
          <w:tcPr>
            <w:tcW w:w="18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6260" w:type="dxa"/>
            <w:vAlign w:val="bottom"/>
            <w:tcBorders>
              <w:bottom w:val="single" w:sz="8" w:color="auto"/>
            </w:tcBorders>
            <w:gridSpan w:val="8"/>
            <w:shd w:val="clear" w:color="auto" w:fill="CCEEFF"/>
          </w:tcPr>
          <w:p>
            <w:pPr>
              <w:spacing w:after="0"/>
              <w:rPr>
                <w:sz w:val="20"/>
                <w:szCs w:val="20"/>
                <w:color w:val="auto"/>
              </w:rPr>
            </w:pPr>
            <w:r>
              <w:rPr>
                <w:rFonts w:ascii="Arial" w:cs="Arial" w:eastAsia="Arial" w:hAnsi="Arial"/>
                <w:sz w:val="18"/>
                <w:szCs w:val="18"/>
                <w:color w:val="auto"/>
              </w:rPr>
              <w:t>in Exhibit 101)</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right w:val="single" w:sz="8" w:color="auto"/>
            </w:tcBorders>
            <w:shd w:val="clear" w:color="auto" w:fill="CCEEFF"/>
          </w:tcPr>
          <w:p>
            <w:pPr>
              <w:spacing w:after="0"/>
              <w:rPr>
                <w:sz w:val="19"/>
                <w:szCs w:val="19"/>
                <w:color w:val="auto"/>
              </w:rPr>
            </w:pPr>
          </w:p>
        </w:tc>
        <w:tc>
          <w:tcPr>
            <w:tcW w:w="284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5" w:right="31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20"/>
        <w:spacing w:after="0"/>
        <w:tabs>
          <w:tab w:leader="none" w:pos="4200" w:val="left"/>
          <w:tab w:leader="none" w:pos="4660" w:val="left"/>
        </w:tabs>
        <w:rPr>
          <w:sz w:val="20"/>
          <w:szCs w:val="20"/>
          <w:color w:val="auto"/>
        </w:rPr>
      </w:pPr>
      <w:r>
        <w:rPr>
          <w:rFonts w:ascii="Arial" w:cs="Arial" w:eastAsia="Arial" w:hAnsi="Arial"/>
          <w:sz w:val="18"/>
          <w:szCs w:val="18"/>
          <w:color w:val="auto"/>
        </w:rPr>
        <w:t>Dated: April 26,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Karen J. Dearing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14605</wp:posOffset>
            </wp:positionV>
            <wp:extent cx="36175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Karen J. Dearing, Chief Financial Officer and Secretary</w:t>
      </w:r>
    </w:p>
    <w:p>
      <w:pPr>
        <w:ind w:left="468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364"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22"/>
          <w:szCs w:val="22"/>
          <w:b w:val="1"/>
          <w:bCs w:val="1"/>
          <w:color w:val="auto"/>
        </w:rPr>
        <w:t>SECOND AMENDMENT TO SUN COMMUNITIES, INC.</w:t>
      </w:r>
    </w:p>
    <w:p>
      <w:pPr>
        <w:jc w:val="center"/>
        <w:ind w:right="-19"/>
        <w:spacing w:after="0" w:line="204" w:lineRule="auto"/>
        <w:rPr>
          <w:sz w:val="20"/>
          <w:szCs w:val="20"/>
          <w:color w:val="auto"/>
        </w:rPr>
      </w:pPr>
      <w:r>
        <w:rPr>
          <w:rFonts w:ascii="Arial" w:cs="Arial" w:eastAsia="Arial" w:hAnsi="Arial"/>
          <w:sz w:val="22"/>
          <w:szCs w:val="22"/>
          <w:b w:val="1"/>
          <w:bCs w:val="1"/>
          <w:color w:val="auto"/>
        </w:rPr>
        <w:t>FIRST AMENDED AND RESTATED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2004 NON-EMPLOYEE DIRECTOR OPTION PLAN</w:t>
      </w:r>
    </w:p>
    <w:p>
      <w:pPr>
        <w:spacing w:after="0" w:line="188" w:lineRule="exact"/>
        <w:rPr>
          <w:sz w:val="20"/>
          <w:szCs w:val="20"/>
          <w:color w:val="auto"/>
        </w:rPr>
      </w:pPr>
    </w:p>
    <w:p>
      <w:pPr>
        <w:jc w:val="both"/>
        <w:ind w:firstLine="212"/>
        <w:spacing w:after="0" w:line="218" w:lineRule="auto"/>
        <w:rPr>
          <w:sz w:val="20"/>
          <w:szCs w:val="20"/>
          <w:color w:val="auto"/>
        </w:rPr>
      </w:pPr>
      <w:r>
        <w:rPr>
          <w:rFonts w:ascii="Arial" w:cs="Arial" w:eastAsia="Arial" w:hAnsi="Arial"/>
          <w:sz w:val="22"/>
          <w:szCs w:val="22"/>
          <w:color w:val="auto"/>
        </w:rPr>
        <w:t>This Second Amendment to the Sun Communities, Inc. First Amended and Restated 2004 Non-Employee Director Option Plan (this “Amendment”) is effective as of March 29, 2022 (the “Effective Date”). All capitalized terms used, but not defined, in this Amendment have the same meanings as in the Sun Communities, Inc. First Amended and Restated 2004 Non-Employee Director Option Plan, as amended (the “Plan”).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ind w:firstLine="656"/>
        <w:spacing w:after="0" w:line="232" w:lineRule="auto"/>
        <w:tabs>
          <w:tab w:leader="none" w:pos="129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Plan was approved by the Board of Directors (the “Board”) of Sun Communities, Inc., a Maryland corporation (the “Company”) on April 24, 2012 and by the Company’s stockholders on July 19, 2012.</w:t>
      </w:r>
    </w:p>
    <w:p>
      <w:pPr>
        <w:spacing w:after="0" w:line="185" w:lineRule="exact"/>
        <w:rPr>
          <w:rFonts w:ascii="Arial" w:cs="Arial" w:eastAsia="Arial" w:hAnsi="Arial"/>
          <w:sz w:val="22"/>
          <w:szCs w:val="22"/>
          <w:color w:val="auto"/>
        </w:rPr>
      </w:pPr>
    </w:p>
    <w:p>
      <w:pPr>
        <w:jc w:val="both"/>
        <w:ind w:firstLine="656"/>
        <w:spacing w:after="0" w:line="223" w:lineRule="auto"/>
        <w:tabs>
          <w:tab w:leader="none" w:pos="1292"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Plan was amended by that certain First Amendment to Sun Communities, Inc. First Amended and Restated 2004 Non-employee Director Option Plan on May 17, 2018 the date it was approved by the Company’s stockholders (the “First Amendment”).</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43"/>
        </w:numPr>
        <w:rPr>
          <w:rFonts w:ascii="Arial" w:cs="Arial" w:eastAsia="Arial" w:hAnsi="Arial"/>
          <w:sz w:val="21"/>
          <w:szCs w:val="21"/>
          <w:color w:val="auto"/>
        </w:rPr>
      </w:pPr>
      <w:r>
        <w:rPr>
          <w:rFonts w:ascii="Arial" w:cs="Arial" w:eastAsia="Arial" w:hAnsi="Arial"/>
          <w:sz w:val="21"/>
          <w:szCs w:val="21"/>
          <w:color w:val="auto"/>
        </w:rPr>
        <w:t>Pursuant to Section 9.01(a) of the Plan, the Board has approved this Amendment as of the Effective Date.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The Plan is hereby amended as follows:</w:t>
      </w:r>
    </w:p>
    <w:p>
      <w:pPr>
        <w:spacing w:after="0" w:line="206" w:lineRule="exact"/>
        <w:rPr>
          <w:sz w:val="20"/>
          <w:szCs w:val="20"/>
          <w:color w:val="auto"/>
        </w:rPr>
      </w:pPr>
    </w:p>
    <w:p>
      <w:pPr>
        <w:ind w:left="1300" w:right="2920" w:hanging="644"/>
        <w:spacing w:after="0" w:line="504" w:lineRule="auto"/>
        <w:tabs>
          <w:tab w:leader="none" w:pos="13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Section 2.29 of the Plan is hereby amended and restated in its entirety as follows: </w:t>
      </w:r>
      <w:r>
        <w:rPr>
          <w:rFonts w:ascii="Arial" w:cs="Arial" w:eastAsia="Arial" w:hAnsi="Arial"/>
          <w:sz w:val="19"/>
          <w:szCs w:val="19"/>
          <w:b w:val="1"/>
          <w:bCs w:val="1"/>
          <w:color w:val="auto"/>
        </w:rPr>
        <w:t xml:space="preserve">“2.29 </w:t>
      </w:r>
      <w:r>
        <w:rPr>
          <w:rFonts w:ascii="Arial" w:cs="Arial" w:eastAsia="Arial" w:hAnsi="Arial"/>
          <w:sz w:val="19"/>
          <w:szCs w:val="19"/>
          <w:b w:val="1"/>
          <w:bCs w:val="1"/>
          <w:u w:val="single" w:color="auto"/>
          <w:color w:val="auto"/>
        </w:rPr>
        <w:t>Retirement</w:t>
      </w:r>
      <w:r>
        <w:rPr>
          <w:rFonts w:ascii="Arial" w:cs="Arial" w:eastAsia="Arial" w:hAnsi="Arial"/>
          <w:sz w:val="19"/>
          <w:szCs w:val="19"/>
          <w:b w:val="1"/>
          <w:bCs w:val="1"/>
          <w:color w:val="auto"/>
        </w:rPr>
        <w:t xml:space="preserve"> </w:t>
      </w:r>
      <w:r>
        <w:rPr>
          <w:rFonts w:ascii="Arial" w:cs="Arial" w:eastAsia="Arial" w:hAnsi="Arial"/>
          <w:sz w:val="19"/>
          <w:szCs w:val="19"/>
          <w:color w:val="auto"/>
        </w:rPr>
        <w:t>means the retirement of a Director from the Board.”</w:t>
      </w:r>
    </w:p>
    <w:p>
      <w:pPr>
        <w:ind w:firstLine="656"/>
        <w:spacing w:after="0" w:line="232" w:lineRule="auto"/>
        <w:tabs>
          <w:tab w:leader="none" w:pos="1077" w:val="left"/>
        </w:tabs>
        <w:numPr>
          <w:ilvl w:val="0"/>
          <w:numId w:val="44"/>
        </w:numPr>
        <w:rPr>
          <w:rFonts w:ascii="Arial" w:cs="Arial" w:eastAsia="Arial" w:hAnsi="Arial"/>
          <w:sz w:val="22"/>
          <w:szCs w:val="22"/>
          <w:color w:val="auto"/>
        </w:rPr>
      </w:pPr>
      <w:r>
        <w:rPr>
          <w:rFonts w:ascii="Arial" w:cs="Arial" w:eastAsia="Arial" w:hAnsi="Arial"/>
          <w:sz w:val="22"/>
          <w:szCs w:val="22"/>
          <w:color w:val="auto"/>
        </w:rPr>
        <w:t>After the date of this Amendment, all references in the Plan to the “Plan” shall mean the Plan, as amended by this Amendment. The Plan is hereby amended accordingly.</w:t>
      </w:r>
    </w:p>
    <w:p>
      <w:pPr>
        <w:spacing w:after="0" w:line="185" w:lineRule="exact"/>
        <w:rPr>
          <w:rFonts w:ascii="Arial" w:cs="Arial" w:eastAsia="Arial" w:hAnsi="Arial"/>
          <w:sz w:val="22"/>
          <w:szCs w:val="22"/>
          <w:color w:val="auto"/>
        </w:rPr>
      </w:pPr>
    </w:p>
    <w:p>
      <w:pPr>
        <w:jc w:val="both"/>
        <w:ind w:firstLine="656"/>
        <w:spacing w:after="0" w:line="223" w:lineRule="auto"/>
        <w:tabs>
          <w:tab w:leader="none" w:pos="1098" w:val="left"/>
        </w:tabs>
        <w:numPr>
          <w:ilvl w:val="0"/>
          <w:numId w:val="44"/>
        </w:numPr>
        <w:rPr>
          <w:rFonts w:ascii="Arial" w:cs="Arial" w:eastAsia="Arial" w:hAnsi="Arial"/>
          <w:sz w:val="22"/>
          <w:szCs w:val="22"/>
          <w:color w:val="auto"/>
        </w:rPr>
      </w:pPr>
      <w:r>
        <w:rPr>
          <w:rFonts w:ascii="Arial" w:cs="Arial" w:eastAsia="Arial" w:hAnsi="Arial"/>
          <w:sz w:val="22"/>
          <w:szCs w:val="22"/>
          <w:color w:val="auto"/>
        </w:rPr>
        <w:t>Except as modified by this Amendment, the Plan remains unchanged and, as modified, continues in full force and effect. In the event of any conflict between the terms of the Plan and the terms of this Amendment, the terms of this Amendment shall control.</w:t>
      </w:r>
    </w:p>
    <w:p>
      <w:pPr>
        <w:sectPr>
          <w:pgSz w:w="11900" w:h="16838" w:orient="portrait"/>
          <w:cols w:equalWidth="0" w:num="1">
            <w:col w:w="11240"/>
          </w:cols>
          <w:pgMar w:left="320" w:top="1382"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22"/>
          <w:szCs w:val="22"/>
          <w:b w:val="1"/>
          <w:bCs w:val="1"/>
          <w:color w:val="auto"/>
        </w:rPr>
        <w:t>L</w:t>
      </w:r>
      <w:r>
        <w:rPr>
          <w:rFonts w:ascii="Arial" w:cs="Arial" w:eastAsia="Arial" w:hAnsi="Arial"/>
          <w:sz w:val="17"/>
          <w:szCs w:val="17"/>
          <w:b w:val="1"/>
          <w:bCs w:val="1"/>
          <w:color w:val="auto"/>
        </w:rPr>
        <w:t>ist of Issuers of Guaranteed Securities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As of April 26, 2022, the debt instruments indicated are below fully and unconditionally guaranteed by Sun Communities, Inc.</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2"/>
          </w:tcPr>
          <w:p>
            <w:pPr>
              <w:ind w:left="20"/>
              <w:spacing w:after="0"/>
              <w:rPr>
                <w:sz w:val="20"/>
                <w:szCs w:val="20"/>
                <w:color w:val="auto"/>
              </w:rPr>
            </w:pPr>
            <w:r>
              <w:rPr>
                <w:rFonts w:ascii="Arial" w:cs="Arial" w:eastAsia="Arial" w:hAnsi="Arial"/>
                <w:sz w:val="18"/>
                <w:szCs w:val="18"/>
                <w:b w:val="1"/>
                <w:bCs w:val="1"/>
                <w:color w:val="auto"/>
              </w:rPr>
              <w:t>Debt Instrument</w:t>
            </w:r>
          </w:p>
        </w:tc>
        <w:tc>
          <w:tcPr>
            <w:tcW w:w="4920" w:type="dxa"/>
            <w:vAlign w:val="bottom"/>
            <w:gridSpan w:val="2"/>
          </w:tcPr>
          <w:p>
            <w:pPr>
              <w:ind w:left="20"/>
              <w:spacing w:after="0"/>
              <w:rPr>
                <w:sz w:val="20"/>
                <w:szCs w:val="20"/>
                <w:color w:val="auto"/>
              </w:rPr>
            </w:pPr>
            <w:r>
              <w:rPr>
                <w:rFonts w:ascii="Arial" w:cs="Arial" w:eastAsia="Arial" w:hAnsi="Arial"/>
                <w:sz w:val="18"/>
                <w:szCs w:val="18"/>
                <w:b w:val="1"/>
                <w:bCs w:val="1"/>
                <w:color w:val="auto"/>
              </w:rPr>
              <w:t>Issuer</w:t>
            </w:r>
          </w:p>
        </w:tc>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Jurisdiction of Organization</w:t>
            </w:r>
          </w:p>
        </w:tc>
      </w:tr>
      <w:tr>
        <w:trPr>
          <w:trHeight w:val="223"/>
        </w:trPr>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2.7% Senior Notes due 2031</w:t>
            </w:r>
          </w:p>
        </w:tc>
        <w:tc>
          <w:tcPr>
            <w:tcW w:w="80" w:type="dxa"/>
            <w:vAlign w:val="bottom"/>
            <w:tcBorders>
              <w:top w:val="single" w:sz="8" w:color="CCEEFF"/>
            </w:tcBorders>
            <w:shd w:val="clear" w:color="auto" w:fill="CCEEFF"/>
          </w:tcPr>
          <w:p>
            <w:pPr>
              <w:spacing w:after="0"/>
              <w:rPr>
                <w:sz w:val="19"/>
                <w:szCs w:val="19"/>
                <w:color w:val="auto"/>
              </w:rPr>
            </w:pPr>
          </w:p>
        </w:tc>
        <w:tc>
          <w:tcPr>
            <w:tcW w:w="4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Sun Communities Operating Limited Partnership</w:t>
            </w:r>
          </w:p>
        </w:tc>
        <w:tc>
          <w:tcPr>
            <w:tcW w:w="100" w:type="dxa"/>
            <w:vAlign w:val="bottom"/>
            <w:tcBorders>
              <w:top w:val="single" w:sz="8" w:color="CCEEFF"/>
            </w:tcBorders>
            <w:shd w:val="clear" w:color="auto" w:fill="CCEEFF"/>
          </w:tcPr>
          <w:p>
            <w:pPr>
              <w:spacing w:after="0"/>
              <w:rPr>
                <w:sz w:val="19"/>
                <w:szCs w:val="19"/>
                <w:color w:val="auto"/>
              </w:rPr>
            </w:pPr>
          </w:p>
        </w:tc>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Michigan</w:t>
            </w: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2.3% Senior Notes due 2028</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Sun Communities Operating Limited Partnership</w:t>
            </w:r>
          </w:p>
        </w:tc>
        <w:tc>
          <w:tcPr>
            <w:tcW w:w="3040" w:type="dxa"/>
            <w:vAlign w:val="bottom"/>
          </w:tcPr>
          <w:p>
            <w:pPr>
              <w:ind w:left="20"/>
              <w:spacing w:after="0"/>
              <w:rPr>
                <w:sz w:val="20"/>
                <w:szCs w:val="20"/>
                <w:color w:val="auto"/>
              </w:rPr>
            </w:pPr>
            <w:r>
              <w:rPr>
                <w:rFonts w:ascii="Arial" w:cs="Arial" w:eastAsia="Arial" w:hAnsi="Arial"/>
                <w:sz w:val="18"/>
                <w:szCs w:val="18"/>
                <w:color w:val="auto"/>
              </w:rPr>
              <w:t>Michigan</w:t>
            </w:r>
          </w:p>
        </w:tc>
      </w:tr>
    </w:tbl>
    <w:p>
      <w:pPr>
        <w:sectPr>
          <w:pgSz w:w="11900" w:h="16838" w:orient="portrait"/>
          <w:cols w:equalWidth="0" w:num="1">
            <w:col w:w="11240"/>
          </w:cols>
          <w:pgMar w:left="320" w:top="1408"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Under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Gary A. Shiffman, certify that:</w:t>
      </w:r>
    </w:p>
    <w:p>
      <w:pPr>
        <w:spacing w:after="0" w:line="252"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Communities, Inc.</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9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96"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41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060" w:right="20" w:hanging="323"/>
        <w:spacing w:after="0" w:line="263" w:lineRule="auto"/>
        <w:tabs>
          <w:tab w:leader="none" w:pos="1083"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060" w:hanging="323"/>
        <w:spacing w:after="0" w:line="263" w:lineRule="auto"/>
        <w:tabs>
          <w:tab w:leader="none" w:pos="112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060" w:hanging="323"/>
        <w:spacing w:after="0" w:line="342" w:lineRule="auto"/>
        <w:tabs>
          <w:tab w:leader="none" w:pos="1147"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060" w:hanging="323"/>
        <w:spacing w:after="0" w:line="263" w:lineRule="auto"/>
        <w:tabs>
          <w:tab w:leader="none" w:pos="114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0" w:lineRule="exact"/>
        <w:rPr>
          <w:rFonts w:ascii="Arial" w:cs="Arial" w:eastAsia="Arial" w:hAnsi="Arial"/>
          <w:sz w:val="18"/>
          <w:szCs w:val="18"/>
          <w:color w:val="auto"/>
        </w:rPr>
      </w:pPr>
    </w:p>
    <w:p>
      <w:pPr>
        <w:ind w:left="340" w:hanging="332"/>
        <w:spacing w:after="0" w:line="308" w:lineRule="auto"/>
        <w:tabs>
          <w:tab w:leader="none" w:pos="353"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3" w:lineRule="exact"/>
        <w:rPr>
          <w:rFonts w:ascii="Arial" w:cs="Arial" w:eastAsia="Arial" w:hAnsi="Arial"/>
          <w:sz w:val="17"/>
          <w:szCs w:val="17"/>
          <w:color w:val="auto"/>
        </w:rPr>
      </w:pPr>
    </w:p>
    <w:p>
      <w:pPr>
        <w:ind w:left="1100" w:hanging="323"/>
        <w:spacing w:after="0" w:line="308" w:lineRule="auto"/>
        <w:tabs>
          <w:tab w:leader="none" w:pos="1206" w:val="left"/>
        </w:tabs>
        <w:numPr>
          <w:ilvl w:val="2"/>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00" w:hanging="323"/>
        <w:spacing w:after="0" w:line="277" w:lineRule="auto"/>
        <w:tabs>
          <w:tab w:leader="none" w:pos="1157" w:val="left"/>
        </w:tabs>
        <w:numPr>
          <w:ilvl w:val="2"/>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80"/>
        <w:spacing w:after="0"/>
        <w:tabs>
          <w:tab w:leader="none" w:pos="4460" w:val="left"/>
        </w:tabs>
        <w:rPr>
          <w:sz w:val="20"/>
          <w:szCs w:val="20"/>
          <w:color w:val="auto"/>
        </w:rPr>
      </w:pPr>
      <w:r>
        <w:rPr>
          <w:rFonts w:ascii="Arial" w:cs="Arial" w:eastAsia="Arial" w:hAnsi="Arial"/>
          <w:sz w:val="18"/>
          <w:szCs w:val="18"/>
          <w:color w:val="auto"/>
        </w:rPr>
        <w:t>Dated: April 26, 2022</w:t>
      </w:r>
      <w:r>
        <w:rPr>
          <w:sz w:val="20"/>
          <w:szCs w:val="20"/>
          <w:color w:val="auto"/>
        </w:rPr>
        <w:tab/>
      </w:r>
      <w:r>
        <w:rPr>
          <w:rFonts w:ascii="Arial" w:cs="Arial" w:eastAsia="Arial" w:hAnsi="Arial"/>
          <w:sz w:val="16"/>
          <w:szCs w:val="16"/>
          <w:color w:val="auto"/>
        </w:rPr>
        <w:t>/s/ Gary A. Shiffman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14605</wp:posOffset>
            </wp:positionV>
            <wp:extent cx="36436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643630" cy="8890"/>
                    </a:xfrm>
                    <a:prstGeom prst="rect">
                      <a:avLst/>
                    </a:prstGeom>
                    <a:noFill/>
                  </pic:spPr>
                </pic:pic>
              </a:graphicData>
            </a:graphic>
          </wp:anchor>
        </w:drawing>
      </w:r>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Gary A. Shiffman, Chief Executive Officer</w:t>
      </w:r>
    </w:p>
    <w:p>
      <w:pPr>
        <w:sectPr>
          <w:pgSz w:w="11900" w:h="16838" w:orient="portrait"/>
          <w:cols w:equalWidth="0" w:num="1">
            <w:col w:w="11240"/>
          </w:cols>
          <w:pgMar w:left="320" w:top="895"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Under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Karen J. Dearing, certify that:</w:t>
      </w:r>
    </w:p>
    <w:p>
      <w:pPr>
        <w:spacing w:after="0" w:line="252"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Communities, Inc.</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9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96"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4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060" w:right="20" w:hanging="323"/>
        <w:spacing w:after="0" w:line="263" w:lineRule="auto"/>
        <w:tabs>
          <w:tab w:leader="none" w:pos="1083"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060" w:hanging="323"/>
        <w:spacing w:after="0" w:line="263" w:lineRule="auto"/>
        <w:tabs>
          <w:tab w:leader="none" w:pos="112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060" w:right="20" w:hanging="323"/>
        <w:spacing w:after="0" w:line="342" w:lineRule="auto"/>
        <w:tabs>
          <w:tab w:leader="none" w:pos="1142"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060" w:hanging="323"/>
        <w:spacing w:after="0" w:line="263" w:lineRule="auto"/>
        <w:tabs>
          <w:tab w:leader="none" w:pos="1141"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10" w:lineRule="exact"/>
        <w:rPr>
          <w:rFonts w:ascii="Arial" w:cs="Arial" w:eastAsia="Arial" w:hAnsi="Arial"/>
          <w:sz w:val="18"/>
          <w:szCs w:val="18"/>
          <w:color w:val="auto"/>
        </w:rPr>
      </w:pPr>
    </w:p>
    <w:p>
      <w:pPr>
        <w:ind w:left="340" w:hanging="332"/>
        <w:spacing w:after="0" w:line="308" w:lineRule="auto"/>
        <w:tabs>
          <w:tab w:leader="none" w:pos="35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3" w:lineRule="exact"/>
        <w:rPr>
          <w:rFonts w:ascii="Arial" w:cs="Arial" w:eastAsia="Arial" w:hAnsi="Arial"/>
          <w:sz w:val="17"/>
          <w:szCs w:val="17"/>
          <w:color w:val="auto"/>
        </w:rPr>
      </w:pPr>
    </w:p>
    <w:p>
      <w:pPr>
        <w:ind w:left="1100" w:hanging="323"/>
        <w:spacing w:after="0" w:line="308" w:lineRule="auto"/>
        <w:tabs>
          <w:tab w:leader="none" w:pos="1206" w:val="left"/>
        </w:tabs>
        <w:numPr>
          <w:ilvl w:val="2"/>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00" w:right="20" w:hanging="323"/>
        <w:spacing w:after="0" w:line="277" w:lineRule="auto"/>
        <w:tabs>
          <w:tab w:leader="none" w:pos="1152" w:val="left"/>
        </w:tabs>
        <w:numPr>
          <w:ilvl w:val="2"/>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300" w:val="left"/>
        </w:tabs>
        <w:rPr>
          <w:sz w:val="20"/>
          <w:szCs w:val="20"/>
          <w:color w:val="auto"/>
        </w:rPr>
      </w:pPr>
      <w:r>
        <w:rPr>
          <w:rFonts w:ascii="Arial" w:cs="Arial" w:eastAsia="Arial" w:hAnsi="Arial"/>
          <w:sz w:val="18"/>
          <w:szCs w:val="18"/>
          <w:color w:val="auto"/>
        </w:rPr>
        <w:t>Dated: April 26, 2022</w:t>
      </w:r>
      <w:r>
        <w:rPr>
          <w:sz w:val="20"/>
          <w:szCs w:val="20"/>
          <w:color w:val="auto"/>
        </w:rPr>
        <w:tab/>
      </w:r>
      <w:r>
        <w:rPr>
          <w:rFonts w:ascii="Arial" w:cs="Arial" w:eastAsia="Arial" w:hAnsi="Arial"/>
          <w:sz w:val="16"/>
          <w:szCs w:val="16"/>
          <w:color w:val="auto"/>
        </w:rPr>
        <w:t>/s/ Karen J. Dearing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5833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Karen J. Dearing, Chief Financial Officer</w:t>
      </w:r>
    </w:p>
    <w:p>
      <w:pPr>
        <w:sectPr>
          <w:pgSz w:w="11900" w:h="16838" w:orient="portrait"/>
          <w:cols w:equalWidth="0" w:num="1">
            <w:col w:w="11240"/>
          </w:cols>
          <w:pgMar w:left="320" w:top="773"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Under 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officers, Gary A. Shiffman and Karen J. Dearing, hereby certify that to the best of their knowledge: (a) this Quarterly Report on Form 10-Q of Sun Communities, Inc., for the period ended March 31, 2022, fully complies with the requirements of Section 13(a) or 15(d) of the Securities Exchange Act of 1934, as amended; and (b) the information contained in this Form 10-Q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w w:val="89"/>
              </w:rPr>
              <w:t>Signature</w:t>
            </w:r>
          </w:p>
        </w:tc>
        <w:tc>
          <w:tcPr>
            <w:tcW w:w="60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6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Gary A. Shiffman</w:t>
            </w:r>
          </w:p>
        </w:tc>
        <w:tc>
          <w:tcPr>
            <w:tcW w:w="2600" w:type="dxa"/>
            <w:vAlign w:val="bottom"/>
            <w:gridSpan w:val="3"/>
          </w:tcPr>
          <w:p>
            <w:pPr>
              <w:jc w:val="center"/>
              <w:ind w:left="1450"/>
              <w:spacing w:after="0"/>
              <w:rPr>
                <w:sz w:val="20"/>
                <w:szCs w:val="20"/>
                <w:color w:val="auto"/>
              </w:rPr>
            </w:pPr>
            <w:r>
              <w:rPr>
                <w:rFonts w:ascii="Arial" w:cs="Arial" w:eastAsia="Arial" w:hAnsi="Arial"/>
                <w:sz w:val="18"/>
                <w:szCs w:val="18"/>
                <w:color w:val="auto"/>
                <w:w w:val="95"/>
              </w:rPr>
              <w:t>April 26, 2022</w:t>
            </w:r>
          </w:p>
        </w:tc>
      </w:tr>
      <w:tr>
        <w:trPr>
          <w:trHeight w:val="224"/>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Gary A. Shiffman, Chief Executive Officer</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99"/>
        </w:trPr>
        <w:tc>
          <w:tcPr>
            <w:tcW w:w="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Karen J. Dearing</w:t>
            </w:r>
          </w:p>
        </w:tc>
        <w:tc>
          <w:tcPr>
            <w:tcW w:w="2600" w:type="dxa"/>
            <w:vAlign w:val="bottom"/>
            <w:gridSpan w:val="3"/>
          </w:tcPr>
          <w:p>
            <w:pPr>
              <w:jc w:val="center"/>
              <w:ind w:left="1450"/>
              <w:spacing w:after="0"/>
              <w:rPr>
                <w:sz w:val="20"/>
                <w:szCs w:val="20"/>
                <w:color w:val="auto"/>
              </w:rPr>
            </w:pPr>
            <w:r>
              <w:rPr>
                <w:rFonts w:ascii="Arial" w:cs="Arial" w:eastAsia="Arial" w:hAnsi="Arial"/>
                <w:sz w:val="18"/>
                <w:szCs w:val="18"/>
                <w:color w:val="auto"/>
                <w:w w:val="95"/>
              </w:rPr>
              <w:t>April 26, 2022</w:t>
            </w:r>
          </w:p>
        </w:tc>
      </w:tr>
      <w:tr>
        <w:trPr>
          <w:trHeight w:val="224"/>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Karen J. Dearing, Chief Financial Officer</w:t>
            </w:r>
          </w:p>
        </w:tc>
        <w:tc>
          <w:tcPr>
            <w:tcW w:w="1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pacing w:after="0" w:line="3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Sun Communities, Inc. and will be retained by Sun Communities, Inc. and furnished to the Securities and Exchange Commission or its staff upon request.</w:t>
      </w:r>
    </w:p>
    <w:sectPr>
      <w:pgSz w:w="11900" w:h="16838" w:orient="portrait"/>
      <w:cols w:equalWidth="0" w:num="1">
        <w:col w:w="11240"/>
      </w:cols>
      <w:pgMar w:left="320" w:top="6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3"/>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4"/>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6"/>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7"/>
    </w:lvl>
  </w:abstractNum>
  <w:abstractNum w:abstractNumId="15">
    <w:nsid w:val="7C3DBD3D"/>
    <w:multiLevelType w:val="hybridMultilevel"/>
    <w:lvl w:ilvl="0">
      <w:lvlJc w:val="left"/>
      <w:lvlText w:val="%1."/>
      <w:numFmt w:val="decimal"/>
      <w:start w:val="8"/>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9"/>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decimal"/>
      <w:start w:val="10"/>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11"/>
    </w:lvl>
  </w:abstractNum>
  <w:abstractNum w:abstractNumId="22">
    <w:nsid w:val="419AC241"/>
    <w:multiLevelType w:val="hybridMultilevel"/>
    <w:lvl w:ilvl="0">
      <w:lvlJc w:val="left"/>
      <w:lvlText w:val="%1."/>
      <w:numFmt w:val="decimal"/>
      <w:start w:val="12"/>
    </w:lvl>
  </w:abstractNum>
  <w:abstractNum w:abstractNumId="23">
    <w:nsid w:val="5577F8E1"/>
    <w:multiLevelType w:val="hybridMultilevel"/>
    <w:lvl w:ilvl="0">
      <w:lvlJc w:val="left"/>
      <w:lvlText w:val="%1."/>
      <w:numFmt w:val="decimal"/>
      <w:start w:val="13"/>
    </w:lvl>
  </w:abstractNum>
  <w:abstractNum w:abstractNumId="24">
    <w:nsid w:val="440BADFC"/>
    <w:multiLevelType w:val="hybridMultilevel"/>
    <w:lvl w:ilvl="0">
      <w:lvlJc w:val="left"/>
      <w:lvlText w:val="%1."/>
      <w:numFmt w:val="decimal"/>
      <w:start w:val="14"/>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15"/>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decimal"/>
      <w:start w:val="18"/>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decimal"/>
      <w:start w:val="1"/>
    </w:lvl>
    <w:lvl w:ilvl="1">
      <w:lvlJc w:val="left"/>
      <w:lvlText w:val="(%2)"/>
      <w:numFmt w:val="lowerLetter"/>
      <w:start w:val="3"/>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upperLetter"/>
      <w:start w:val="1"/>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75" Type="http://schemas.openxmlformats.org/officeDocument/2006/relationships/hyperlink" Target="http://www.sec.gov/Archives/edgar/data/912593/000091259318000049/exhibit31-suncommunitiesin.htm" TargetMode="External"/><Relationship Id="rId76" Type="http://schemas.openxmlformats.org/officeDocument/2006/relationships/hyperlink" Target="http://www.sec.gov/Archives/edgar/data/912593/000091259317000078/exhibit31-thirdamendedandr.htm" TargetMode="External"/><Relationship Id="rId77" Type="http://schemas.openxmlformats.org/officeDocument/2006/relationships/hyperlink" Target="https://www.sec.gov/Archives/edgar/data/912593/000119312522093768/0001193125-22-093768-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2022-04-26T12:30:43Z</dcterms:created>
  <dcterms:modified xsi:type="dcterms:W3CDTF">2022-04-26T12:30:43Z</dcterms:modified>
</cp:coreProperties>
</file>