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jc w:val="center"/>
        <w:ind w:right="-4"/>
        <w:spacing w:after="0"/>
        <w:rPr>
          <w:sz w:val="20"/>
          <w:szCs w:val="20"/>
          <w:color w:val="auto"/>
        </w:rPr>
      </w:pPr>
      <w:r>
        <w:rPr>
          <w:rFonts w:ascii="Arial" w:cs="Arial" w:eastAsia="Arial" w:hAnsi="Arial"/>
          <w:sz w:val="18"/>
          <w:szCs w:val="18"/>
          <w:b w:val="1"/>
          <w:bCs w:val="1"/>
          <w:color w:val="auto"/>
        </w:rPr>
        <w:t>UNITED STATES</w:t>
      </w:r>
    </w:p>
    <w:p>
      <w:pPr>
        <w:jc w:val="center"/>
        <w:ind w:right="-4"/>
        <w:spacing w:after="0" w:line="221" w:lineRule="auto"/>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ind w:right="-4"/>
        <w:spacing w:after="0"/>
        <w:rPr>
          <w:sz w:val="20"/>
          <w:szCs w:val="20"/>
          <w:color w:val="auto"/>
        </w:rPr>
      </w:pPr>
      <w:r>
        <w:rPr>
          <w:rFonts w:ascii="Arial" w:cs="Arial" w:eastAsia="Arial" w:hAnsi="Arial"/>
          <w:sz w:val="18"/>
          <w:szCs w:val="18"/>
          <w:b w:val="1"/>
          <w:bCs w:val="1"/>
          <w:color w:val="auto"/>
        </w:rPr>
        <w:t>WASHINGTON, D.C. 20549</w:t>
      </w:r>
    </w:p>
    <w:p>
      <w:pPr>
        <w:spacing w:after="0" w:line="147" w:lineRule="exact"/>
        <w:rPr>
          <w:sz w:val="24"/>
          <w:szCs w:val="24"/>
          <w:color w:val="auto"/>
        </w:rPr>
      </w:pPr>
    </w:p>
    <w:p>
      <w:pPr>
        <w:jc w:val="center"/>
        <w:ind w:right="-4"/>
        <w:spacing w:after="0" w:line="288" w:lineRule="exact"/>
        <w:rPr>
          <w:sz w:val="20"/>
          <w:szCs w:val="20"/>
          <w:color w:val="auto"/>
        </w:rPr>
      </w:pPr>
      <w:r>
        <w:rPr>
          <w:rFonts w:ascii="Arial" w:cs="Arial" w:eastAsia="Arial" w:hAnsi="Arial"/>
          <w:sz w:val="25"/>
          <w:szCs w:val="25"/>
          <w:b w:val="1"/>
          <w:bCs w:val="1"/>
          <w:color w:val="auto"/>
        </w:rPr>
        <w:t>FORM 8</w:t>
      </w:r>
      <w:r>
        <w:rPr>
          <w:rFonts w:ascii="MS PGothic" w:cs="MS PGothic" w:eastAsia="MS PGothic" w:hAnsi="MS PGothic"/>
          <w:sz w:val="25"/>
          <w:szCs w:val="25"/>
          <w:b w:val="1"/>
          <w:bCs w:val="1"/>
          <w:color w:val="auto"/>
        </w:rPr>
        <w:t>‑</w:t>
      </w:r>
      <w:r>
        <w:rPr>
          <w:rFonts w:ascii="Arial" w:cs="Arial" w:eastAsia="Arial" w:hAnsi="Arial"/>
          <w:sz w:val="25"/>
          <w:szCs w:val="25"/>
          <w:b w:val="1"/>
          <w:bCs w:val="1"/>
          <w:color w:val="auto"/>
        </w:rPr>
        <w:t>K</w:t>
      </w:r>
    </w:p>
    <w:p>
      <w:pPr>
        <w:spacing w:after="0" w:line="370" w:lineRule="exact"/>
        <w:rPr>
          <w:sz w:val="24"/>
          <w:szCs w:val="24"/>
          <w:color w:val="auto"/>
        </w:rPr>
      </w:pPr>
    </w:p>
    <w:p>
      <w:pPr>
        <w:jc w:val="center"/>
        <w:ind w:right="-4"/>
        <w:spacing w:after="0"/>
        <w:rPr>
          <w:sz w:val="20"/>
          <w:szCs w:val="20"/>
          <w:color w:val="auto"/>
        </w:rPr>
      </w:pPr>
      <w:r>
        <w:rPr>
          <w:rFonts w:ascii="Arial" w:cs="Arial" w:eastAsia="Arial" w:hAnsi="Arial"/>
          <w:sz w:val="22"/>
          <w:szCs w:val="22"/>
          <w:b w:val="1"/>
          <w:bCs w:val="1"/>
          <w:color w:val="auto"/>
        </w:rPr>
        <w:t>CURRENT REPORT</w:t>
      </w:r>
    </w:p>
    <w:p>
      <w:pPr>
        <w:spacing w:after="0" w:line="1" w:lineRule="exact"/>
        <w:rPr>
          <w:sz w:val="24"/>
          <w:szCs w:val="24"/>
          <w:color w:val="auto"/>
        </w:rPr>
      </w:pPr>
    </w:p>
    <w:p>
      <w:pPr>
        <w:jc w:val="center"/>
        <w:ind w:right="-4"/>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4" w:lineRule="exact"/>
        <w:rPr>
          <w:sz w:val="24"/>
          <w:szCs w:val="24"/>
          <w:color w:val="auto"/>
        </w:rPr>
      </w:pPr>
    </w:p>
    <w:p>
      <w:pPr>
        <w:jc w:val="center"/>
        <w:ind w:right="-4"/>
        <w:spacing w:after="0"/>
        <w:rPr>
          <w:sz w:val="20"/>
          <w:szCs w:val="20"/>
          <w:color w:val="auto"/>
        </w:rPr>
      </w:pPr>
      <w:r>
        <w:rPr>
          <w:rFonts w:ascii="Arial" w:cs="Arial" w:eastAsia="Arial" w:hAnsi="Arial"/>
          <w:sz w:val="22"/>
          <w:szCs w:val="22"/>
          <w:b w:val="1"/>
          <w:bCs w:val="1"/>
          <w:color w:val="auto"/>
        </w:rPr>
        <w:t>Date of Report: April 25, 2013</w:t>
      </w:r>
    </w:p>
    <w:p>
      <w:pPr>
        <w:spacing w:after="0" w:line="14" w:lineRule="exact"/>
        <w:rPr>
          <w:sz w:val="24"/>
          <w:szCs w:val="24"/>
          <w:color w:val="auto"/>
        </w:rPr>
      </w:pPr>
    </w:p>
    <w:p>
      <w:pPr>
        <w:jc w:val="center"/>
        <w:ind w:right="-4"/>
        <w:spacing w:after="0"/>
        <w:rPr>
          <w:sz w:val="20"/>
          <w:szCs w:val="20"/>
          <w:color w:val="auto"/>
        </w:rPr>
      </w:pPr>
      <w:r>
        <w:rPr>
          <w:rFonts w:ascii="Arial" w:cs="Arial" w:eastAsia="Arial" w:hAnsi="Arial"/>
          <w:sz w:val="17"/>
          <w:szCs w:val="17"/>
          <w:color w:val="auto"/>
        </w:rPr>
        <w:t>(Date of earliest event reported)</w:t>
      </w:r>
    </w:p>
    <w:p>
      <w:pPr>
        <w:spacing w:after="0" w:line="245" w:lineRule="exact"/>
        <w:rPr>
          <w:sz w:val="24"/>
          <w:szCs w:val="24"/>
          <w:color w:val="auto"/>
        </w:rPr>
      </w:pPr>
    </w:p>
    <w:p>
      <w:pPr>
        <w:jc w:val="center"/>
        <w:ind w:right="-4"/>
        <w:spacing w:after="0"/>
        <w:rPr>
          <w:sz w:val="20"/>
          <w:szCs w:val="20"/>
          <w:color w:val="auto"/>
        </w:rPr>
      </w:pPr>
      <w:r>
        <w:rPr>
          <w:rFonts w:ascii="Arial" w:cs="Arial" w:eastAsia="Arial" w:hAnsi="Arial"/>
          <w:sz w:val="25"/>
          <w:szCs w:val="25"/>
          <w:b w:val="1"/>
          <w:bCs w:val="1"/>
          <w:color w:val="auto"/>
        </w:rPr>
        <w:t>SUN COMMUNITIES, INC.</w:t>
      </w:r>
    </w:p>
    <w:p>
      <w:pPr>
        <w:spacing w:after="0" w:line="29" w:lineRule="exact"/>
        <w:rPr>
          <w:sz w:val="24"/>
          <w:szCs w:val="24"/>
          <w:color w:val="auto"/>
        </w:rPr>
      </w:pPr>
    </w:p>
    <w:p>
      <w:pPr>
        <w:jc w:val="center"/>
        <w:ind w:right="-4"/>
        <w:spacing w:after="0"/>
        <w:rPr>
          <w:sz w:val="20"/>
          <w:szCs w:val="20"/>
          <w:color w:val="auto"/>
        </w:rPr>
      </w:pPr>
      <w:r>
        <w:rPr>
          <w:rFonts w:ascii="Arial" w:cs="Arial" w:eastAsia="Arial" w:hAnsi="Arial"/>
          <w:sz w:val="17"/>
          <w:szCs w:val="17"/>
          <w:color w:val="auto"/>
        </w:rPr>
        <w:t>(Exact name of registrant as specified in its charter)</w:t>
      </w:r>
    </w:p>
    <w:p>
      <w:pPr>
        <w:spacing w:after="0" w:line="200" w:lineRule="exact"/>
        <w:rPr>
          <w:sz w:val="24"/>
          <w:szCs w:val="24"/>
          <w:color w:val="auto"/>
        </w:rPr>
      </w:pPr>
    </w:p>
    <w:p>
      <w:pPr>
        <w:spacing w:after="0" w:line="391" w:lineRule="exact"/>
        <w:rPr>
          <w:sz w:val="24"/>
          <w:szCs w:val="24"/>
          <w:color w:val="auto"/>
        </w:rPr>
      </w:pPr>
    </w:p>
    <w:tbl>
      <w:tblPr>
        <w:tblLayout w:type="fixed"/>
        <w:tblInd w:w="5" w:type="dxa"/>
        <w:tblCellMar>
          <w:top w:w="0" w:type="dxa"/>
          <w:left w:w="0" w:type="dxa"/>
          <w:bottom w:w="0" w:type="dxa"/>
          <w:right w:w="0" w:type="dxa"/>
        </w:tblCellMar>
      </w:tblPr>
      <w:tr>
        <w:trPr>
          <w:trHeight w:val="291"/>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Maryland</w:t>
            </w:r>
          </w:p>
        </w:tc>
        <w:tc>
          <w:tcPr>
            <w:tcW w:w="920" w:type="dxa"/>
            <w:vAlign w:val="bottom"/>
          </w:tcPr>
          <w:p>
            <w:pPr>
              <w:spacing w:after="0"/>
              <w:rPr>
                <w:sz w:val="24"/>
                <w:szCs w:val="24"/>
                <w:color w:val="auto"/>
              </w:rPr>
            </w:pPr>
          </w:p>
        </w:tc>
        <w:tc>
          <w:tcPr>
            <w:tcW w:w="1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2"/>
                <w:szCs w:val="22"/>
                <w:b w:val="1"/>
                <w:bCs w:val="1"/>
                <w:color w:val="auto"/>
              </w:rPr>
              <w:t>1-12616</w:t>
            </w:r>
          </w:p>
        </w:tc>
        <w:tc>
          <w:tcPr>
            <w:tcW w:w="92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300" w:type="dxa"/>
            <w:vAlign w:val="bottom"/>
            <w:tcBorders>
              <w:bottom w:val="single" w:sz="8" w:color="auto"/>
            </w:tcBorders>
          </w:tcPr>
          <w:p>
            <w:pPr>
              <w:jc w:val="right"/>
              <w:ind w:right="1043"/>
              <w:spacing w:after="0"/>
              <w:rPr>
                <w:sz w:val="20"/>
                <w:szCs w:val="20"/>
                <w:color w:val="auto"/>
              </w:rPr>
            </w:pPr>
            <w:r>
              <w:rPr>
                <w:rFonts w:ascii="Arial" w:cs="Arial" w:eastAsia="Arial" w:hAnsi="Arial"/>
                <w:sz w:val="22"/>
                <w:szCs w:val="22"/>
                <w:b w:val="1"/>
                <w:bCs w:val="1"/>
                <w:color w:val="auto"/>
              </w:rPr>
              <w:t>38-2730780</w:t>
            </w:r>
          </w:p>
        </w:tc>
      </w:tr>
      <w:tr>
        <w:trPr>
          <w:trHeight w:val="305"/>
        </w:trPr>
        <w:tc>
          <w:tcPr>
            <w:tcW w:w="4820" w:type="dxa"/>
            <w:vAlign w:val="bottom"/>
            <w:gridSpan w:val="2"/>
          </w:tcPr>
          <w:p>
            <w:pPr>
              <w:jc w:val="center"/>
              <w:ind w:right="920"/>
              <w:spacing w:after="0"/>
              <w:rPr>
                <w:sz w:val="20"/>
                <w:szCs w:val="20"/>
                <w:color w:val="auto"/>
              </w:rPr>
            </w:pPr>
            <w:r>
              <w:rPr>
                <w:rFonts w:ascii="Arial" w:cs="Arial" w:eastAsia="Arial" w:hAnsi="Arial"/>
                <w:sz w:val="16"/>
                <w:szCs w:val="16"/>
                <w:color w:val="auto"/>
                <w:w w:val="94"/>
              </w:rPr>
              <w:t>(State or other jurisdiction of incorporation)</w:t>
            </w:r>
          </w:p>
        </w:tc>
        <w:tc>
          <w:tcPr>
            <w:tcW w:w="3300" w:type="dxa"/>
            <w:vAlign w:val="bottom"/>
            <w:gridSpan w:val="4"/>
          </w:tcPr>
          <w:p>
            <w:pPr>
              <w:jc w:val="center"/>
              <w:ind w:right="680"/>
              <w:spacing w:after="0"/>
              <w:rPr>
                <w:sz w:val="20"/>
                <w:szCs w:val="20"/>
                <w:color w:val="auto"/>
              </w:rPr>
            </w:pPr>
            <w:r>
              <w:rPr>
                <w:rFonts w:ascii="Arial" w:cs="Arial" w:eastAsia="Arial" w:hAnsi="Arial"/>
                <w:sz w:val="16"/>
                <w:szCs w:val="16"/>
                <w:color w:val="auto"/>
                <w:w w:val="93"/>
              </w:rPr>
              <w:t>(Commission File Number)</w:t>
            </w:r>
          </w:p>
        </w:tc>
        <w:tc>
          <w:tcPr>
            <w:tcW w:w="3300" w:type="dxa"/>
            <w:vAlign w:val="bottom"/>
          </w:tcPr>
          <w:p>
            <w:pPr>
              <w:jc w:val="center"/>
              <w:spacing w:after="0"/>
              <w:rPr>
                <w:sz w:val="20"/>
                <w:szCs w:val="20"/>
                <w:color w:val="auto"/>
              </w:rPr>
            </w:pPr>
            <w:r>
              <w:rPr>
                <w:rFonts w:ascii="Arial" w:cs="Arial" w:eastAsia="Arial" w:hAnsi="Arial"/>
                <w:sz w:val="16"/>
                <w:szCs w:val="16"/>
                <w:color w:val="auto"/>
                <w:w w:val="96"/>
              </w:rPr>
              <w:t>(IRS Employer Identification No.)</w:t>
            </w:r>
          </w:p>
        </w:tc>
      </w:tr>
      <w:tr>
        <w:trPr>
          <w:trHeight w:val="813"/>
        </w:trPr>
        <w:tc>
          <w:tcPr>
            <w:tcW w:w="4820" w:type="dxa"/>
            <w:vAlign w:val="bottom"/>
            <w:gridSpan w:val="2"/>
          </w:tcPr>
          <w:p>
            <w:pPr>
              <w:jc w:val="center"/>
              <w:ind w:left="359"/>
              <w:spacing w:after="0"/>
              <w:rPr>
                <w:sz w:val="20"/>
                <w:szCs w:val="20"/>
                <w:color w:val="auto"/>
              </w:rPr>
            </w:pPr>
            <w:r>
              <w:rPr>
                <w:rFonts w:ascii="Arial" w:cs="Arial" w:eastAsia="Arial" w:hAnsi="Arial"/>
                <w:sz w:val="22"/>
                <w:szCs w:val="22"/>
                <w:b w:val="1"/>
                <w:bCs w:val="1"/>
                <w:color w:val="auto"/>
                <w:w w:val="92"/>
              </w:rPr>
              <w:t>27777 Franklin Rd.</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97"/>
        </w:trPr>
        <w:tc>
          <w:tcPr>
            <w:tcW w:w="4820" w:type="dxa"/>
            <w:vAlign w:val="bottom"/>
            <w:gridSpan w:val="2"/>
          </w:tcPr>
          <w:p>
            <w:pPr>
              <w:jc w:val="center"/>
              <w:ind w:left="359"/>
              <w:spacing w:after="0"/>
              <w:rPr>
                <w:sz w:val="20"/>
                <w:szCs w:val="20"/>
                <w:color w:val="auto"/>
              </w:rPr>
            </w:pPr>
            <w:r>
              <w:rPr>
                <w:rFonts w:ascii="Arial" w:cs="Arial" w:eastAsia="Arial" w:hAnsi="Arial"/>
                <w:sz w:val="22"/>
                <w:szCs w:val="22"/>
                <w:b w:val="1"/>
                <w:bCs w:val="1"/>
                <w:color w:val="auto"/>
                <w:w w:val="86"/>
              </w:rPr>
              <w:t>Suite 200</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308"/>
        </w:trPr>
        <w:tc>
          <w:tcPr>
            <w:tcW w:w="4820" w:type="dxa"/>
            <w:vAlign w:val="bottom"/>
            <w:tcBorders>
              <w:bottom w:val="single" w:sz="8" w:color="auto"/>
            </w:tcBorders>
            <w:gridSpan w:val="2"/>
          </w:tcPr>
          <w:p>
            <w:pPr>
              <w:jc w:val="center"/>
              <w:ind w:left="339"/>
              <w:spacing w:after="0"/>
              <w:rPr>
                <w:sz w:val="20"/>
                <w:szCs w:val="20"/>
                <w:color w:val="auto"/>
              </w:rPr>
            </w:pPr>
            <w:r>
              <w:rPr>
                <w:rFonts w:ascii="Arial" w:cs="Arial" w:eastAsia="Arial" w:hAnsi="Arial"/>
                <w:sz w:val="22"/>
                <w:szCs w:val="22"/>
                <w:b w:val="1"/>
                <w:bCs w:val="1"/>
                <w:color w:val="auto"/>
                <w:w w:val="90"/>
              </w:rPr>
              <w:t>Southfield, Michigan</w:t>
            </w:r>
          </w:p>
        </w:tc>
        <w:tc>
          <w:tcPr>
            <w:tcW w:w="44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jc w:val="right"/>
              <w:ind w:right="2083"/>
              <w:spacing w:after="0"/>
              <w:rPr>
                <w:sz w:val="20"/>
                <w:szCs w:val="20"/>
                <w:color w:val="auto"/>
              </w:rPr>
            </w:pPr>
            <w:r>
              <w:rPr>
                <w:rFonts w:ascii="Arial" w:cs="Arial" w:eastAsia="Arial" w:hAnsi="Arial"/>
                <w:sz w:val="22"/>
                <w:szCs w:val="22"/>
                <w:b w:val="1"/>
                <w:bCs w:val="1"/>
                <w:color w:val="auto"/>
              </w:rPr>
              <w:t>48034</w:t>
            </w:r>
          </w:p>
        </w:tc>
      </w:tr>
      <w:tr>
        <w:trPr>
          <w:trHeight w:val="243"/>
        </w:trPr>
        <w:tc>
          <w:tcPr>
            <w:tcW w:w="4820" w:type="dxa"/>
            <w:vAlign w:val="bottom"/>
            <w:gridSpan w:val="2"/>
          </w:tcPr>
          <w:p>
            <w:pPr>
              <w:jc w:val="center"/>
              <w:ind w:left="339"/>
              <w:spacing w:after="0"/>
              <w:rPr>
                <w:sz w:val="20"/>
                <w:szCs w:val="20"/>
                <w:color w:val="auto"/>
              </w:rPr>
            </w:pPr>
            <w:r>
              <w:rPr>
                <w:rFonts w:ascii="Arial" w:cs="Arial" w:eastAsia="Arial" w:hAnsi="Arial"/>
                <w:sz w:val="18"/>
                <w:szCs w:val="18"/>
                <w:color w:val="auto"/>
                <w:w w:val="92"/>
              </w:rPr>
              <w:t>(Address of Principal Executive Offices)</w:t>
            </w: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300" w:type="dxa"/>
            <w:vAlign w:val="bottom"/>
          </w:tcPr>
          <w:p>
            <w:pPr>
              <w:jc w:val="center"/>
              <w:ind w:right="1503"/>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86" w:lineRule="exact"/>
        <w:rPr>
          <w:sz w:val="24"/>
          <w:szCs w:val="24"/>
          <w:color w:val="auto"/>
        </w:rPr>
      </w:pPr>
    </w:p>
    <w:p>
      <w:pPr>
        <w:jc w:val="center"/>
        <w:ind w:right="-4"/>
        <w:spacing w:after="0"/>
        <w:rPr>
          <w:sz w:val="20"/>
          <w:szCs w:val="20"/>
          <w:color w:val="auto"/>
        </w:rPr>
      </w:pPr>
      <w:r>
        <w:rPr>
          <w:rFonts w:ascii="Arial" w:cs="Arial" w:eastAsia="Arial" w:hAnsi="Arial"/>
          <w:sz w:val="22"/>
          <w:szCs w:val="22"/>
          <w:b w:val="1"/>
          <w:bCs w:val="1"/>
          <w:color w:val="auto"/>
        </w:rPr>
        <w:t>(248) 208-2500</w:t>
      </w:r>
    </w:p>
    <w:p>
      <w:pPr>
        <w:spacing w:after="0" w:line="44" w:lineRule="exact"/>
        <w:rPr>
          <w:sz w:val="24"/>
          <w:szCs w:val="24"/>
          <w:color w:val="auto"/>
        </w:rPr>
      </w:pPr>
    </w:p>
    <w:p>
      <w:pPr>
        <w:jc w:val="center"/>
        <w:ind w:right="-4"/>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left="5" w:right="12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105" w:hanging="105"/>
        <w:spacing w:after="0"/>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5" w:hanging="105"/>
        <w:spacing w:after="0"/>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5" w:hanging="105"/>
        <w:spacing w:after="0"/>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5" w:hanging="105"/>
        <w:spacing w:after="0"/>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5"/>
        <w:spacing w:after="0"/>
        <w:rPr>
          <w:sz w:val="20"/>
          <w:szCs w:val="20"/>
          <w:color w:val="auto"/>
        </w:rPr>
      </w:pPr>
      <w:r>
        <w:rPr>
          <w:rFonts w:ascii="Arial" w:cs="Arial" w:eastAsia="Arial" w:hAnsi="Arial"/>
          <w:sz w:val="14"/>
          <w:szCs w:val="14"/>
          <w:color w:val="auto"/>
        </w:rPr>
        <w:t>2486871.1</w:t>
      </w:r>
    </w:p>
    <w:p>
      <w:pPr>
        <w:sectPr>
          <w:pgSz w:w="11900" w:h="16838" w:orient="portrait"/>
          <w:cols w:equalWidth="0" w:num="1">
            <w:col w:w="11425"/>
          </w:cols>
          <w:pgMar w:left="235" w:top="1440" w:right="23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1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On April 25, 2013, Sun Communities, Inc. (the “Company”) issued a press release, furnished as Exhibit 99.1 and incorporated herein by reference, announcing its financial results for the period ended March 31, 2013, and certain other information.</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will hold an investor conference call and webcast at 11:00 a.m. EDT on April 25, 2013 to disclose and discuss the financial results for the period ended March 31, 2013.</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contained in this Current Report on Form 8-K, including the exhibit attached hereto, is being furnished and shall not be deemed to be “filed” for purposes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80" w:hanging="1045"/>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6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April 25,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2486871.1</w:t>
      </w:r>
    </w:p>
    <w:p>
      <w:pPr>
        <w:sectPr>
          <w:pgSz w:w="11900" w:h="16838" w:orient="portrait"/>
          <w:cols w:equalWidth="0" w:num="1">
            <w:col w:w="11360"/>
          </w:cols>
          <w:pgMar w:left="240" w:top="972"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6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SUN COMMUNITIES, INC.</w:t>
      </w:r>
    </w:p>
    <w:p>
      <w:pPr>
        <w:spacing w:after="0" w:line="279" w:lineRule="exact"/>
        <w:rPr>
          <w:sz w:val="20"/>
          <w:szCs w:val="20"/>
          <w:color w:val="auto"/>
        </w:rPr>
      </w:pPr>
    </w:p>
    <w:p>
      <w:pPr>
        <w:ind w:left="680"/>
        <w:spacing w:after="0"/>
        <w:tabs>
          <w:tab w:leader="none" w:pos="5020" w:val="left"/>
          <w:tab w:leader="none" w:pos="5820" w:val="left"/>
        </w:tabs>
        <w:rPr>
          <w:sz w:val="20"/>
          <w:szCs w:val="20"/>
          <w:color w:val="auto"/>
        </w:rPr>
      </w:pPr>
      <w:r>
        <w:rPr>
          <w:rFonts w:ascii="Arial" w:cs="Arial" w:eastAsia="Arial" w:hAnsi="Arial"/>
          <w:sz w:val="18"/>
          <w:szCs w:val="18"/>
          <w:color w:val="auto"/>
        </w:rPr>
        <w:t>Dated: April 25,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Karen J. Dearing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31750</wp:posOffset>
            </wp:positionV>
            <wp:extent cx="3147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8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Karen J. Dearing, Executive Vice President,</w:t>
      </w:r>
    </w:p>
    <w:p>
      <w:pPr>
        <w:spacing w:after="0" w:line="3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 Secretary and Treasurer</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2486871.1</w:t>
      </w:r>
    </w:p>
    <w:p>
      <w:pPr>
        <w:sectPr>
          <w:pgSz w:w="11900" w:h="16838" w:orient="portrait"/>
          <w:cols w:equalWidth="0" w:num="1">
            <w:col w:w="11420"/>
          </w:cols>
          <w:pgMar w:left="240" w:top="60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EXHIBIT #</w:t>
            </w:r>
          </w:p>
        </w:tc>
        <w:tc>
          <w:tcPr>
            <w:tcW w:w="924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34"/>
        </w:trPr>
        <w:tc>
          <w:tcPr>
            <w:tcW w:w="162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9240" w:type="dxa"/>
            <w:vAlign w:val="bottom"/>
            <w:tcBorders>
              <w:bottom w:val="single" w:sz="8" w:color="auto"/>
            </w:tcBorders>
          </w:tcPr>
          <w:p>
            <w:pPr>
              <w:spacing w:after="0"/>
              <w:rPr>
                <w:sz w:val="2"/>
                <w:szCs w:val="2"/>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1"/>
                <w:szCs w:val="21"/>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Press release issued April 25, 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2486871.1</w:t>
      </w:r>
    </w:p>
    <w:p>
      <w:pPr>
        <w:sectPr>
          <w:pgSz w:w="11900" w:h="16838" w:orient="portrait"/>
          <w:cols w:equalWidth="0" w:num="1">
            <w:col w:w="11420"/>
          </w:cols>
          <w:pgMar w:left="240" w:top="837" w:right="2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680720</wp:posOffset>
            </wp:positionH>
            <wp:positionV relativeFrom="page">
              <wp:posOffset>380365</wp:posOffset>
            </wp:positionV>
            <wp:extent cx="5848985" cy="7572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5852160</wp:posOffset>
            </wp:positionH>
            <wp:positionV relativeFrom="page">
              <wp:posOffset>88900</wp:posOffset>
            </wp:positionV>
            <wp:extent cx="1551940" cy="317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51940" cy="317500"/>
                    </a:xfrm>
                    <a:prstGeom prst="rect">
                      <a:avLst/>
                    </a:prstGeom>
                    <a:noFill/>
                  </pic:spPr>
                </pic:pic>
              </a:graphicData>
            </a:graphic>
          </wp:anchor>
        </w:drawing>
        <w:t>NEWS RELEASE</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April 25, 2013</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Sun Communities, Inc. Reports 2013 First Quarter Results</w:t>
      </w:r>
    </w:p>
    <w:p>
      <w:pPr>
        <w:spacing w:after="0" w:line="235" w:lineRule="exact"/>
        <w:rPr>
          <w:sz w:val="20"/>
          <w:szCs w:val="20"/>
          <w:color w:val="auto"/>
        </w:rPr>
      </w:pPr>
    </w:p>
    <w:p>
      <w:pPr>
        <w:spacing w:after="0" w:line="364" w:lineRule="auto"/>
        <w:rPr>
          <w:sz w:val="20"/>
          <w:szCs w:val="20"/>
          <w:color w:val="auto"/>
        </w:rPr>
      </w:pPr>
      <w:r>
        <w:rPr>
          <w:rFonts w:ascii="Arial" w:cs="Arial" w:eastAsia="Arial" w:hAnsi="Arial"/>
          <w:sz w:val="19"/>
          <w:szCs w:val="19"/>
          <w:b w:val="1"/>
          <w:bCs w:val="1"/>
          <w:color w:val="auto"/>
        </w:rPr>
        <w:t xml:space="preserve">Southfield, MI, April 25, 2013 - Sun Communities, Inc. (NYSE: SUI) </w:t>
      </w:r>
      <w:r>
        <w:rPr>
          <w:rFonts w:ascii="Arial" w:cs="Arial" w:eastAsia="Arial" w:hAnsi="Arial"/>
          <w:sz w:val="19"/>
          <w:szCs w:val="19"/>
          <w:color w:val="auto"/>
        </w:rPr>
        <w:t>(the “Company”)</w:t>
      </w:r>
      <w:r>
        <w:rPr>
          <w:rFonts w:ascii="Arial" w:cs="Arial" w:eastAsia="Arial" w:hAnsi="Arial"/>
          <w:sz w:val="17"/>
          <w:szCs w:val="17"/>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 real estate investment trust (“REIT”)</w:t>
      </w:r>
      <w:r>
        <w:rPr>
          <w:rFonts w:ascii="Arial" w:cs="Arial" w:eastAsia="Arial" w:hAnsi="Arial"/>
          <w:sz w:val="19"/>
          <w:szCs w:val="19"/>
          <w:b w:val="1"/>
          <w:bCs w:val="1"/>
          <w:color w:val="auto"/>
        </w:rPr>
        <w:t xml:space="preserve"> </w:t>
      </w:r>
      <w:r>
        <w:rPr>
          <w:rFonts w:ascii="Arial" w:cs="Arial" w:eastAsia="Arial" w:hAnsi="Arial"/>
          <w:sz w:val="19"/>
          <w:szCs w:val="19"/>
          <w:color w:val="auto"/>
        </w:rPr>
        <w:t>that owns and operates manufactured housing and recreational vehicle communities, today reported its first quarter results.</w:t>
      </w:r>
    </w:p>
    <w:p>
      <w:pPr>
        <w:spacing w:after="0" w:line="7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Highlights: Three Months Ended March 31, 2013</w:t>
      </w:r>
    </w:p>
    <w:p>
      <w:pPr>
        <w:spacing w:after="0" w:line="28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2"/>
          <w:szCs w:val="22"/>
          <w:color w:val="auto"/>
        </w:rPr>
        <w:t>Raised $249.5 million in net proceeds from a follow-on offering of 5.8 million shares of common stock.</w:t>
      </w:r>
    </w:p>
    <w:p>
      <w:pPr>
        <w:spacing w:after="0" w:line="253"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2"/>
          <w:szCs w:val="22"/>
          <w:color w:val="auto"/>
        </w:rPr>
        <w:t>Same site Net Operating Income (“NOI”)</w:t>
      </w:r>
      <w:r>
        <w:rPr>
          <w:rFonts w:ascii="Arial" w:cs="Arial" w:eastAsia="Arial" w:hAnsi="Arial"/>
          <w:sz w:val="25"/>
          <w:szCs w:val="25"/>
          <w:color w:val="auto"/>
          <w:vertAlign w:val="superscript"/>
        </w:rPr>
        <w:t>(2)</w:t>
      </w:r>
      <w:r>
        <w:rPr>
          <w:rFonts w:ascii="Arial" w:cs="Arial" w:eastAsia="Arial" w:hAnsi="Arial"/>
          <w:sz w:val="22"/>
          <w:szCs w:val="22"/>
          <w:color w:val="auto"/>
        </w:rPr>
        <w:t xml:space="preserve"> increased by 5.6 percent as compared to the first quarter of 2012.</w:t>
      </w:r>
    </w:p>
    <w:p>
      <w:pPr>
        <w:spacing w:after="0" w:line="24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21"/>
          <w:szCs w:val="21"/>
          <w:color w:val="auto"/>
        </w:rPr>
      </w:pPr>
      <w:r>
        <w:rPr>
          <w:rFonts w:ascii="Arial" w:cs="Arial" w:eastAsia="Arial" w:hAnsi="Arial"/>
          <w:sz w:val="21"/>
          <w:szCs w:val="21"/>
          <w:color w:val="auto"/>
        </w:rPr>
        <w:t>Revenue producing sites increased by 621 sites, compared to an increase of 294 during the first quarter of 2012.</w:t>
      </w:r>
    </w:p>
    <w:p>
      <w:pPr>
        <w:spacing w:after="0" w:line="265" w:lineRule="exact"/>
        <w:rPr>
          <w:rFonts w:ascii="Arial" w:cs="Arial" w:eastAsia="Arial" w:hAnsi="Arial"/>
          <w:sz w:val="21"/>
          <w:szCs w:val="21"/>
          <w:color w:val="auto"/>
        </w:rPr>
      </w:pPr>
    </w:p>
    <w:p>
      <w:pPr>
        <w:ind w:left="660" w:hanging="652"/>
        <w:spacing w:after="0" w:line="23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FFO</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excluding certain items as described in this release was $0.93 per diluted share and OP Unit ("Share") as compared to $0.90 per Share in the first quarter of 2012.</w:t>
      </w:r>
    </w:p>
    <w:p>
      <w:pPr>
        <w:spacing w:after="0" w:line="240" w:lineRule="exact"/>
        <w:rPr>
          <w:rFonts w:ascii="Arial" w:cs="Arial" w:eastAsia="Arial" w:hAnsi="Arial"/>
          <w:sz w:val="22"/>
          <w:szCs w:val="22"/>
          <w:color w:val="auto"/>
        </w:rPr>
      </w:pPr>
    </w:p>
    <w:p>
      <w:pPr>
        <w:ind w:left="660" w:hanging="652"/>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Home sales increased 16.2 percent as compared to the first quarter of 2012.</w:t>
      </w:r>
    </w:p>
    <w:p>
      <w:pPr>
        <w:spacing w:after="0" w:line="2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has grown dramatically while operating metrics continue to set new standards and records with each passing quarter. When we also consider the successful efforts to strengthen the balance sheet, we see a transformed company", said Gary A. Shiffman, Chairman and CEO. "Our primary goal now is to bring performance to the bottom line through 2013 and 2014", added Shiffman.</w:t>
      </w: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Funds from Operations (“FFO”)</w:t>
      </w:r>
      <w:r>
        <w:rPr>
          <w:rFonts w:ascii="Arial" w:cs="Arial" w:eastAsia="Arial" w:hAnsi="Arial"/>
          <w:sz w:val="28"/>
          <w:szCs w:val="28"/>
          <w:b w:val="1"/>
          <w:bCs w:val="1"/>
          <w:color w:val="auto"/>
          <w:vertAlign w:val="superscript"/>
        </w:rPr>
        <w:t>(1)</w:t>
      </w:r>
    </w:p>
    <w:p>
      <w:pPr>
        <w:spacing w:after="0" w:line="20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FFO</w:t>
      </w:r>
      <w:r>
        <w:rPr>
          <w:rFonts w:ascii="Arial" w:cs="Arial" w:eastAsia="Arial" w:hAnsi="Arial"/>
          <w:sz w:val="24"/>
          <w:szCs w:val="24"/>
          <w:color w:val="auto"/>
          <w:vertAlign w:val="superscript"/>
        </w:rPr>
        <w:t>(1)</w:t>
      </w:r>
      <w:r>
        <w:rPr>
          <w:rFonts w:ascii="Arial" w:cs="Arial" w:eastAsia="Arial" w:hAnsi="Arial"/>
          <w:sz w:val="21"/>
          <w:szCs w:val="21"/>
          <w:color w:val="auto"/>
        </w:rPr>
        <w:t xml:space="preserve"> was $30.7 million, or $0.90 per Share, in the first quarter of 2013 as compared to $25.7 million, or $0.89 per Share, in the first quarter of 2012. Excluding approximately $1.0 million and $0.2 million of transaction costs incurred in connection with acquisition activity during the three months ended March 31, 2013 and 2012, respectively, FFO</w:t>
      </w:r>
      <w:r>
        <w:rPr>
          <w:rFonts w:ascii="Arial" w:cs="Arial" w:eastAsia="Arial" w:hAnsi="Arial"/>
          <w:sz w:val="24"/>
          <w:szCs w:val="24"/>
          <w:color w:val="auto"/>
          <w:vertAlign w:val="superscript"/>
        </w:rPr>
        <w:t>(1)</w:t>
      </w:r>
      <w:r>
        <w:rPr>
          <w:rFonts w:ascii="Arial" w:cs="Arial" w:eastAsia="Arial" w:hAnsi="Arial"/>
          <w:sz w:val="21"/>
          <w:szCs w:val="21"/>
          <w:color w:val="auto"/>
        </w:rPr>
        <w:t xml:space="preserve"> was $31.7 million and $25.9 million, or $0.93 and $0.90 per Share for the three months ended March 31, 2013 and 2012,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Net Income Attributable to Common Stockholders</w:t>
      </w: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Net income attributable to common stockholders for the first quarter of 2013 was $5.7 million, or $0.19 per diluted common share, compared with net income of $5.4 million, or $0.21 per diluted common share, for the first quarter of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4380" w:val="left"/>
        </w:tabs>
        <w:rPr>
          <w:sz w:val="20"/>
          <w:szCs w:val="20"/>
          <w:color w:val="auto"/>
        </w:rPr>
      </w:pPr>
      <w:r>
        <w:rPr>
          <w:rFonts w:ascii="Arial" w:cs="Arial" w:eastAsia="Arial" w:hAnsi="Arial"/>
          <w:sz w:val="18"/>
          <w:szCs w:val="18"/>
          <w:color w:val="auto"/>
        </w:rPr>
        <w:t>Sun Communities, Inc. 1st Quarter 2013</w:t>
      </w:r>
      <w:r>
        <w:rPr>
          <w:sz w:val="20"/>
          <w:szCs w:val="20"/>
          <w:color w:val="auto"/>
        </w:rPr>
        <w:tab/>
      </w:r>
      <w:r>
        <w:rPr>
          <w:rFonts w:ascii="Arial" w:cs="Arial" w:eastAsia="Arial" w:hAnsi="Arial"/>
          <w:sz w:val="15"/>
          <w:szCs w:val="15"/>
          <w:color w:val="auto"/>
        </w:rPr>
        <w:t>Page 2</w:t>
      </w:r>
    </w:p>
    <w:p>
      <w:pPr>
        <w:sectPr>
          <w:pgSz w:w="11900" w:h="16838" w:orient="portrait"/>
          <w:cols w:equalWidth="0" w:num="1">
            <w:col w:w="11420"/>
          </w:cols>
          <w:pgMar w:left="240" w:top="922" w:right="23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color w:val="auto"/>
        </w:rPr>
        <w:t>Community Occupancy</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During the first quarter of 2013, revenue producing sites increased by 621 sites as compared to 294 revenue producing sites gained in the first quarter of 2012. Of the 621 sites, 435 were gained in same site properties while the remaining 186 were gained in properties acquired in 2012 and 2013. Total portfolio occupancy increased to 88.6 percent at March 31, 2013 from 86.0 percent at March 31, 2012.</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Company rented an additional 474 homes during the three months ended March 31, 2013, bringing the total number of occupied rentals to 8,584.</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Same Site Results</w:t>
      </w:r>
    </w:p>
    <w:p>
      <w:pPr>
        <w:spacing w:after="0" w:line="24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159 communities owned throughout 2013 and 2012, first quarter 2013 total revenues increased 4.9 percent and total expenses increased 3.2 percent, resulting in an increase in NOI</w:t>
      </w:r>
      <w:r>
        <w:rPr>
          <w:rFonts w:ascii="Arial" w:cs="Arial" w:eastAsia="Arial" w:hAnsi="Arial"/>
          <w:sz w:val="25"/>
          <w:szCs w:val="25"/>
          <w:color w:val="auto"/>
          <w:vertAlign w:val="superscript"/>
        </w:rPr>
        <w:t>(2)</w:t>
      </w:r>
      <w:r>
        <w:rPr>
          <w:rFonts w:ascii="Arial" w:cs="Arial" w:eastAsia="Arial" w:hAnsi="Arial"/>
          <w:sz w:val="22"/>
          <w:szCs w:val="22"/>
          <w:color w:val="auto"/>
        </w:rPr>
        <w:t xml:space="preserve"> of 5.6 percent over the first quarter of 2012. Same site occupancy increased to 88.0 percent at March 31, 2013 from 86.1 percent at March 31, 2012.</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Home Sales</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During the first quarter of 2013, 466 homes were sold, an increase of 65 sales, or 16.2 percent, from the 401 homes sold during the first quarter of 2012. Rental home sales, which are included in total home sales, totaled 236 and 218 for the first quarters of 2013 and 2012,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Acquisitions</w:t>
      </w:r>
    </w:p>
    <w:p>
      <w:pPr>
        <w:spacing w:after="0" w:line="322"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Subsequent to quarter end, on April 18, 2013, the Company acquired a recreational vehicle community, personal property, inventory and other associated intangibles for an aggregate purchase price of $9.8 million paid in cash. This community is located in New York and is comprised of 299 sites.</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previously announced, the Company acquired ten recreational vehicle communities located in Maine, Virginia, Connecticut, Massachusetts, New Jersey, Ohio, and Wisconsin in February 2013. The communities are comprised of over 3,600 sites of which over 40 percent are reserved under annual rental contracts.</w:t>
      </w:r>
    </w:p>
    <w:p>
      <w:pPr>
        <w:spacing w:after="0" w:line="14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"Recent acquisitions have served to diversify the company geographically into new markets as well as to expand our commitment to recreational vehicle properties. While formerly limited to seasonal operations during the months of December through April primarily in our Southern Florida and Texas RV communities, our geographic footprint now extends North to Wisconsin and the eastern seaboard up to Maine where the RV season is opposite of the South, running from June through October. We've created a year round business with complimentary northern and southern seasons which will provide more efficient and effective use of our staff, marketing and RV systems", said Shiffman.</w:t>
      </w:r>
    </w:p>
    <w:p>
      <w:pPr>
        <w:spacing w:after="0" w:line="21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Equity Transactions</w:t>
      </w:r>
    </w:p>
    <w:p>
      <w:pPr>
        <w:spacing w:after="0" w:line="28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On March 18, 2013, the Company completed a follow-on offering of 5,750,000 shares of common stock at a price of $45.25 per share. Net proceeds from the offering were $249.5 million. The Company used the proceeds to repay outstanding debt and purchase the 10 communities mentioned above, and the remainder will be used for working capital and potential future acquisition of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4380" w:val="left"/>
        </w:tabs>
        <w:rPr>
          <w:sz w:val="20"/>
          <w:szCs w:val="20"/>
          <w:color w:val="auto"/>
        </w:rPr>
      </w:pPr>
      <w:r>
        <w:rPr>
          <w:rFonts w:ascii="Arial" w:cs="Arial" w:eastAsia="Arial" w:hAnsi="Arial"/>
          <w:sz w:val="18"/>
          <w:szCs w:val="18"/>
          <w:color w:val="auto"/>
        </w:rPr>
        <w:t>Sun Communities, Inc. 1st Quarter 2013</w:t>
      </w:r>
      <w:r>
        <w:rPr>
          <w:sz w:val="20"/>
          <w:szCs w:val="20"/>
          <w:color w:val="auto"/>
        </w:rPr>
        <w:tab/>
      </w:r>
      <w:r>
        <w:rPr>
          <w:rFonts w:ascii="Arial" w:cs="Arial" w:eastAsia="Arial" w:hAnsi="Arial"/>
          <w:sz w:val="15"/>
          <w:szCs w:val="15"/>
          <w:color w:val="auto"/>
        </w:rPr>
        <w:t>Page 3</w:t>
      </w:r>
    </w:p>
    <w:p>
      <w:pPr>
        <w:sectPr>
          <w:pgSz w:w="11900" w:h="16838" w:orient="portrait"/>
          <w:cols w:equalWidth="0" w:num="1">
            <w:col w:w="11420"/>
          </w:cols>
          <w:pgMar w:left="240" w:top="360" w:right="2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color w:val="auto"/>
        </w:rPr>
        <w:t>Guidance</w:t>
      </w:r>
    </w:p>
    <w:p>
      <w:pPr>
        <w:spacing w:after="0" w:line="275" w:lineRule="exact"/>
        <w:rPr>
          <w:sz w:val="20"/>
          <w:szCs w:val="20"/>
          <w:color w:val="auto"/>
        </w:rPr>
      </w:pPr>
    </w:p>
    <w:p>
      <w:pPr>
        <w:jc w:val="both"/>
        <w:ind w:right="20"/>
        <w:spacing w:after="0" w:line="234" w:lineRule="auto"/>
        <w:rPr>
          <w:sz w:val="20"/>
          <w:szCs w:val="20"/>
          <w:color w:val="auto"/>
        </w:rPr>
      </w:pPr>
      <w:r>
        <w:rPr>
          <w:rFonts w:ascii="Arial" w:cs="Arial" w:eastAsia="Arial" w:hAnsi="Arial"/>
          <w:sz w:val="22"/>
          <w:szCs w:val="22"/>
          <w:color w:val="auto"/>
        </w:rPr>
        <w:t>The Company maintains its 2013 FFO</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guidance of $3.19 - $3.29 per Share assuming acquisition related expenses are added back in the computation of FFO</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and including acquisitions completed through March 31, 2013. No prospective acquisitions or equity offerings are included.</w:t>
      </w:r>
    </w:p>
    <w:p>
      <w:pPr>
        <w:spacing w:after="0" w:line="233"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FFO</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for the second quarter of 2013 is expected to be $0.68 - $0.71 per Share after adjustment for acquisition costs. Second quarter earnings are impacted by higher property operating and maintenance expenses for the portfolio and minimal transient recreational vehicle revenue, as the winter recreational vehicle season ends in April and the summer recreational vehicle season doesn't begin until June.</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 estimates and assumptions presented above are forward looking based on the Company's current assessment of economic and market conditions, as well as other risks outlined below under the caption “Forward-Looking Statements.”</w:t>
      </w:r>
    </w:p>
    <w:p>
      <w:pPr>
        <w:spacing w:after="0" w:line="31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Earnings Conference Call</w:t>
      </w:r>
    </w:p>
    <w:p>
      <w:pPr>
        <w:spacing w:after="0" w:line="281"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A conference call to discuss first quarter operating results will be held on Thursday, April 25, 2013 at 11:00 A.M. (EST). To participate, call toll-free 877-941-8609. Callers outside the U.S. or Canada can access the call at 480-629-9692. A replay will be available following the call through May 9, 2013, and can be accessed toll-free by calling 800-406-7325 or by calling 303-590-3030. The Conference ID number for the call and the replay is 4608462. The conference call will be available live on Sun Communities website www.suncommunities.com. Replay will also be available on the website.</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Sun Communities, Inc. is a REIT that currently owns and operates a portfolio of 184 communities comprising approximately 67,700 developed sites.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about Sun Communities, Inc., please visit our website at www.suncommunities.com.</w:t>
      </w:r>
    </w:p>
    <w:p>
      <w:pPr>
        <w:spacing w:after="0" w:line="2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Please address all inquiries to our investor relations department, at our website www.suncommunities.com, by phone (248) 208-2500, by email investorrelations@suncommunities.com, by facsimile (248) 208-2645 or by mail Sun Communities, Inc. Investor Relations, 27777 Franklin Road, Ste. 200, Southfield, MI 48034.</w:t>
      </w:r>
    </w:p>
    <w:p>
      <w:pPr>
        <w:spacing w:after="0" w:line="200" w:lineRule="exact"/>
        <w:rPr>
          <w:sz w:val="20"/>
          <w:szCs w:val="20"/>
          <w:color w:val="auto"/>
        </w:rPr>
      </w:pPr>
    </w:p>
    <w:p>
      <w:pPr>
        <w:spacing w:after="0" w:line="263" w:lineRule="exact"/>
        <w:rPr>
          <w:sz w:val="20"/>
          <w:szCs w:val="20"/>
          <w:color w:val="auto"/>
        </w:rPr>
      </w:pPr>
    </w:p>
    <w:p>
      <w:pPr>
        <w:spacing w:after="0"/>
        <w:tabs>
          <w:tab w:leader="none" w:pos="4380" w:val="left"/>
        </w:tabs>
        <w:rPr>
          <w:sz w:val="20"/>
          <w:szCs w:val="20"/>
          <w:color w:val="auto"/>
        </w:rPr>
      </w:pPr>
      <w:r>
        <w:rPr>
          <w:rFonts w:ascii="Arial" w:cs="Arial" w:eastAsia="Arial" w:hAnsi="Arial"/>
          <w:sz w:val="18"/>
          <w:szCs w:val="18"/>
          <w:color w:val="auto"/>
        </w:rPr>
        <w:t>Sun Communities, Inc. 1st Quarter 2013</w:t>
      </w:r>
      <w:r>
        <w:rPr>
          <w:sz w:val="20"/>
          <w:szCs w:val="20"/>
          <w:color w:val="auto"/>
        </w:rPr>
        <w:tab/>
      </w:r>
      <w:r>
        <w:rPr>
          <w:rFonts w:ascii="Arial" w:cs="Arial" w:eastAsia="Arial" w:hAnsi="Arial"/>
          <w:sz w:val="15"/>
          <w:szCs w:val="15"/>
          <w:color w:val="auto"/>
        </w:rPr>
        <w:t>Page 4</w:t>
      </w:r>
    </w:p>
    <w:p>
      <w:pPr>
        <w:sectPr>
          <w:pgSz w:w="11900" w:h="16838" w:orient="portrait"/>
          <w:cols w:equalWidth="0" w:num="1">
            <w:col w:w="11420"/>
          </w:cols>
          <w:pgMar w:left="240" w:top="954" w:right="239" w:bottom="1440" w:gutter="0" w:footer="0" w:header="0"/>
        </w:sectPr>
      </w:pPr>
    </w:p>
    <w:bookmarkStart w:id="8" w:name="page9"/>
    <w:bookmarkEnd w:id="8"/>
    <w:p>
      <w:pPr>
        <w:jc w:val="both"/>
        <w:ind w:left="660" w:hanging="260"/>
        <w:spacing w:after="0" w:line="284" w:lineRule="auto"/>
        <w:tabs>
          <w:tab w:leader="none" w:pos="660" w:val="left"/>
        </w:tabs>
        <w:numPr>
          <w:ilvl w:val="0"/>
          <w:numId w:val="4"/>
        </w:numPr>
        <w:rPr>
          <w:rFonts w:ascii="Arial" w:cs="Arial" w:eastAsia="Arial" w:hAnsi="Arial"/>
          <w:sz w:val="16"/>
          <w:szCs w:val="16"/>
          <w:color w:val="auto"/>
          <w:vertAlign w:val="superscript"/>
        </w:rPr>
      </w:pPr>
      <w:r>
        <w:rPr>
          <w:rFonts w:ascii="Arial" w:cs="Arial" w:eastAsia="Arial" w:hAnsi="Arial"/>
          <w:sz w:val="14"/>
          <w:szCs w:val="14"/>
          <w:color w:val="auto"/>
        </w:rPr>
        <w:t>Funds from operations (“FFO”) is defined by the National Association of Real Estate Investment Trusts (“NAREIT”) as net income (loss) (computed in accordance with generally accepted accounting principles “GAAP”), excluding gains (or losses) from sales of depreciable operating property, plus real estate-related depreciation and amortization, and after adjustments for unconsolidated partnerships and joint ventures. FFO is a non-GAAP financial measure that management believes is a useful supplemental measure of the Company's operating performance. Management generally considers FFO to be a useful measure for reviewing comparative operating and financial performance because, by excluding gains and losses related to sales of previously depreciated operating real estate assets, impairment and excluding real estate asset depreciation and amortization (which can vary among owners of identical assets in similar condition based on historical cost accounting and useful life estimates), FFO provides a performance measure that, when compared year over year, reflects the impact to operations from trends in occupancy rates, rental rates and operating costs, providing perspective not readily apparent from net loss. Management believes that the use of FFO has been beneficial in improving the understanding of operating results of REITs among the investing public and making comparisons of REIT operating results more meaningful. FFO is computed in accordance with the Company's interpretation of standards established by NAREIT, which may not be comparable to FFO reported by other REITs that do not define the term in accordance with the current NAREIT definition or that interpret the current NAREIT definition differently than the Company.</w:t>
      </w:r>
    </w:p>
    <w:p>
      <w:pPr>
        <w:spacing w:after="0" w:line="173" w:lineRule="exact"/>
        <w:rPr>
          <w:rFonts w:ascii="Arial" w:cs="Arial" w:eastAsia="Arial" w:hAnsi="Arial"/>
          <w:sz w:val="16"/>
          <w:szCs w:val="16"/>
          <w:color w:val="auto"/>
          <w:vertAlign w:val="superscript"/>
        </w:rPr>
      </w:pPr>
    </w:p>
    <w:p>
      <w:pPr>
        <w:jc w:val="both"/>
        <w:ind w:left="660"/>
        <w:spacing w:after="0" w:line="274" w:lineRule="auto"/>
        <w:rPr>
          <w:rFonts w:ascii="Arial" w:cs="Arial" w:eastAsia="Arial" w:hAnsi="Arial"/>
          <w:sz w:val="16"/>
          <w:szCs w:val="16"/>
          <w:color w:val="auto"/>
          <w:vertAlign w:val="superscript"/>
        </w:rPr>
      </w:pPr>
      <w:r>
        <w:rPr>
          <w:rFonts w:ascii="Arial" w:cs="Arial" w:eastAsia="Arial" w:hAnsi="Arial"/>
          <w:sz w:val="15"/>
          <w:szCs w:val="15"/>
          <w:color w:val="auto"/>
        </w:rPr>
        <w:t>Because FFO excludes significant economic components of net income (loss) including depreciation and amortization, FFO should be used as an adjunct to net income (loss) and not as an alternative to net income (loss). The principal limitation of FFO is that it does not represent cash flow from operations as defined by GAAP and is a supplemental measure of performance that does not replace net income (loss) as a measure of performance or net cash provided by operating activities as a measure of liquidity. In addition, FFO is not intended as a measure of a REIT's ability to meet debt principal repayments and other cash requirements, nor as a measure of working capital. FFO only provides investors with an additional performance measure.</w:t>
      </w:r>
    </w:p>
    <w:p>
      <w:pPr>
        <w:spacing w:after="0" w:line="176" w:lineRule="exact"/>
        <w:rPr>
          <w:rFonts w:ascii="Arial" w:cs="Arial" w:eastAsia="Arial" w:hAnsi="Arial"/>
          <w:sz w:val="16"/>
          <w:szCs w:val="16"/>
          <w:color w:val="auto"/>
          <w:vertAlign w:val="superscript"/>
        </w:rPr>
      </w:pPr>
    </w:p>
    <w:p>
      <w:pPr>
        <w:jc w:val="both"/>
        <w:ind w:left="660" w:hanging="260"/>
        <w:spacing w:after="0" w:line="264" w:lineRule="auto"/>
        <w:tabs>
          <w:tab w:leader="none" w:pos="660" w:val="left"/>
        </w:tabs>
        <w:numPr>
          <w:ilvl w:val="0"/>
          <w:numId w:val="4"/>
        </w:numPr>
        <w:rPr>
          <w:rFonts w:ascii="Arial" w:cs="Arial" w:eastAsia="Arial" w:hAnsi="Arial"/>
          <w:sz w:val="17"/>
          <w:szCs w:val="17"/>
          <w:color w:val="auto"/>
          <w:vertAlign w:val="superscript"/>
        </w:rPr>
      </w:pPr>
      <w:r>
        <w:rPr>
          <w:rFonts w:ascii="Arial" w:cs="Arial" w:eastAsia="Arial" w:hAnsi="Arial"/>
          <w:sz w:val="15"/>
          <w:szCs w:val="15"/>
          <w:color w:val="auto"/>
        </w:rPr>
        <w:t>Investors in and analysts following the real estate industry utilize NOI as a supplemental performance measure. NOI is derived from revenues minus property operating expenses and real estate taxes. NOI does not represent cash generated from operating activities in accordance with GAAP and should not be considered to be an alternative to net income (loss) (determined in accordance with GAAP) as an indication of the Company's financial performance or to be an alternative to cash flow from operating activities (determined in accordance with GAAP) as a measure of the Company's liquidity; nor is it indicative of funds available for the Company's cash needs, including its ability to make cash distributions. The Company believes that net income (loss) is the most directly comparable GAAP measurement to NOI. Net income (loss) includes interest and depreciation and amortization which often have no effect on the market value of a property and therefore limit its use as a performance measure. In addition, such expenses are often incurred at a parent company level and therefore are not necessarily linked to the performance of a real estate asset. The Company believes that NOI is helpful to investors as a measure of operating performance because it is an indicator of the return on property investment, and provides a method of comparing property performance over time. The Company uses NOI as a key management tool when evaluating performance and growth of particular properties and/or groups of properties. The principal limitation of NOI is that it excludes depreciation, amortization, interest expense, and non-property specific expenses such as general and administrative expenses, all of which are significant costs, and therefore, NOI is a measure of the operating performance of the properties of the Company rather than of the Company overall.</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This press release contains various “forward-looking statements” within the meaning of the Securities Act of 1933, as amended, and the Securities Exchange Act of 1934, as amended, and the Company intends that such forward-looking statements will be subject to the safe harbors created thereby. Forward-looking statements can be identified by words such as “will,” “may,” “could,” “expect,” “anticipate,” “believes,” “intends,” “should,” “plans,” “estimates,” “approximate”, “guidance” and similar expressions in this press release that predict or indicate future events and trends and that do not report historical matters.</w:t>
      </w:r>
    </w:p>
    <w:p>
      <w:pPr>
        <w:spacing w:after="0" w:line="205"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These forward-looking statements reflect the Company’s current views with respect to future events and financial performance, but involve known and unknown risks, uncertainties, and other factors, some of which are beyond our control. These risks, uncertainties, and other factors may cause the actual results of the Company to be materially different from any future results expressed or implied by such forward-looking statements. Such risks and uncertainties include national, regional and local economic climates, the ability to maintain rental rates and occupancy levels, competitive market forces, changes in market rates of interest, the ability of manufactured home buyers to obtain financing, the level of repossessions by manufactured home lenders and those risks and uncertainties referenced under the headings entitled “Risk Factors” contained in our 2012 Annual Report, and the Company’s other periodic filings with the Securities and Exchange Commission.</w:t>
      </w:r>
    </w:p>
    <w:p>
      <w:pPr>
        <w:spacing w:after="0" w:line="162"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The forward-looking statements contained in this press release speak only as of the date hereof and the Company expressly disclaims any obligation to provide public updates, revisions or amendments to any forward- looking statements made herein to reflect changes in the Company’s assumptions, expectations of future events, or trends.</w:t>
      </w:r>
    </w:p>
    <w:p>
      <w:pPr>
        <w:spacing w:after="0" w:line="338" w:lineRule="exact"/>
        <w:rPr>
          <w:sz w:val="20"/>
          <w:szCs w:val="20"/>
          <w:color w:val="auto"/>
        </w:rPr>
      </w:pPr>
    </w:p>
    <w:p>
      <w:pPr>
        <w:spacing w:after="0"/>
        <w:tabs>
          <w:tab w:leader="none" w:pos="4380" w:val="left"/>
        </w:tabs>
        <w:rPr>
          <w:sz w:val="20"/>
          <w:szCs w:val="20"/>
          <w:color w:val="auto"/>
        </w:rPr>
      </w:pPr>
      <w:r>
        <w:rPr>
          <w:rFonts w:ascii="Arial" w:cs="Arial" w:eastAsia="Arial" w:hAnsi="Arial"/>
          <w:sz w:val="18"/>
          <w:szCs w:val="18"/>
          <w:color w:val="auto"/>
        </w:rPr>
        <w:t>Sun Communities, Inc. 1st Quarter 2013</w:t>
      </w:r>
      <w:r>
        <w:rPr>
          <w:sz w:val="20"/>
          <w:szCs w:val="20"/>
          <w:color w:val="auto"/>
        </w:rPr>
        <w:tab/>
      </w:r>
      <w:r>
        <w:rPr>
          <w:rFonts w:ascii="Arial" w:cs="Arial" w:eastAsia="Arial" w:hAnsi="Arial"/>
          <w:sz w:val="15"/>
          <w:szCs w:val="15"/>
          <w:color w:val="auto"/>
        </w:rPr>
        <w:t>Page 5</w:t>
      </w:r>
    </w:p>
    <w:p>
      <w:pPr>
        <w:sectPr>
          <w:pgSz w:w="11900" w:h="16838" w:orient="portrait"/>
          <w:cols w:equalWidth="0" w:num="1">
            <w:col w:w="11420"/>
          </w:cols>
          <w:pgMar w:left="240" w:top="373"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5852160</wp:posOffset>
            </wp:positionH>
            <wp:positionV relativeFrom="page">
              <wp:posOffset>88900</wp:posOffset>
            </wp:positionV>
            <wp:extent cx="1551940" cy="31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551940" cy="317500"/>
                    </a:xfrm>
                    <a:prstGeom prst="rect">
                      <a:avLst/>
                    </a:prstGeom>
                    <a:noFill/>
                  </pic:spPr>
                </pic:pic>
              </a:graphicData>
            </a:graphic>
          </wp:anchor>
        </w:drawing>
        <w:t>Consolidated Balance Sheets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700" w:type="dxa"/>
            <w:vAlign w:val="bottom"/>
            <w:gridSpan w:val="3"/>
          </w:tcPr>
          <w:p>
            <w:pPr>
              <w:ind w:left="100"/>
              <w:spacing w:after="0"/>
              <w:rPr>
                <w:sz w:val="20"/>
                <w:szCs w:val="20"/>
                <w:color w:val="auto"/>
              </w:rPr>
            </w:pPr>
            <w:r>
              <w:rPr>
                <w:rFonts w:ascii="Arial" w:cs="Arial" w:eastAsia="Arial" w:hAnsi="Arial"/>
                <w:sz w:val="14"/>
                <w:szCs w:val="14"/>
                <w:b w:val="1"/>
                <w:bCs w:val="1"/>
                <w:color w:val="auto"/>
              </w:rPr>
              <w:t>(Unaudited) March 31,</w:t>
            </w:r>
          </w:p>
        </w:tc>
        <w:tc>
          <w:tcPr>
            <w:tcW w:w="180" w:type="dxa"/>
            <w:vAlign w:val="bottom"/>
          </w:tcPr>
          <w:p>
            <w:pPr>
              <w:spacing w:after="0"/>
              <w:rPr>
                <w:sz w:val="14"/>
                <w:szCs w:val="14"/>
                <w:color w:val="auto"/>
              </w:rPr>
            </w:pPr>
          </w:p>
        </w:tc>
        <w:tc>
          <w:tcPr>
            <w:tcW w:w="14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205"/>
        </w:trPr>
        <w:tc>
          <w:tcPr>
            <w:tcW w:w="44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8120" w:type="dxa"/>
            <w:vAlign w:val="bottom"/>
            <w:gridSpan w:val="2"/>
            <w:shd w:val="clear" w:color="auto" w:fill="EAF9E8"/>
          </w:tcPr>
          <w:p>
            <w:pPr>
              <w:ind w:left="380"/>
              <w:spacing w:after="0"/>
              <w:rPr>
                <w:sz w:val="20"/>
                <w:szCs w:val="20"/>
                <w:color w:val="auto"/>
              </w:rPr>
            </w:pPr>
            <w:r>
              <w:rPr>
                <w:rFonts w:ascii="Arial" w:cs="Arial" w:eastAsia="Arial" w:hAnsi="Arial"/>
                <w:sz w:val="18"/>
                <w:szCs w:val="18"/>
                <w:color w:val="auto"/>
                <w:w w:val="98"/>
              </w:rPr>
              <w:t>Investment property, net (including $55,909 and $56,326 for consolidated variable interest entities,</w:t>
            </w:r>
          </w:p>
        </w:tc>
        <w:tc>
          <w:tcPr>
            <w:tcW w:w="380" w:type="dxa"/>
            <w:vAlign w:val="bottom"/>
            <w:shd w:val="clear" w:color="auto" w:fill="EAF9E8"/>
          </w:tcPr>
          <w:p>
            <w:pPr>
              <w:spacing w:after="0"/>
              <w:rPr>
                <w:sz w:val="20"/>
                <w:szCs w:val="20"/>
                <w:color w:val="auto"/>
              </w:rPr>
            </w:pPr>
          </w:p>
        </w:tc>
        <w:tc>
          <w:tcPr>
            <w:tcW w:w="12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4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400" w:type="dxa"/>
            <w:vAlign w:val="bottom"/>
            <w:shd w:val="clear" w:color="auto" w:fill="EAF9E8"/>
          </w:tcPr>
          <w:p>
            <w:pPr>
              <w:ind w:left="380"/>
              <w:spacing w:after="0"/>
              <w:rPr>
                <w:sz w:val="20"/>
                <w:szCs w:val="20"/>
                <w:color w:val="auto"/>
              </w:rPr>
            </w:pPr>
            <w:r>
              <w:rPr>
                <w:rFonts w:ascii="Arial" w:cs="Arial" w:eastAsia="Arial" w:hAnsi="Arial"/>
                <w:sz w:val="18"/>
                <w:szCs w:val="18"/>
                <w:color w:val="auto"/>
              </w:rPr>
              <w:t>respectively)</w:t>
            </w:r>
          </w:p>
        </w:tc>
        <w:tc>
          <w:tcPr>
            <w:tcW w:w="3720" w:type="dxa"/>
            <w:vAlign w:val="bottom"/>
            <w:shd w:val="clear" w:color="auto" w:fill="EAF9E8"/>
          </w:tcPr>
          <w:p>
            <w:pPr>
              <w:spacing w:after="0"/>
              <w:rPr>
                <w:sz w:val="22"/>
                <w:szCs w:val="22"/>
                <w:color w:val="auto"/>
              </w:rPr>
            </w:pPr>
          </w:p>
        </w:tc>
        <w:tc>
          <w:tcPr>
            <w:tcW w:w="380" w:type="dxa"/>
            <w:vAlign w:val="bottom"/>
            <w:shd w:val="clear" w:color="auto" w:fill="EAF9E8"/>
          </w:tcPr>
          <w:p>
            <w:pPr>
              <w:jc w:val="right"/>
              <w:ind w:right="193"/>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1,625,052</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1,518,136</w:t>
            </w:r>
          </w:p>
        </w:tc>
        <w:tc>
          <w:tcPr>
            <w:tcW w:w="0" w:type="dxa"/>
            <w:vAlign w:val="bottom"/>
          </w:tcPr>
          <w:p>
            <w:pPr>
              <w:spacing w:after="0"/>
              <w:rPr>
                <w:sz w:val="1"/>
                <w:szCs w:val="1"/>
                <w:color w:val="auto"/>
              </w:rPr>
            </w:pPr>
          </w:p>
        </w:tc>
      </w:tr>
      <w:tr>
        <w:trPr>
          <w:trHeight w:val="263"/>
        </w:trPr>
        <w:tc>
          <w:tcPr>
            <w:tcW w:w="44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61,045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29,508</w:t>
            </w:r>
          </w:p>
        </w:tc>
        <w:tc>
          <w:tcPr>
            <w:tcW w:w="0" w:type="dxa"/>
            <w:vAlign w:val="bottom"/>
          </w:tcPr>
          <w:p>
            <w:pPr>
              <w:spacing w:after="0"/>
              <w:rPr>
                <w:sz w:val="1"/>
                <w:szCs w:val="1"/>
                <w:color w:val="auto"/>
              </w:rPr>
            </w:pPr>
          </w:p>
        </w:tc>
      </w:tr>
      <w:tr>
        <w:trPr>
          <w:trHeight w:val="277"/>
        </w:trPr>
        <w:tc>
          <w:tcPr>
            <w:tcW w:w="4400" w:type="dxa"/>
            <w:vAlign w:val="bottom"/>
            <w:shd w:val="clear" w:color="auto" w:fill="EAF9E8"/>
          </w:tcPr>
          <w:p>
            <w:pPr>
              <w:ind w:left="360"/>
              <w:spacing w:after="0"/>
              <w:rPr>
                <w:sz w:val="20"/>
                <w:szCs w:val="20"/>
                <w:color w:val="auto"/>
              </w:rPr>
            </w:pPr>
            <w:r>
              <w:rPr>
                <w:rFonts w:ascii="Arial" w:cs="Arial" w:eastAsia="Arial" w:hAnsi="Arial"/>
                <w:sz w:val="18"/>
                <w:szCs w:val="18"/>
                <w:color w:val="auto"/>
              </w:rPr>
              <w:t>Inventory of manufactured homes</w:t>
            </w:r>
          </w:p>
        </w:tc>
        <w:tc>
          <w:tcPr>
            <w:tcW w:w="372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7,667</w:t>
            </w: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4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7,527</w:t>
            </w:r>
          </w:p>
        </w:tc>
        <w:tc>
          <w:tcPr>
            <w:tcW w:w="0" w:type="dxa"/>
            <w:vAlign w:val="bottom"/>
          </w:tcPr>
          <w:p>
            <w:pPr>
              <w:spacing w:after="0"/>
              <w:rPr>
                <w:sz w:val="1"/>
                <w:szCs w:val="1"/>
                <w:color w:val="auto"/>
              </w:rPr>
            </w:pPr>
          </w:p>
        </w:tc>
      </w:tr>
      <w:tr>
        <w:trPr>
          <w:trHeight w:val="263"/>
        </w:trPr>
        <w:tc>
          <w:tcPr>
            <w:tcW w:w="4400" w:type="dxa"/>
            <w:vAlign w:val="bottom"/>
          </w:tcPr>
          <w:p>
            <w:pPr>
              <w:ind w:left="360"/>
              <w:spacing w:after="0"/>
              <w:rPr>
                <w:sz w:val="20"/>
                <w:szCs w:val="20"/>
                <w:color w:val="auto"/>
              </w:rPr>
            </w:pPr>
            <w:r>
              <w:rPr>
                <w:rFonts w:ascii="Arial" w:cs="Arial" w:eastAsia="Arial" w:hAnsi="Arial"/>
                <w:sz w:val="18"/>
                <w:szCs w:val="18"/>
                <w:color w:val="auto"/>
              </w:rPr>
              <w:t>Notes and other receivables</w:t>
            </w:r>
          </w:p>
        </w:tc>
        <w:tc>
          <w:tcPr>
            <w:tcW w:w="3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155,559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139,067</w:t>
            </w:r>
          </w:p>
        </w:tc>
        <w:tc>
          <w:tcPr>
            <w:tcW w:w="0" w:type="dxa"/>
            <w:vAlign w:val="bottom"/>
          </w:tcPr>
          <w:p>
            <w:pPr>
              <w:spacing w:after="0"/>
              <w:rPr>
                <w:sz w:val="1"/>
                <w:szCs w:val="1"/>
                <w:color w:val="auto"/>
              </w:rPr>
            </w:pPr>
          </w:p>
        </w:tc>
      </w:tr>
      <w:tr>
        <w:trPr>
          <w:trHeight w:val="270"/>
        </w:trPr>
        <w:tc>
          <w:tcPr>
            <w:tcW w:w="4400" w:type="dxa"/>
            <w:vAlign w:val="bottom"/>
            <w:shd w:val="clear" w:color="auto" w:fill="EAF9E8"/>
          </w:tcPr>
          <w:p>
            <w:pPr>
              <w:ind w:left="360"/>
              <w:spacing w:after="0"/>
              <w:rPr>
                <w:sz w:val="20"/>
                <w:szCs w:val="20"/>
                <w:color w:val="auto"/>
              </w:rPr>
            </w:pPr>
            <w:r>
              <w:rPr>
                <w:rFonts w:ascii="Arial" w:cs="Arial" w:eastAsia="Arial" w:hAnsi="Arial"/>
                <w:sz w:val="18"/>
                <w:szCs w:val="18"/>
                <w:color w:val="auto"/>
              </w:rPr>
              <w:t>Other assets</w:t>
            </w:r>
          </w:p>
        </w:tc>
        <w:tc>
          <w:tcPr>
            <w:tcW w:w="3720" w:type="dxa"/>
            <w:vAlign w:val="bottom"/>
            <w:shd w:val="clear" w:color="auto" w:fill="EAF9E8"/>
          </w:tcPr>
          <w:p>
            <w:pPr>
              <w:spacing w:after="0"/>
              <w:rPr>
                <w:sz w:val="23"/>
                <w:szCs w:val="23"/>
                <w:color w:val="auto"/>
              </w:rPr>
            </w:pPr>
          </w:p>
        </w:tc>
        <w:tc>
          <w:tcPr>
            <w:tcW w:w="380" w:type="dxa"/>
            <w:vAlign w:val="bottom"/>
            <w:tcBorders>
              <w:bottom w:val="single" w:sz="8" w:color="auto"/>
            </w:tcBorders>
            <w:shd w:val="clear" w:color="auto" w:fill="EAF9E8"/>
          </w:tcPr>
          <w:p>
            <w:pPr>
              <w:spacing w:after="0"/>
              <w:rPr>
                <w:sz w:val="23"/>
                <w:szCs w:val="23"/>
                <w:color w:val="auto"/>
              </w:rPr>
            </w:pPr>
          </w:p>
        </w:tc>
        <w:tc>
          <w:tcPr>
            <w:tcW w:w="122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64,477</w:t>
            </w:r>
          </w:p>
        </w:tc>
        <w:tc>
          <w:tcPr>
            <w:tcW w:w="100" w:type="dxa"/>
            <w:vAlign w:val="bottom"/>
            <w:shd w:val="clear" w:color="auto" w:fill="EAF9E8"/>
          </w:tcPr>
          <w:p>
            <w:pPr>
              <w:spacing w:after="0"/>
              <w:rPr>
                <w:sz w:val="23"/>
                <w:szCs w:val="23"/>
                <w:color w:val="auto"/>
              </w:rPr>
            </w:pPr>
          </w:p>
        </w:tc>
        <w:tc>
          <w:tcPr>
            <w:tcW w:w="180" w:type="dxa"/>
            <w:vAlign w:val="bottom"/>
            <w:tcBorders>
              <w:bottom w:val="single" w:sz="8" w:color="auto"/>
            </w:tcBorders>
            <w:shd w:val="clear" w:color="auto" w:fill="EAF9E8"/>
          </w:tcPr>
          <w:p>
            <w:pPr>
              <w:spacing w:after="0"/>
              <w:rPr>
                <w:sz w:val="23"/>
                <w:szCs w:val="23"/>
                <w:color w:val="auto"/>
              </w:rPr>
            </w:pPr>
          </w:p>
        </w:tc>
        <w:tc>
          <w:tcPr>
            <w:tcW w:w="142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59,879</w:t>
            </w:r>
          </w:p>
        </w:tc>
        <w:tc>
          <w:tcPr>
            <w:tcW w:w="0" w:type="dxa"/>
            <w:vAlign w:val="bottom"/>
          </w:tcPr>
          <w:p>
            <w:pPr>
              <w:spacing w:after="0"/>
              <w:rPr>
                <w:sz w:val="1"/>
                <w:szCs w:val="1"/>
                <w:color w:val="auto"/>
              </w:rPr>
            </w:pPr>
          </w:p>
        </w:tc>
      </w:tr>
      <w:tr>
        <w:trPr>
          <w:trHeight w:val="297"/>
        </w:trPr>
        <w:tc>
          <w:tcPr>
            <w:tcW w:w="4400" w:type="dxa"/>
            <w:vAlign w:val="bottom"/>
            <w:tcBorders>
              <w:bottom w:val="single" w:sz="8" w:color="EAF9E8"/>
            </w:tcBorders>
          </w:tcPr>
          <w:p>
            <w:pPr>
              <w:ind w:left="840"/>
              <w:spacing w:after="0"/>
              <w:rPr>
                <w:sz w:val="20"/>
                <w:szCs w:val="20"/>
                <w:color w:val="auto"/>
              </w:rPr>
            </w:pPr>
            <w:r>
              <w:rPr>
                <w:rFonts w:ascii="Arial" w:cs="Arial" w:eastAsia="Arial" w:hAnsi="Arial"/>
                <w:sz w:val="18"/>
                <w:szCs w:val="18"/>
                <w:b w:val="1"/>
                <w:bCs w:val="1"/>
                <w:color w:val="auto"/>
              </w:rPr>
              <w:t>TOTAL ASSETS</w:t>
            </w:r>
          </w:p>
        </w:tc>
        <w:tc>
          <w:tcPr>
            <w:tcW w:w="3720" w:type="dxa"/>
            <w:vAlign w:val="bottom"/>
            <w:tcBorders>
              <w:bottom w:val="single" w:sz="8" w:color="EAF9E8"/>
            </w:tcBorders>
          </w:tcPr>
          <w:p>
            <w:pPr>
              <w:spacing w:after="0"/>
              <w:rPr>
                <w:sz w:val="24"/>
                <w:szCs w:val="24"/>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1,913,800</w:t>
            </w:r>
          </w:p>
        </w:tc>
        <w:tc>
          <w:tcPr>
            <w:tcW w:w="100" w:type="dxa"/>
            <w:vAlign w:val="bottom"/>
            <w:tcBorders>
              <w:bottom w:val="single" w:sz="8" w:color="EAF9E8"/>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1,754,117</w:t>
            </w:r>
          </w:p>
        </w:tc>
        <w:tc>
          <w:tcPr>
            <w:tcW w:w="0" w:type="dxa"/>
            <w:vAlign w:val="bottom"/>
          </w:tcPr>
          <w:p>
            <w:pPr>
              <w:spacing w:after="0"/>
              <w:rPr>
                <w:sz w:val="1"/>
                <w:szCs w:val="1"/>
                <w:color w:val="auto"/>
              </w:rPr>
            </w:pPr>
          </w:p>
        </w:tc>
      </w:tr>
      <w:tr>
        <w:trPr>
          <w:trHeight w:val="251"/>
        </w:trPr>
        <w:tc>
          <w:tcPr>
            <w:tcW w:w="440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LIABILITIES</w:t>
            </w:r>
          </w:p>
        </w:tc>
        <w:tc>
          <w:tcPr>
            <w:tcW w:w="372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1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Debt (including $45,723 and $45,900 for consolidated variable interest entities, respectively)</w:t>
            </w:r>
          </w:p>
        </w:tc>
        <w:tc>
          <w:tcPr>
            <w:tcW w:w="380" w:type="dxa"/>
            <w:vAlign w:val="bottom"/>
          </w:tcPr>
          <w:p>
            <w:pPr>
              <w:jc w:val="right"/>
              <w:ind w:right="193"/>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1,356,609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1,423,720</w:t>
            </w:r>
          </w:p>
        </w:tc>
        <w:tc>
          <w:tcPr>
            <w:tcW w:w="0" w:type="dxa"/>
            <w:vAlign w:val="bottom"/>
          </w:tcPr>
          <w:p>
            <w:pPr>
              <w:spacing w:after="0"/>
              <w:rPr>
                <w:sz w:val="1"/>
                <w:szCs w:val="1"/>
                <w:color w:val="auto"/>
              </w:rPr>
            </w:pPr>
          </w:p>
        </w:tc>
      </w:tr>
      <w:tr>
        <w:trPr>
          <w:trHeight w:val="277"/>
        </w:trPr>
        <w:tc>
          <w:tcPr>
            <w:tcW w:w="4400" w:type="dxa"/>
            <w:vAlign w:val="bottom"/>
            <w:shd w:val="clear" w:color="auto" w:fill="EAF9E8"/>
          </w:tcPr>
          <w:p>
            <w:pPr>
              <w:ind w:left="360"/>
              <w:spacing w:after="0"/>
              <w:rPr>
                <w:sz w:val="20"/>
                <w:szCs w:val="20"/>
                <w:color w:val="auto"/>
              </w:rPr>
            </w:pPr>
            <w:r>
              <w:rPr>
                <w:rFonts w:ascii="Arial" w:cs="Arial" w:eastAsia="Arial" w:hAnsi="Arial"/>
                <w:sz w:val="18"/>
                <w:szCs w:val="18"/>
                <w:color w:val="auto"/>
              </w:rPr>
              <w:t>Lines of credit</w:t>
            </w:r>
          </w:p>
        </w:tc>
        <w:tc>
          <w:tcPr>
            <w:tcW w:w="372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4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29,781</w:t>
            </w:r>
          </w:p>
        </w:tc>
        <w:tc>
          <w:tcPr>
            <w:tcW w:w="0" w:type="dxa"/>
            <w:vAlign w:val="bottom"/>
          </w:tcPr>
          <w:p>
            <w:pPr>
              <w:spacing w:after="0"/>
              <w:rPr>
                <w:sz w:val="1"/>
                <w:szCs w:val="1"/>
                <w:color w:val="auto"/>
              </w:rPr>
            </w:pPr>
          </w:p>
        </w:tc>
      </w:tr>
      <w:tr>
        <w:trPr>
          <w:trHeight w:val="264"/>
        </w:trPr>
        <w:tc>
          <w:tcPr>
            <w:tcW w:w="4400" w:type="dxa"/>
            <w:vAlign w:val="bottom"/>
            <w:tcBorders>
              <w:bottom w:val="single" w:sz="8" w:color="EAF9E8"/>
            </w:tcBorders>
          </w:tcPr>
          <w:p>
            <w:pPr>
              <w:ind w:left="360"/>
              <w:spacing w:after="0"/>
              <w:rPr>
                <w:sz w:val="20"/>
                <w:szCs w:val="20"/>
                <w:color w:val="auto"/>
              </w:rPr>
            </w:pPr>
            <w:r>
              <w:rPr>
                <w:rFonts w:ascii="Arial" w:cs="Arial" w:eastAsia="Arial" w:hAnsi="Arial"/>
                <w:sz w:val="18"/>
                <w:szCs w:val="18"/>
                <w:color w:val="auto"/>
              </w:rPr>
              <w:t>Other liabilities</w:t>
            </w:r>
          </w:p>
        </w:tc>
        <w:tc>
          <w:tcPr>
            <w:tcW w:w="3720" w:type="dxa"/>
            <w:vAlign w:val="bottom"/>
            <w:tcBorders>
              <w:bottom w:val="single" w:sz="8" w:color="EAF9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95,232</w:t>
            </w:r>
          </w:p>
        </w:tc>
        <w:tc>
          <w:tcPr>
            <w:tcW w:w="100" w:type="dxa"/>
            <w:vAlign w:val="bottom"/>
            <w:tcBorders>
              <w:bottom w:val="single" w:sz="8" w:color="EAF9E8"/>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87,626</w:t>
            </w:r>
          </w:p>
        </w:tc>
        <w:tc>
          <w:tcPr>
            <w:tcW w:w="0" w:type="dxa"/>
            <w:vAlign w:val="bottom"/>
          </w:tcPr>
          <w:p>
            <w:pPr>
              <w:spacing w:after="0"/>
              <w:rPr>
                <w:sz w:val="1"/>
                <w:szCs w:val="1"/>
                <w:color w:val="auto"/>
              </w:rPr>
            </w:pPr>
          </w:p>
        </w:tc>
      </w:tr>
      <w:tr>
        <w:trPr>
          <w:trHeight w:val="257"/>
        </w:trPr>
        <w:tc>
          <w:tcPr>
            <w:tcW w:w="4400" w:type="dxa"/>
            <w:vAlign w:val="bottom"/>
            <w:shd w:val="clear" w:color="auto" w:fill="EAF9E8"/>
          </w:tcPr>
          <w:p>
            <w:pPr>
              <w:ind w:left="840"/>
              <w:spacing w:after="0"/>
              <w:rPr>
                <w:sz w:val="20"/>
                <w:szCs w:val="20"/>
                <w:color w:val="auto"/>
              </w:rPr>
            </w:pPr>
            <w:r>
              <w:rPr>
                <w:rFonts w:ascii="Arial" w:cs="Arial" w:eastAsia="Arial" w:hAnsi="Arial"/>
                <w:sz w:val="18"/>
                <w:szCs w:val="18"/>
                <w:b w:val="1"/>
                <w:bCs w:val="1"/>
                <w:color w:val="auto"/>
              </w:rPr>
              <w:t>TOTAL LIABILITIES</w:t>
            </w:r>
          </w:p>
        </w:tc>
        <w:tc>
          <w:tcPr>
            <w:tcW w:w="3720" w:type="dxa"/>
            <w:vAlign w:val="bottom"/>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93"/>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1,452,233</w:t>
            </w:r>
          </w:p>
        </w:tc>
        <w:tc>
          <w:tcPr>
            <w:tcW w:w="100" w:type="dxa"/>
            <w:vAlign w:val="bottom"/>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1,541,127</w:t>
            </w:r>
          </w:p>
        </w:tc>
        <w:tc>
          <w:tcPr>
            <w:tcW w:w="0" w:type="dxa"/>
            <w:vAlign w:val="bottom"/>
          </w:tcPr>
          <w:p>
            <w:pPr>
              <w:spacing w:after="0"/>
              <w:rPr>
                <w:sz w:val="1"/>
                <w:szCs w:val="1"/>
                <w:color w:val="auto"/>
              </w:rPr>
            </w:pPr>
          </w:p>
        </w:tc>
      </w:tr>
      <w:tr>
        <w:trPr>
          <w:trHeight w:val="257"/>
        </w:trPr>
        <w:tc>
          <w:tcPr>
            <w:tcW w:w="4400" w:type="dxa"/>
            <w:vAlign w:val="bottom"/>
          </w:tcPr>
          <w:p>
            <w:pPr>
              <w:ind w:left="360"/>
              <w:spacing w:after="0"/>
              <w:rPr>
                <w:sz w:val="20"/>
                <w:szCs w:val="20"/>
                <w:color w:val="auto"/>
              </w:rPr>
            </w:pPr>
            <w:r>
              <w:rPr>
                <w:rFonts w:ascii="Arial" w:cs="Arial" w:eastAsia="Arial" w:hAnsi="Arial"/>
                <w:sz w:val="18"/>
                <w:szCs w:val="18"/>
                <w:color w:val="auto"/>
              </w:rPr>
              <w:t>Commitments and contingencies</w:t>
            </w:r>
          </w:p>
        </w:tc>
        <w:tc>
          <w:tcPr>
            <w:tcW w:w="3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72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42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89"/>
              </w:rPr>
              <w:t>Preferred stock, $0.01 par value, 10,000 shares authorized (March 31, 2013 and December 31, 2012, 3,400</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400" w:type="dxa"/>
            <w:vAlign w:val="bottom"/>
          </w:tcPr>
          <w:p>
            <w:pPr>
              <w:ind w:left="380"/>
              <w:spacing w:after="0"/>
              <w:rPr>
                <w:sz w:val="20"/>
                <w:szCs w:val="20"/>
                <w:color w:val="auto"/>
              </w:rPr>
            </w:pPr>
            <w:r>
              <w:rPr>
                <w:rFonts w:ascii="Arial" w:cs="Arial" w:eastAsia="Arial" w:hAnsi="Arial"/>
                <w:sz w:val="18"/>
                <w:szCs w:val="18"/>
                <w:color w:val="auto"/>
              </w:rPr>
              <w:t>shares issued)</w:t>
            </w:r>
          </w:p>
        </w:tc>
        <w:tc>
          <w:tcPr>
            <w:tcW w:w="3720" w:type="dxa"/>
            <w:vAlign w:val="bottom"/>
          </w:tcPr>
          <w:p>
            <w:pPr>
              <w:spacing w:after="0"/>
              <w:rPr>
                <w:sz w:val="21"/>
                <w:szCs w:val="21"/>
                <w:color w:val="auto"/>
              </w:rPr>
            </w:pPr>
          </w:p>
        </w:tc>
        <w:tc>
          <w:tcPr>
            <w:tcW w:w="380" w:type="dxa"/>
            <w:vAlign w:val="bottom"/>
          </w:tcPr>
          <w:p>
            <w:pPr>
              <w:jc w:val="right"/>
              <w:ind w:right="193"/>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6"/>
        </w:trPr>
        <w:tc>
          <w:tcPr>
            <w:tcW w:w="8120" w:type="dxa"/>
            <w:vAlign w:val="bottom"/>
            <w:gridSpan w:val="2"/>
            <w:shd w:val="clear" w:color="auto" w:fill="EAF9E8"/>
          </w:tcPr>
          <w:p>
            <w:pPr>
              <w:ind w:left="380"/>
              <w:spacing w:after="0"/>
              <w:rPr>
                <w:sz w:val="20"/>
                <w:szCs w:val="20"/>
                <w:color w:val="auto"/>
              </w:rPr>
            </w:pPr>
            <w:r>
              <w:rPr>
                <w:rFonts w:ascii="Arial" w:cs="Arial" w:eastAsia="Arial" w:hAnsi="Arial"/>
                <w:sz w:val="18"/>
                <w:szCs w:val="18"/>
                <w:color w:val="auto"/>
                <w:w w:val="95"/>
              </w:rPr>
              <w:t>Common stock, $0.01 par value, 90,000 shares authorized (March 31, 2013 and December 31, 2012,</w:t>
            </w:r>
          </w:p>
        </w:tc>
        <w:tc>
          <w:tcPr>
            <w:tcW w:w="380" w:type="dxa"/>
            <w:vAlign w:val="bottom"/>
            <w:shd w:val="clear" w:color="auto" w:fill="EAF9E8"/>
          </w:tcPr>
          <w:p>
            <w:pPr>
              <w:spacing w:after="0"/>
              <w:rPr>
                <w:sz w:val="20"/>
                <w:szCs w:val="20"/>
                <w:color w:val="auto"/>
              </w:rPr>
            </w:pPr>
          </w:p>
        </w:tc>
        <w:tc>
          <w:tcPr>
            <w:tcW w:w="12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42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400" w:type="dxa"/>
            <w:vAlign w:val="bottom"/>
            <w:shd w:val="clear" w:color="auto" w:fill="EAF9E8"/>
          </w:tcPr>
          <w:p>
            <w:pPr>
              <w:ind w:left="380"/>
              <w:spacing w:after="0"/>
              <w:rPr>
                <w:sz w:val="20"/>
                <w:szCs w:val="20"/>
                <w:color w:val="auto"/>
              </w:rPr>
            </w:pPr>
            <w:r>
              <w:rPr>
                <w:rFonts w:ascii="Arial" w:cs="Arial" w:eastAsia="Arial" w:hAnsi="Arial"/>
                <w:sz w:val="18"/>
                <w:szCs w:val="18"/>
                <w:color w:val="auto"/>
              </w:rPr>
              <w:t>37,665 and 31,557 shares issued, respectively)</w:t>
            </w:r>
          </w:p>
        </w:tc>
        <w:tc>
          <w:tcPr>
            <w:tcW w:w="3720" w:type="dxa"/>
            <w:vAlign w:val="bottom"/>
            <w:shd w:val="clear" w:color="auto" w:fill="EAF9E8"/>
          </w:tcPr>
          <w:p>
            <w:pPr>
              <w:spacing w:after="0"/>
              <w:rPr>
                <w:sz w:val="22"/>
                <w:szCs w:val="22"/>
                <w:color w:val="auto"/>
              </w:rPr>
            </w:pPr>
          </w:p>
        </w:tc>
        <w:tc>
          <w:tcPr>
            <w:tcW w:w="380" w:type="dxa"/>
            <w:vAlign w:val="bottom"/>
            <w:shd w:val="clear" w:color="auto" w:fill="EAF9E8"/>
          </w:tcPr>
          <w:p>
            <w:pPr>
              <w:spacing w:after="0"/>
              <w:rPr>
                <w:sz w:val="22"/>
                <w:szCs w:val="22"/>
                <w:color w:val="auto"/>
              </w:rPr>
            </w:pPr>
          </w:p>
        </w:tc>
        <w:tc>
          <w:tcPr>
            <w:tcW w:w="12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14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63"/>
        </w:trPr>
        <w:tc>
          <w:tcPr>
            <w:tcW w:w="44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3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1,202,913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940,202</w:t>
            </w:r>
          </w:p>
        </w:tc>
        <w:tc>
          <w:tcPr>
            <w:tcW w:w="0" w:type="dxa"/>
            <w:vAlign w:val="bottom"/>
          </w:tcPr>
          <w:p>
            <w:pPr>
              <w:spacing w:after="0"/>
              <w:rPr>
                <w:sz w:val="1"/>
                <w:szCs w:val="1"/>
                <w:color w:val="auto"/>
              </w:rPr>
            </w:pPr>
          </w:p>
        </w:tc>
      </w:tr>
      <w:tr>
        <w:trPr>
          <w:trHeight w:val="277"/>
        </w:trPr>
        <w:tc>
          <w:tcPr>
            <w:tcW w:w="4400" w:type="dxa"/>
            <w:vAlign w:val="bottom"/>
            <w:shd w:val="clear" w:color="auto" w:fill="EAF9E8"/>
          </w:tcPr>
          <w:p>
            <w:pPr>
              <w:ind w:left="360"/>
              <w:spacing w:after="0"/>
              <w:rPr>
                <w:sz w:val="20"/>
                <w:szCs w:val="20"/>
                <w:color w:val="auto"/>
              </w:rPr>
            </w:pPr>
            <w:r>
              <w:rPr>
                <w:rFonts w:ascii="Arial" w:cs="Arial" w:eastAsia="Arial" w:hAnsi="Arial"/>
                <w:sz w:val="18"/>
                <w:szCs w:val="18"/>
                <w:color w:val="auto"/>
              </w:rPr>
              <w:t>Accumulated other comprehensive loss</w:t>
            </w:r>
          </w:p>
        </w:tc>
        <w:tc>
          <w:tcPr>
            <w:tcW w:w="372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63"/>
        </w:trPr>
        <w:tc>
          <w:tcPr>
            <w:tcW w:w="4400" w:type="dxa"/>
            <w:vAlign w:val="bottom"/>
          </w:tcPr>
          <w:p>
            <w:pPr>
              <w:ind w:left="360"/>
              <w:spacing w:after="0"/>
              <w:rPr>
                <w:sz w:val="20"/>
                <w:szCs w:val="20"/>
                <w:color w:val="auto"/>
              </w:rPr>
            </w:pPr>
            <w:r>
              <w:rPr>
                <w:rFonts w:ascii="Arial" w:cs="Arial" w:eastAsia="Arial" w:hAnsi="Arial"/>
                <w:sz w:val="18"/>
                <w:szCs w:val="18"/>
                <w:color w:val="auto"/>
              </w:rPr>
              <w:t>Distributions in excess of accumulated earnings</w:t>
            </w:r>
          </w:p>
        </w:tc>
        <w:tc>
          <w:tcPr>
            <w:tcW w:w="3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(699,955)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(683,734)</w:t>
            </w:r>
          </w:p>
        </w:tc>
        <w:tc>
          <w:tcPr>
            <w:tcW w:w="0" w:type="dxa"/>
            <w:vAlign w:val="bottom"/>
          </w:tcPr>
          <w:p>
            <w:pPr>
              <w:spacing w:after="0"/>
              <w:rPr>
                <w:sz w:val="1"/>
                <w:szCs w:val="1"/>
                <w:color w:val="auto"/>
              </w:rPr>
            </w:pPr>
          </w:p>
        </w:tc>
      </w:tr>
      <w:tr>
        <w:trPr>
          <w:trHeight w:val="270"/>
        </w:trPr>
        <w:tc>
          <w:tcPr>
            <w:tcW w:w="8120" w:type="dxa"/>
            <w:vAlign w:val="bottom"/>
            <w:gridSpan w:val="2"/>
            <w:shd w:val="clear" w:color="auto" w:fill="EAF9E8"/>
          </w:tcPr>
          <w:p>
            <w:pPr>
              <w:ind w:left="380"/>
              <w:spacing w:after="0"/>
              <w:rPr>
                <w:sz w:val="20"/>
                <w:szCs w:val="20"/>
                <w:color w:val="auto"/>
              </w:rPr>
            </w:pPr>
            <w:r>
              <w:rPr>
                <w:rFonts w:ascii="Arial" w:cs="Arial" w:eastAsia="Arial" w:hAnsi="Arial"/>
                <w:sz w:val="18"/>
                <w:szCs w:val="18"/>
                <w:color w:val="auto"/>
              </w:rPr>
              <w:t>Treasury stock, at cost (March 31, 2013 and December 31, 2012, 1,802 shares)</w:t>
            </w:r>
          </w:p>
        </w:tc>
        <w:tc>
          <w:tcPr>
            <w:tcW w:w="380" w:type="dxa"/>
            <w:vAlign w:val="bottom"/>
            <w:tcBorders>
              <w:bottom w:val="single" w:sz="8" w:color="auto"/>
            </w:tcBorders>
            <w:shd w:val="clear" w:color="auto" w:fill="EAF9E8"/>
          </w:tcPr>
          <w:p>
            <w:pPr>
              <w:spacing w:after="0"/>
              <w:rPr>
                <w:sz w:val="23"/>
                <w:szCs w:val="23"/>
                <w:color w:val="auto"/>
              </w:rPr>
            </w:pPr>
          </w:p>
        </w:tc>
        <w:tc>
          <w:tcPr>
            <w:tcW w:w="12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(63,600)</w:t>
            </w:r>
          </w:p>
        </w:tc>
        <w:tc>
          <w:tcPr>
            <w:tcW w:w="100" w:type="dxa"/>
            <w:vAlign w:val="bottom"/>
            <w:shd w:val="clear" w:color="auto" w:fill="EAF9E8"/>
          </w:tcPr>
          <w:p>
            <w:pPr>
              <w:spacing w:after="0"/>
              <w:rPr>
                <w:sz w:val="23"/>
                <w:szCs w:val="23"/>
                <w:color w:val="auto"/>
              </w:rPr>
            </w:pPr>
          </w:p>
        </w:tc>
        <w:tc>
          <w:tcPr>
            <w:tcW w:w="180" w:type="dxa"/>
            <w:vAlign w:val="bottom"/>
            <w:tcBorders>
              <w:bottom w:val="single" w:sz="8" w:color="auto"/>
            </w:tcBorders>
            <w:shd w:val="clear" w:color="auto" w:fill="EAF9E8"/>
          </w:tcPr>
          <w:p>
            <w:pPr>
              <w:spacing w:after="0"/>
              <w:rPr>
                <w:sz w:val="23"/>
                <w:szCs w:val="23"/>
                <w:color w:val="auto"/>
              </w:rPr>
            </w:pPr>
          </w:p>
        </w:tc>
        <w:tc>
          <w:tcPr>
            <w:tcW w:w="14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(63,600)</w:t>
            </w:r>
          </w:p>
        </w:tc>
        <w:tc>
          <w:tcPr>
            <w:tcW w:w="0" w:type="dxa"/>
            <w:vAlign w:val="bottom"/>
          </w:tcPr>
          <w:p>
            <w:pPr>
              <w:spacing w:after="0"/>
              <w:rPr>
                <w:sz w:val="1"/>
                <w:szCs w:val="1"/>
                <w:color w:val="auto"/>
              </w:rPr>
            </w:pPr>
          </w:p>
        </w:tc>
      </w:tr>
      <w:tr>
        <w:trPr>
          <w:trHeight w:val="250"/>
        </w:trPr>
        <w:tc>
          <w:tcPr>
            <w:tcW w:w="4400" w:type="dxa"/>
            <w:vAlign w:val="bottom"/>
          </w:tcPr>
          <w:p>
            <w:pPr>
              <w:ind w:left="840"/>
              <w:spacing w:after="0"/>
              <w:rPr>
                <w:sz w:val="20"/>
                <w:szCs w:val="20"/>
                <w:color w:val="auto"/>
              </w:rPr>
            </w:pPr>
            <w:r>
              <w:rPr>
                <w:rFonts w:ascii="Arial" w:cs="Arial" w:eastAsia="Arial" w:hAnsi="Arial"/>
                <w:sz w:val="18"/>
                <w:szCs w:val="18"/>
                <w:color w:val="auto"/>
                <w:w w:val="91"/>
              </w:rPr>
              <w:t>Total Sun Communities, Inc. stockholders' equity</w:t>
            </w:r>
          </w:p>
        </w:tc>
        <w:tc>
          <w:tcPr>
            <w:tcW w:w="3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439,156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192,522</w:t>
            </w:r>
          </w:p>
        </w:tc>
        <w:tc>
          <w:tcPr>
            <w:tcW w:w="0" w:type="dxa"/>
            <w:vAlign w:val="bottom"/>
          </w:tcPr>
          <w:p>
            <w:pPr>
              <w:spacing w:after="0"/>
              <w:rPr>
                <w:sz w:val="1"/>
                <w:szCs w:val="1"/>
                <w:color w:val="auto"/>
              </w:rPr>
            </w:pPr>
          </w:p>
        </w:tc>
      </w:tr>
      <w:tr>
        <w:trPr>
          <w:trHeight w:val="277"/>
        </w:trPr>
        <w:tc>
          <w:tcPr>
            <w:tcW w:w="4400" w:type="dxa"/>
            <w:vAlign w:val="bottom"/>
            <w:shd w:val="clear" w:color="auto" w:fill="EAF9E8"/>
          </w:tcPr>
          <w:p>
            <w:pPr>
              <w:ind w:left="360"/>
              <w:spacing w:after="0"/>
              <w:rPr>
                <w:sz w:val="20"/>
                <w:szCs w:val="20"/>
                <w:color w:val="auto"/>
              </w:rPr>
            </w:pPr>
            <w:r>
              <w:rPr>
                <w:rFonts w:ascii="Arial" w:cs="Arial" w:eastAsia="Arial" w:hAnsi="Arial"/>
                <w:sz w:val="18"/>
                <w:szCs w:val="18"/>
                <w:color w:val="auto"/>
              </w:rPr>
              <w:t>Noncontrolling interests:</w:t>
            </w:r>
          </w:p>
        </w:tc>
        <w:tc>
          <w:tcPr>
            <w:tcW w:w="372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42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400" w:type="dxa"/>
            <w:vAlign w:val="bottom"/>
          </w:tcPr>
          <w:p>
            <w:pPr>
              <w:ind w:left="520"/>
              <w:spacing w:after="0"/>
              <w:rPr>
                <w:sz w:val="20"/>
                <w:szCs w:val="20"/>
                <w:color w:val="auto"/>
              </w:rPr>
            </w:pPr>
            <w:r>
              <w:rPr>
                <w:rFonts w:ascii="Arial" w:cs="Arial" w:eastAsia="Arial" w:hAnsi="Arial"/>
                <w:sz w:val="18"/>
                <w:szCs w:val="18"/>
                <w:color w:val="auto"/>
              </w:rPr>
              <w:t>Series A-1 preferred OP units</w:t>
            </w:r>
          </w:p>
        </w:tc>
        <w:tc>
          <w:tcPr>
            <w:tcW w:w="3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45,548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45,548</w:t>
            </w:r>
          </w:p>
        </w:tc>
        <w:tc>
          <w:tcPr>
            <w:tcW w:w="0" w:type="dxa"/>
            <w:vAlign w:val="bottom"/>
          </w:tcPr>
          <w:p>
            <w:pPr>
              <w:spacing w:after="0"/>
              <w:rPr>
                <w:sz w:val="1"/>
                <w:szCs w:val="1"/>
                <w:color w:val="auto"/>
              </w:rPr>
            </w:pPr>
          </w:p>
        </w:tc>
      </w:tr>
      <w:tr>
        <w:trPr>
          <w:trHeight w:val="277"/>
        </w:trPr>
        <w:tc>
          <w:tcPr>
            <w:tcW w:w="4400" w:type="dxa"/>
            <w:vAlign w:val="bottom"/>
            <w:shd w:val="clear" w:color="auto" w:fill="EAF9E8"/>
          </w:tcPr>
          <w:p>
            <w:pPr>
              <w:ind w:left="520"/>
              <w:spacing w:after="0"/>
              <w:rPr>
                <w:sz w:val="20"/>
                <w:szCs w:val="20"/>
                <w:color w:val="auto"/>
              </w:rPr>
            </w:pPr>
            <w:r>
              <w:rPr>
                <w:rFonts w:ascii="Arial" w:cs="Arial" w:eastAsia="Arial" w:hAnsi="Arial"/>
                <w:sz w:val="18"/>
                <w:szCs w:val="18"/>
                <w:color w:val="auto"/>
              </w:rPr>
              <w:t>Series A-3 preferred OP units</w:t>
            </w:r>
          </w:p>
        </w:tc>
        <w:tc>
          <w:tcPr>
            <w:tcW w:w="372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3,463</w:t>
            </w: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4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400" w:type="dxa"/>
            <w:vAlign w:val="bottom"/>
          </w:tcPr>
          <w:p>
            <w:pPr>
              <w:ind w:left="520"/>
              <w:spacing w:after="0"/>
              <w:rPr>
                <w:sz w:val="20"/>
                <w:szCs w:val="20"/>
                <w:color w:val="auto"/>
              </w:rPr>
            </w:pPr>
            <w:r>
              <w:rPr>
                <w:rFonts w:ascii="Arial" w:cs="Arial" w:eastAsia="Arial" w:hAnsi="Arial"/>
                <w:sz w:val="18"/>
                <w:szCs w:val="18"/>
                <w:color w:val="auto"/>
              </w:rPr>
              <w:t>Common OP units</w:t>
            </w:r>
          </w:p>
        </w:tc>
        <w:tc>
          <w:tcPr>
            <w:tcW w:w="3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(25,967)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(24,572)</w:t>
            </w:r>
          </w:p>
        </w:tc>
        <w:tc>
          <w:tcPr>
            <w:tcW w:w="0" w:type="dxa"/>
            <w:vAlign w:val="bottom"/>
          </w:tcPr>
          <w:p>
            <w:pPr>
              <w:spacing w:after="0"/>
              <w:rPr>
                <w:sz w:val="1"/>
                <w:szCs w:val="1"/>
                <w:color w:val="auto"/>
              </w:rPr>
            </w:pPr>
          </w:p>
        </w:tc>
      </w:tr>
      <w:tr>
        <w:trPr>
          <w:trHeight w:val="277"/>
        </w:trPr>
        <w:tc>
          <w:tcPr>
            <w:tcW w:w="4400" w:type="dxa"/>
            <w:vAlign w:val="bottom"/>
            <w:shd w:val="clear" w:color="auto" w:fill="EAF9E8"/>
          </w:tcPr>
          <w:p>
            <w:pPr>
              <w:ind w:left="520"/>
              <w:spacing w:after="0"/>
              <w:rPr>
                <w:sz w:val="20"/>
                <w:szCs w:val="20"/>
                <w:color w:val="auto"/>
              </w:rPr>
            </w:pPr>
            <w:r>
              <w:rPr>
                <w:rFonts w:ascii="Arial" w:cs="Arial" w:eastAsia="Arial" w:hAnsi="Arial"/>
                <w:sz w:val="18"/>
                <w:szCs w:val="18"/>
                <w:color w:val="auto"/>
              </w:rPr>
              <w:t>Consolidated variable interest entities</w:t>
            </w:r>
          </w:p>
        </w:tc>
        <w:tc>
          <w:tcPr>
            <w:tcW w:w="3720" w:type="dxa"/>
            <w:vAlign w:val="bottom"/>
            <w:shd w:val="clear" w:color="auto" w:fill="EAF9E8"/>
          </w:tcPr>
          <w:p>
            <w:pPr>
              <w:spacing w:after="0"/>
              <w:rPr>
                <w:sz w:val="24"/>
                <w:szCs w:val="24"/>
                <w:color w:val="auto"/>
              </w:rPr>
            </w:pPr>
          </w:p>
        </w:tc>
        <w:tc>
          <w:tcPr>
            <w:tcW w:w="380" w:type="dxa"/>
            <w:vAlign w:val="bottom"/>
            <w:tcBorders>
              <w:bottom w:val="single" w:sz="8" w:color="auto"/>
            </w:tcBorders>
            <w:shd w:val="clear" w:color="auto" w:fill="EAF9E8"/>
          </w:tcPr>
          <w:p>
            <w:pPr>
              <w:spacing w:after="0"/>
              <w:rPr>
                <w:sz w:val="24"/>
                <w:szCs w:val="24"/>
                <w:color w:val="auto"/>
              </w:rPr>
            </w:pPr>
          </w:p>
        </w:tc>
        <w:tc>
          <w:tcPr>
            <w:tcW w:w="12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EAF9E8"/>
          </w:tcPr>
          <w:p>
            <w:pPr>
              <w:spacing w:after="0"/>
              <w:rPr>
                <w:sz w:val="24"/>
                <w:szCs w:val="24"/>
                <w:color w:val="auto"/>
              </w:rPr>
            </w:pPr>
          </w:p>
        </w:tc>
        <w:tc>
          <w:tcPr>
            <w:tcW w:w="180" w:type="dxa"/>
            <w:vAlign w:val="bottom"/>
            <w:tcBorders>
              <w:bottom w:val="single" w:sz="8" w:color="auto"/>
            </w:tcBorders>
            <w:shd w:val="clear" w:color="auto" w:fill="EAF9E8"/>
          </w:tcPr>
          <w:p>
            <w:pPr>
              <w:spacing w:after="0"/>
              <w:rPr>
                <w:sz w:val="24"/>
                <w:szCs w:val="24"/>
                <w:color w:val="auto"/>
              </w:rPr>
            </w:pPr>
          </w:p>
        </w:tc>
        <w:tc>
          <w:tcPr>
            <w:tcW w:w="14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44"/>
        </w:trPr>
        <w:tc>
          <w:tcPr>
            <w:tcW w:w="4400" w:type="dxa"/>
            <w:vAlign w:val="bottom"/>
            <w:tcBorders>
              <w:bottom w:val="single" w:sz="8" w:color="EAF9E8"/>
            </w:tcBorders>
          </w:tcPr>
          <w:p>
            <w:pPr>
              <w:ind w:left="840"/>
              <w:spacing w:after="0"/>
              <w:rPr>
                <w:sz w:val="20"/>
                <w:szCs w:val="20"/>
                <w:color w:val="auto"/>
              </w:rPr>
            </w:pPr>
            <w:r>
              <w:rPr>
                <w:rFonts w:ascii="Arial" w:cs="Arial" w:eastAsia="Arial" w:hAnsi="Arial"/>
                <w:sz w:val="18"/>
                <w:szCs w:val="18"/>
                <w:color w:val="auto"/>
              </w:rPr>
              <w:t>Total noncontrolling interest</w:t>
            </w:r>
          </w:p>
        </w:tc>
        <w:tc>
          <w:tcPr>
            <w:tcW w:w="3720" w:type="dxa"/>
            <w:vAlign w:val="bottom"/>
            <w:tcBorders>
              <w:bottom w:val="single" w:sz="8" w:color="EAF9E8"/>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22,411</w:t>
            </w:r>
          </w:p>
        </w:tc>
        <w:tc>
          <w:tcPr>
            <w:tcW w:w="100" w:type="dxa"/>
            <w:vAlign w:val="bottom"/>
            <w:tcBorders>
              <w:bottom w:val="single" w:sz="8" w:color="EAF9E8"/>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20,468</w:t>
            </w:r>
          </w:p>
        </w:tc>
        <w:tc>
          <w:tcPr>
            <w:tcW w:w="0" w:type="dxa"/>
            <w:vAlign w:val="bottom"/>
          </w:tcPr>
          <w:p>
            <w:pPr>
              <w:spacing w:after="0"/>
              <w:rPr>
                <w:sz w:val="1"/>
                <w:szCs w:val="1"/>
                <w:color w:val="auto"/>
              </w:rPr>
            </w:pPr>
          </w:p>
        </w:tc>
      </w:tr>
      <w:tr>
        <w:trPr>
          <w:trHeight w:val="264"/>
        </w:trPr>
        <w:tc>
          <w:tcPr>
            <w:tcW w:w="4400" w:type="dxa"/>
            <w:vAlign w:val="bottom"/>
            <w:shd w:val="clear" w:color="auto" w:fill="EAF9E8"/>
          </w:tcPr>
          <w:p>
            <w:pPr>
              <w:ind w:left="840"/>
              <w:spacing w:after="0"/>
              <w:rPr>
                <w:sz w:val="20"/>
                <w:szCs w:val="20"/>
                <w:color w:val="auto"/>
              </w:rPr>
            </w:pPr>
            <w:r>
              <w:rPr>
                <w:rFonts w:ascii="Arial" w:cs="Arial" w:eastAsia="Arial" w:hAnsi="Arial"/>
                <w:sz w:val="18"/>
                <w:szCs w:val="18"/>
                <w:b w:val="1"/>
                <w:bCs w:val="1"/>
                <w:color w:val="auto"/>
              </w:rPr>
              <w:t>TOTAL STOCKHOLDERS’ EQUITY</w:t>
            </w:r>
          </w:p>
        </w:tc>
        <w:tc>
          <w:tcPr>
            <w:tcW w:w="3720" w:type="dxa"/>
            <w:vAlign w:val="bottom"/>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22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461,567</w:t>
            </w:r>
          </w:p>
        </w:tc>
        <w:tc>
          <w:tcPr>
            <w:tcW w:w="100" w:type="dxa"/>
            <w:vAlign w:val="bottom"/>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spacing w:after="0"/>
              <w:rPr>
                <w:sz w:val="22"/>
                <w:szCs w:val="22"/>
                <w:color w:val="auto"/>
              </w:rPr>
            </w:pPr>
          </w:p>
        </w:tc>
        <w:tc>
          <w:tcPr>
            <w:tcW w:w="142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212,990</w:t>
            </w:r>
          </w:p>
        </w:tc>
        <w:tc>
          <w:tcPr>
            <w:tcW w:w="0" w:type="dxa"/>
            <w:vAlign w:val="bottom"/>
          </w:tcPr>
          <w:p>
            <w:pPr>
              <w:spacing w:after="0"/>
              <w:rPr>
                <w:sz w:val="1"/>
                <w:szCs w:val="1"/>
                <w:color w:val="auto"/>
              </w:rPr>
            </w:pPr>
          </w:p>
        </w:tc>
      </w:tr>
      <w:tr>
        <w:trPr>
          <w:trHeight w:val="257"/>
        </w:trPr>
        <w:tc>
          <w:tcPr>
            <w:tcW w:w="8120" w:type="dxa"/>
            <w:vAlign w:val="bottom"/>
            <w:gridSpan w:val="2"/>
          </w:tcPr>
          <w:p>
            <w:pPr>
              <w:ind w:left="840"/>
              <w:spacing w:after="0"/>
              <w:rPr>
                <w:sz w:val="20"/>
                <w:szCs w:val="20"/>
                <w:color w:val="auto"/>
              </w:rPr>
            </w:pPr>
            <w:r>
              <w:rPr>
                <w:rFonts w:ascii="Arial" w:cs="Arial" w:eastAsia="Arial" w:hAnsi="Arial"/>
                <w:sz w:val="18"/>
                <w:szCs w:val="18"/>
                <w:b w:val="1"/>
                <w:bCs w:val="1"/>
                <w:color w:val="auto"/>
              </w:rPr>
              <w:t>TOTAL LIABILITIES AND STOCKHOLDERS’ EQUITY</w:t>
            </w: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1,913,800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1,754,117</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Sun Communities, Inc. 1st Quarter 2013</w:t>
            </w:r>
          </w:p>
        </w:tc>
        <w:tc>
          <w:tcPr>
            <w:tcW w:w="3720" w:type="dxa"/>
            <w:vAlign w:val="bottom"/>
            <w:vMerge w:val="restart"/>
          </w:tcPr>
          <w:p>
            <w:pPr>
              <w:spacing w:after="0"/>
              <w:rPr>
                <w:sz w:val="20"/>
                <w:szCs w:val="20"/>
                <w:color w:val="auto"/>
              </w:rPr>
            </w:pPr>
            <w:r>
              <w:rPr>
                <w:rFonts w:ascii="Arial" w:cs="Arial" w:eastAsia="Arial" w:hAnsi="Arial"/>
                <w:sz w:val="18"/>
                <w:szCs w:val="18"/>
                <w:color w:val="auto"/>
              </w:rPr>
              <w:t>Page 6</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400" w:type="dxa"/>
            <w:vAlign w:val="bottom"/>
            <w:vMerge w:val="continue"/>
          </w:tcPr>
          <w:p>
            <w:pPr>
              <w:spacing w:after="0"/>
              <w:rPr>
                <w:sz w:val="24"/>
                <w:szCs w:val="24"/>
                <w:color w:val="auto"/>
              </w:rPr>
            </w:pPr>
          </w:p>
        </w:tc>
        <w:tc>
          <w:tcPr>
            <w:tcW w:w="37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2"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5852160</wp:posOffset>
            </wp:positionH>
            <wp:positionV relativeFrom="page">
              <wp:posOffset>88900</wp:posOffset>
            </wp:positionV>
            <wp:extent cx="1551940"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51940" cy="317500"/>
                    </a:xfrm>
                    <a:prstGeom prst="rect">
                      <a:avLst/>
                    </a:prstGeom>
                    <a:noFill/>
                  </pic:spPr>
                </pic:pic>
              </a:graphicData>
            </a:graphic>
          </wp:anchor>
        </w:drawing>
        <w:t>Consolidated Statements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Three Months Ended March 31,</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3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97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63"/>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380" w:type="dxa"/>
            <w:vAlign w:val="bottom"/>
            <w:shd w:val="clear" w:color="auto" w:fill="EAF9E8"/>
          </w:tcPr>
          <w:p>
            <w:pPr>
              <w:ind w:left="360"/>
              <w:spacing w:after="0"/>
              <w:rPr>
                <w:sz w:val="20"/>
                <w:szCs w:val="20"/>
                <w:color w:val="auto"/>
              </w:rPr>
            </w:pPr>
            <w:r>
              <w:rPr>
                <w:rFonts w:ascii="Arial" w:cs="Arial" w:eastAsia="Arial" w:hAnsi="Arial"/>
                <w:sz w:val="18"/>
                <w:szCs w:val="18"/>
                <w:color w:val="auto"/>
              </w:rPr>
              <w:t>Income from real property</w:t>
            </w:r>
          </w:p>
        </w:tc>
        <w:tc>
          <w:tcPr>
            <w:tcW w:w="2120" w:type="dxa"/>
            <w:vAlign w:val="bottom"/>
            <w:shd w:val="clear" w:color="auto" w:fill="EAF9E8"/>
          </w:tcPr>
          <w:p>
            <w:pPr>
              <w:spacing w:after="0"/>
              <w:rPr>
                <w:sz w:val="24"/>
                <w:szCs w:val="24"/>
                <w:color w:val="auto"/>
              </w:rPr>
            </w:pPr>
          </w:p>
        </w:tc>
        <w:tc>
          <w:tcPr>
            <w:tcW w:w="1400" w:type="dxa"/>
            <w:vAlign w:val="bottom"/>
            <w:shd w:val="clear" w:color="auto" w:fill="EAF9E8"/>
          </w:tcPr>
          <w:p>
            <w:pPr>
              <w:jc w:val="right"/>
              <w:ind w:right="1193"/>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79,065</w:t>
            </w:r>
          </w:p>
        </w:tc>
        <w:tc>
          <w:tcPr>
            <w:tcW w:w="100" w:type="dxa"/>
            <w:vAlign w:val="bottom"/>
            <w:shd w:val="clear" w:color="auto" w:fill="EAF9E8"/>
          </w:tcPr>
          <w:p>
            <w:pPr>
              <w:spacing w:after="0"/>
              <w:rPr>
                <w:sz w:val="24"/>
                <w:szCs w:val="24"/>
                <w:color w:val="auto"/>
              </w:rPr>
            </w:pPr>
          </w:p>
        </w:tc>
        <w:tc>
          <w:tcPr>
            <w:tcW w:w="1000" w:type="dxa"/>
            <w:vAlign w:val="bottom"/>
            <w:shd w:val="clear" w:color="auto" w:fill="EAF9E8"/>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64,296</w:t>
            </w:r>
          </w:p>
        </w:tc>
        <w:tc>
          <w:tcPr>
            <w:tcW w:w="0" w:type="dxa"/>
            <w:vAlign w:val="bottom"/>
          </w:tcPr>
          <w:p>
            <w:pPr>
              <w:spacing w:after="0"/>
              <w:rPr>
                <w:sz w:val="1"/>
                <w:szCs w:val="1"/>
                <w:color w:val="auto"/>
              </w:rPr>
            </w:pPr>
          </w:p>
        </w:tc>
      </w:tr>
      <w:tr>
        <w:trPr>
          <w:trHeight w:val="263"/>
        </w:trPr>
        <w:tc>
          <w:tcPr>
            <w:tcW w:w="4380" w:type="dxa"/>
            <w:vAlign w:val="bottom"/>
          </w:tcPr>
          <w:p>
            <w:pPr>
              <w:ind w:left="360"/>
              <w:spacing w:after="0"/>
              <w:rPr>
                <w:sz w:val="20"/>
                <w:szCs w:val="20"/>
                <w:color w:val="auto"/>
              </w:rPr>
            </w:pPr>
            <w:r>
              <w:rPr>
                <w:rFonts w:ascii="Arial" w:cs="Arial" w:eastAsia="Arial" w:hAnsi="Arial"/>
                <w:sz w:val="18"/>
                <w:szCs w:val="18"/>
                <w:color w:val="auto"/>
              </w:rPr>
              <w:t>Revenue from home sales</w:t>
            </w:r>
          </w:p>
        </w:tc>
        <w:tc>
          <w:tcPr>
            <w:tcW w:w="2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12,856</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9,613</w:t>
            </w:r>
          </w:p>
        </w:tc>
        <w:tc>
          <w:tcPr>
            <w:tcW w:w="0" w:type="dxa"/>
            <w:vAlign w:val="bottom"/>
          </w:tcPr>
          <w:p>
            <w:pPr>
              <w:spacing w:after="0"/>
              <w:rPr>
                <w:sz w:val="1"/>
                <w:szCs w:val="1"/>
                <w:color w:val="auto"/>
              </w:rPr>
            </w:pPr>
          </w:p>
        </w:tc>
      </w:tr>
      <w:tr>
        <w:trPr>
          <w:trHeight w:val="277"/>
        </w:trPr>
        <w:tc>
          <w:tcPr>
            <w:tcW w:w="4380" w:type="dxa"/>
            <w:vAlign w:val="bottom"/>
            <w:shd w:val="clear" w:color="auto" w:fill="EAF9E8"/>
          </w:tcPr>
          <w:p>
            <w:pPr>
              <w:ind w:left="360"/>
              <w:spacing w:after="0"/>
              <w:rPr>
                <w:sz w:val="20"/>
                <w:szCs w:val="20"/>
                <w:color w:val="auto"/>
              </w:rPr>
            </w:pPr>
            <w:r>
              <w:rPr>
                <w:rFonts w:ascii="Arial" w:cs="Arial" w:eastAsia="Arial" w:hAnsi="Arial"/>
                <w:sz w:val="18"/>
                <w:szCs w:val="18"/>
                <w:color w:val="auto"/>
              </w:rPr>
              <w:t>Rental home revenue</w:t>
            </w:r>
          </w:p>
        </w:tc>
        <w:tc>
          <w:tcPr>
            <w:tcW w:w="2120" w:type="dxa"/>
            <w:vAlign w:val="bottom"/>
            <w:shd w:val="clear" w:color="auto" w:fill="EAF9E8"/>
          </w:tcPr>
          <w:p>
            <w:pPr>
              <w:spacing w:after="0"/>
              <w:rPr>
                <w:sz w:val="24"/>
                <w:szCs w:val="24"/>
                <w:color w:val="auto"/>
              </w:rPr>
            </w:pPr>
          </w:p>
        </w:tc>
        <w:tc>
          <w:tcPr>
            <w:tcW w:w="1400" w:type="dxa"/>
            <w:vAlign w:val="bottom"/>
            <w:shd w:val="clear" w:color="auto" w:fill="EAF9E8"/>
          </w:tcPr>
          <w:p>
            <w:pPr>
              <w:spacing w:after="0"/>
              <w:rPr>
                <w:sz w:val="24"/>
                <w:szCs w:val="24"/>
                <w:color w:val="auto"/>
              </w:rPr>
            </w:pPr>
          </w:p>
        </w:tc>
        <w:tc>
          <w:tcPr>
            <w:tcW w:w="10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7,656</w:t>
            </w:r>
          </w:p>
        </w:tc>
        <w:tc>
          <w:tcPr>
            <w:tcW w:w="10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4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63"/>
        </w:trPr>
        <w:tc>
          <w:tcPr>
            <w:tcW w:w="4380" w:type="dxa"/>
            <w:vAlign w:val="bottom"/>
          </w:tcPr>
          <w:p>
            <w:pPr>
              <w:ind w:left="360"/>
              <w:spacing w:after="0"/>
              <w:rPr>
                <w:sz w:val="20"/>
                <w:szCs w:val="20"/>
                <w:color w:val="auto"/>
              </w:rPr>
            </w:pPr>
            <w:r>
              <w:rPr>
                <w:rFonts w:ascii="Arial" w:cs="Arial" w:eastAsia="Arial" w:hAnsi="Arial"/>
                <w:sz w:val="18"/>
                <w:szCs w:val="18"/>
                <w:color w:val="auto"/>
              </w:rPr>
              <w:t>Ancillary revenues, net</w:t>
            </w:r>
          </w:p>
        </w:tc>
        <w:tc>
          <w:tcPr>
            <w:tcW w:w="2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7"/>
        </w:trPr>
        <w:tc>
          <w:tcPr>
            <w:tcW w:w="4380" w:type="dxa"/>
            <w:vAlign w:val="bottom"/>
            <w:shd w:val="clear" w:color="auto" w:fill="EAF9E8"/>
          </w:tcPr>
          <w:p>
            <w:pPr>
              <w:ind w:left="360"/>
              <w:spacing w:after="0"/>
              <w:rPr>
                <w:sz w:val="20"/>
                <w:szCs w:val="20"/>
                <w:color w:val="auto"/>
              </w:rPr>
            </w:pPr>
            <w:r>
              <w:rPr>
                <w:rFonts w:ascii="Arial" w:cs="Arial" w:eastAsia="Arial" w:hAnsi="Arial"/>
                <w:sz w:val="18"/>
                <w:szCs w:val="18"/>
                <w:color w:val="auto"/>
              </w:rPr>
              <w:t>Interest</w:t>
            </w:r>
          </w:p>
        </w:tc>
        <w:tc>
          <w:tcPr>
            <w:tcW w:w="2120" w:type="dxa"/>
            <w:vAlign w:val="bottom"/>
            <w:shd w:val="clear" w:color="auto" w:fill="EAF9E8"/>
          </w:tcPr>
          <w:p>
            <w:pPr>
              <w:spacing w:after="0"/>
              <w:rPr>
                <w:sz w:val="24"/>
                <w:szCs w:val="24"/>
                <w:color w:val="auto"/>
              </w:rPr>
            </w:pPr>
          </w:p>
        </w:tc>
        <w:tc>
          <w:tcPr>
            <w:tcW w:w="1400" w:type="dxa"/>
            <w:vAlign w:val="bottom"/>
            <w:shd w:val="clear" w:color="auto" w:fill="EAF9E8"/>
          </w:tcPr>
          <w:p>
            <w:pPr>
              <w:spacing w:after="0"/>
              <w:rPr>
                <w:sz w:val="24"/>
                <w:szCs w:val="24"/>
                <w:color w:val="auto"/>
              </w:rPr>
            </w:pPr>
          </w:p>
        </w:tc>
        <w:tc>
          <w:tcPr>
            <w:tcW w:w="10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2,963</w:t>
            </w:r>
          </w:p>
        </w:tc>
        <w:tc>
          <w:tcPr>
            <w:tcW w:w="10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4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64"/>
        </w:trPr>
        <w:tc>
          <w:tcPr>
            <w:tcW w:w="4380" w:type="dxa"/>
            <w:vAlign w:val="bottom"/>
            <w:tcBorders>
              <w:bottom w:val="single" w:sz="8" w:color="EAF9E8"/>
            </w:tcBorders>
          </w:tcPr>
          <w:p>
            <w:pPr>
              <w:ind w:left="360"/>
              <w:spacing w:after="0"/>
              <w:rPr>
                <w:sz w:val="20"/>
                <w:szCs w:val="20"/>
                <w:color w:val="auto"/>
              </w:rPr>
            </w:pPr>
            <w:r>
              <w:rPr>
                <w:rFonts w:ascii="Arial" w:cs="Arial" w:eastAsia="Arial" w:hAnsi="Arial"/>
                <w:sz w:val="18"/>
                <w:szCs w:val="18"/>
                <w:color w:val="auto"/>
              </w:rPr>
              <w:t>Other income, net</w:t>
            </w:r>
          </w:p>
        </w:tc>
        <w:tc>
          <w:tcPr>
            <w:tcW w:w="2120" w:type="dxa"/>
            <w:vAlign w:val="bottom"/>
            <w:tcBorders>
              <w:bottom w:val="single" w:sz="8" w:color="EAF9E8"/>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EAF9E8"/>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57"/>
        </w:trPr>
        <w:tc>
          <w:tcPr>
            <w:tcW w:w="4380" w:type="dxa"/>
            <w:vAlign w:val="bottom"/>
            <w:shd w:val="clear" w:color="auto" w:fill="EAF9E8"/>
          </w:tcPr>
          <w:p>
            <w:pPr>
              <w:ind w:left="520"/>
              <w:spacing w:after="0"/>
              <w:rPr>
                <w:sz w:val="20"/>
                <w:szCs w:val="20"/>
                <w:color w:val="auto"/>
              </w:rPr>
            </w:pPr>
            <w:r>
              <w:rPr>
                <w:rFonts w:ascii="Arial" w:cs="Arial" w:eastAsia="Arial" w:hAnsi="Arial"/>
                <w:sz w:val="18"/>
                <w:szCs w:val="18"/>
                <w:color w:val="auto"/>
              </w:rPr>
              <w:t>Total revenues</w:t>
            </w:r>
          </w:p>
        </w:tc>
        <w:tc>
          <w:tcPr>
            <w:tcW w:w="2120" w:type="dxa"/>
            <w:vAlign w:val="bottom"/>
            <w:shd w:val="clear" w:color="auto" w:fill="EAF9E8"/>
          </w:tcPr>
          <w:p>
            <w:pPr>
              <w:spacing w:after="0"/>
              <w:rPr>
                <w:sz w:val="22"/>
                <w:szCs w:val="22"/>
                <w:color w:val="auto"/>
              </w:rPr>
            </w:pPr>
          </w:p>
        </w:tc>
        <w:tc>
          <w:tcPr>
            <w:tcW w:w="1400" w:type="dxa"/>
            <w:vAlign w:val="bottom"/>
            <w:tcBorders>
              <w:bottom w:val="single" w:sz="8" w:color="auto"/>
            </w:tcBorders>
            <w:shd w:val="clear" w:color="auto" w:fill="EAF9E8"/>
          </w:tcPr>
          <w:p>
            <w:pPr>
              <w:spacing w:after="0"/>
              <w:rPr>
                <w:sz w:val="22"/>
                <w:szCs w:val="22"/>
                <w:color w:val="auto"/>
              </w:rPr>
            </w:pPr>
          </w:p>
        </w:tc>
        <w:tc>
          <w:tcPr>
            <w:tcW w:w="1000" w:type="dxa"/>
            <w:vAlign w:val="bottom"/>
            <w:tcBorders>
              <w:bottom w:val="single" w:sz="8" w:color="auto"/>
            </w:tcBorders>
            <w:shd w:val="clear" w:color="auto" w:fill="EAF9E8"/>
          </w:tcPr>
          <w:p>
            <w:pPr>
              <w:jc w:val="right"/>
              <w:ind w:right="31"/>
              <w:spacing w:after="0"/>
              <w:rPr>
                <w:sz w:val="20"/>
                <w:szCs w:val="20"/>
                <w:color w:val="auto"/>
              </w:rPr>
            </w:pPr>
            <w:r>
              <w:rPr>
                <w:rFonts w:ascii="Arial" w:cs="Arial" w:eastAsia="Arial" w:hAnsi="Arial"/>
                <w:sz w:val="18"/>
                <w:szCs w:val="18"/>
                <w:color w:val="auto"/>
              </w:rPr>
              <w:t>103,379</w:t>
            </w:r>
          </w:p>
        </w:tc>
        <w:tc>
          <w:tcPr>
            <w:tcW w:w="100" w:type="dxa"/>
            <w:vAlign w:val="bottom"/>
            <w:shd w:val="clear" w:color="auto" w:fill="EAF9E8"/>
          </w:tcPr>
          <w:p>
            <w:pPr>
              <w:spacing w:after="0"/>
              <w:rPr>
                <w:sz w:val="22"/>
                <w:szCs w:val="22"/>
                <w:color w:val="auto"/>
              </w:rPr>
            </w:pPr>
          </w:p>
        </w:tc>
        <w:tc>
          <w:tcPr>
            <w:tcW w:w="1000" w:type="dxa"/>
            <w:vAlign w:val="bottom"/>
            <w:tcBorders>
              <w:bottom w:val="single" w:sz="8" w:color="auto"/>
            </w:tcBorders>
            <w:shd w:val="clear" w:color="auto" w:fill="EAF9E8"/>
          </w:tcPr>
          <w:p>
            <w:pPr>
              <w:spacing w:after="0"/>
              <w:rPr>
                <w:sz w:val="22"/>
                <w:szCs w:val="22"/>
                <w:color w:val="auto"/>
              </w:rPr>
            </w:pPr>
          </w:p>
        </w:tc>
        <w:tc>
          <w:tcPr>
            <w:tcW w:w="1400" w:type="dxa"/>
            <w:vAlign w:val="bottom"/>
            <w:tcBorders>
              <w:bottom w:val="single" w:sz="8" w:color="auto"/>
            </w:tcBorders>
            <w:shd w:val="clear" w:color="auto" w:fill="EAF9E8"/>
          </w:tcPr>
          <w:p>
            <w:pPr>
              <w:jc w:val="right"/>
              <w:ind w:right="31"/>
              <w:spacing w:after="0"/>
              <w:rPr>
                <w:sz w:val="20"/>
                <w:szCs w:val="20"/>
                <w:color w:val="auto"/>
              </w:rPr>
            </w:pPr>
            <w:r>
              <w:rPr>
                <w:rFonts w:ascii="Arial" w:cs="Arial" w:eastAsia="Arial" w:hAnsi="Arial"/>
                <w:sz w:val="18"/>
                <w:szCs w:val="18"/>
                <w:color w:val="auto"/>
              </w:rPr>
              <w:t>83,128</w:t>
            </w:r>
          </w:p>
        </w:tc>
        <w:tc>
          <w:tcPr>
            <w:tcW w:w="0" w:type="dxa"/>
            <w:vAlign w:val="bottom"/>
          </w:tcPr>
          <w:p>
            <w:pPr>
              <w:spacing w:after="0"/>
              <w:rPr>
                <w:sz w:val="1"/>
                <w:szCs w:val="1"/>
                <w:color w:val="auto"/>
              </w:rPr>
            </w:pPr>
          </w:p>
        </w:tc>
      </w:tr>
      <w:tr>
        <w:trPr>
          <w:trHeight w:val="257"/>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380" w:type="dxa"/>
            <w:vAlign w:val="bottom"/>
            <w:shd w:val="clear" w:color="auto" w:fill="EAF9E8"/>
          </w:tcPr>
          <w:p>
            <w:pPr>
              <w:ind w:left="360"/>
              <w:spacing w:after="0"/>
              <w:rPr>
                <w:sz w:val="20"/>
                <w:szCs w:val="20"/>
                <w:color w:val="auto"/>
              </w:rPr>
            </w:pPr>
            <w:r>
              <w:rPr>
                <w:rFonts w:ascii="Arial" w:cs="Arial" w:eastAsia="Arial" w:hAnsi="Arial"/>
                <w:sz w:val="18"/>
                <w:szCs w:val="18"/>
                <w:color w:val="auto"/>
              </w:rPr>
              <w:t>Property operating and maintenance</w:t>
            </w:r>
          </w:p>
        </w:tc>
        <w:tc>
          <w:tcPr>
            <w:tcW w:w="2120" w:type="dxa"/>
            <w:vAlign w:val="bottom"/>
            <w:shd w:val="clear" w:color="auto" w:fill="EAF9E8"/>
          </w:tcPr>
          <w:p>
            <w:pPr>
              <w:spacing w:after="0"/>
              <w:rPr>
                <w:sz w:val="24"/>
                <w:szCs w:val="24"/>
                <w:color w:val="auto"/>
              </w:rPr>
            </w:pPr>
          </w:p>
        </w:tc>
        <w:tc>
          <w:tcPr>
            <w:tcW w:w="1400" w:type="dxa"/>
            <w:vAlign w:val="bottom"/>
            <w:shd w:val="clear" w:color="auto" w:fill="EAF9E8"/>
          </w:tcPr>
          <w:p>
            <w:pPr>
              <w:spacing w:after="0"/>
              <w:rPr>
                <w:sz w:val="24"/>
                <w:szCs w:val="24"/>
                <w:color w:val="auto"/>
              </w:rPr>
            </w:pPr>
          </w:p>
        </w:tc>
        <w:tc>
          <w:tcPr>
            <w:tcW w:w="10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19,946</w:t>
            </w:r>
          </w:p>
        </w:tc>
        <w:tc>
          <w:tcPr>
            <w:tcW w:w="10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4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16,026</w:t>
            </w:r>
          </w:p>
        </w:tc>
        <w:tc>
          <w:tcPr>
            <w:tcW w:w="0" w:type="dxa"/>
            <w:vAlign w:val="bottom"/>
          </w:tcPr>
          <w:p>
            <w:pPr>
              <w:spacing w:after="0"/>
              <w:rPr>
                <w:sz w:val="1"/>
                <w:szCs w:val="1"/>
                <w:color w:val="auto"/>
              </w:rPr>
            </w:pPr>
          </w:p>
        </w:tc>
      </w:tr>
      <w:tr>
        <w:trPr>
          <w:trHeight w:val="263"/>
        </w:trPr>
        <w:tc>
          <w:tcPr>
            <w:tcW w:w="4380" w:type="dxa"/>
            <w:vAlign w:val="bottom"/>
          </w:tcPr>
          <w:p>
            <w:pPr>
              <w:ind w:left="360"/>
              <w:spacing w:after="0"/>
              <w:rPr>
                <w:sz w:val="20"/>
                <w:szCs w:val="20"/>
                <w:color w:val="auto"/>
              </w:rPr>
            </w:pPr>
            <w:r>
              <w:rPr>
                <w:rFonts w:ascii="Arial" w:cs="Arial" w:eastAsia="Arial" w:hAnsi="Arial"/>
                <w:sz w:val="18"/>
                <w:szCs w:val="18"/>
                <w:color w:val="auto"/>
              </w:rPr>
              <w:t>Real estate taxes</w:t>
            </w:r>
          </w:p>
        </w:tc>
        <w:tc>
          <w:tcPr>
            <w:tcW w:w="2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5,756</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4,872</w:t>
            </w:r>
          </w:p>
        </w:tc>
        <w:tc>
          <w:tcPr>
            <w:tcW w:w="0" w:type="dxa"/>
            <w:vAlign w:val="bottom"/>
          </w:tcPr>
          <w:p>
            <w:pPr>
              <w:spacing w:after="0"/>
              <w:rPr>
                <w:sz w:val="1"/>
                <w:szCs w:val="1"/>
                <w:color w:val="auto"/>
              </w:rPr>
            </w:pPr>
          </w:p>
        </w:tc>
      </w:tr>
      <w:tr>
        <w:trPr>
          <w:trHeight w:val="277"/>
        </w:trPr>
        <w:tc>
          <w:tcPr>
            <w:tcW w:w="4380" w:type="dxa"/>
            <w:vAlign w:val="bottom"/>
            <w:shd w:val="clear" w:color="auto" w:fill="EAF9E8"/>
          </w:tcPr>
          <w:p>
            <w:pPr>
              <w:ind w:left="360"/>
              <w:spacing w:after="0"/>
              <w:rPr>
                <w:sz w:val="20"/>
                <w:szCs w:val="20"/>
                <w:color w:val="auto"/>
              </w:rPr>
            </w:pPr>
            <w:r>
              <w:rPr>
                <w:rFonts w:ascii="Arial" w:cs="Arial" w:eastAsia="Arial" w:hAnsi="Arial"/>
                <w:sz w:val="18"/>
                <w:szCs w:val="18"/>
                <w:color w:val="auto"/>
              </w:rPr>
              <w:t>Cost of home sales</w:t>
            </w:r>
          </w:p>
        </w:tc>
        <w:tc>
          <w:tcPr>
            <w:tcW w:w="2120" w:type="dxa"/>
            <w:vAlign w:val="bottom"/>
            <w:shd w:val="clear" w:color="auto" w:fill="EAF9E8"/>
          </w:tcPr>
          <w:p>
            <w:pPr>
              <w:spacing w:after="0"/>
              <w:rPr>
                <w:sz w:val="24"/>
                <w:szCs w:val="24"/>
                <w:color w:val="auto"/>
              </w:rPr>
            </w:pPr>
          </w:p>
        </w:tc>
        <w:tc>
          <w:tcPr>
            <w:tcW w:w="1400" w:type="dxa"/>
            <w:vAlign w:val="bottom"/>
            <w:shd w:val="clear" w:color="auto" w:fill="EAF9E8"/>
          </w:tcPr>
          <w:p>
            <w:pPr>
              <w:spacing w:after="0"/>
              <w:rPr>
                <w:sz w:val="24"/>
                <w:szCs w:val="24"/>
                <w:color w:val="auto"/>
              </w:rPr>
            </w:pPr>
          </w:p>
        </w:tc>
        <w:tc>
          <w:tcPr>
            <w:tcW w:w="10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9,816</w:t>
            </w:r>
          </w:p>
        </w:tc>
        <w:tc>
          <w:tcPr>
            <w:tcW w:w="10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4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7,773</w:t>
            </w:r>
          </w:p>
        </w:tc>
        <w:tc>
          <w:tcPr>
            <w:tcW w:w="0" w:type="dxa"/>
            <w:vAlign w:val="bottom"/>
          </w:tcPr>
          <w:p>
            <w:pPr>
              <w:spacing w:after="0"/>
              <w:rPr>
                <w:sz w:val="1"/>
                <w:szCs w:val="1"/>
                <w:color w:val="auto"/>
              </w:rPr>
            </w:pPr>
          </w:p>
        </w:tc>
      </w:tr>
      <w:tr>
        <w:trPr>
          <w:trHeight w:val="263"/>
        </w:trPr>
        <w:tc>
          <w:tcPr>
            <w:tcW w:w="4380" w:type="dxa"/>
            <w:vAlign w:val="bottom"/>
          </w:tcPr>
          <w:p>
            <w:pPr>
              <w:ind w:left="360"/>
              <w:spacing w:after="0"/>
              <w:rPr>
                <w:sz w:val="20"/>
                <w:szCs w:val="20"/>
                <w:color w:val="auto"/>
              </w:rPr>
            </w:pPr>
            <w:r>
              <w:rPr>
                <w:rFonts w:ascii="Arial" w:cs="Arial" w:eastAsia="Arial" w:hAnsi="Arial"/>
                <w:sz w:val="18"/>
                <w:szCs w:val="18"/>
                <w:color w:val="auto"/>
              </w:rPr>
              <w:t>Rental home operating and maintenance</w:t>
            </w:r>
          </w:p>
        </w:tc>
        <w:tc>
          <w:tcPr>
            <w:tcW w:w="2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4,292</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77"/>
        </w:trPr>
        <w:tc>
          <w:tcPr>
            <w:tcW w:w="4380" w:type="dxa"/>
            <w:vAlign w:val="bottom"/>
            <w:shd w:val="clear" w:color="auto" w:fill="EAF9E8"/>
          </w:tcPr>
          <w:p>
            <w:pPr>
              <w:ind w:left="360"/>
              <w:spacing w:after="0"/>
              <w:rPr>
                <w:sz w:val="20"/>
                <w:szCs w:val="20"/>
                <w:color w:val="auto"/>
              </w:rPr>
            </w:pPr>
            <w:r>
              <w:rPr>
                <w:rFonts w:ascii="Arial" w:cs="Arial" w:eastAsia="Arial" w:hAnsi="Arial"/>
                <w:sz w:val="18"/>
                <w:szCs w:val="18"/>
                <w:color w:val="auto"/>
              </w:rPr>
              <w:t>General and administrative - real property</w:t>
            </w:r>
          </w:p>
        </w:tc>
        <w:tc>
          <w:tcPr>
            <w:tcW w:w="2120" w:type="dxa"/>
            <w:vAlign w:val="bottom"/>
            <w:shd w:val="clear" w:color="auto" w:fill="EAF9E8"/>
          </w:tcPr>
          <w:p>
            <w:pPr>
              <w:spacing w:after="0"/>
              <w:rPr>
                <w:sz w:val="24"/>
                <w:szCs w:val="24"/>
                <w:color w:val="auto"/>
              </w:rPr>
            </w:pPr>
          </w:p>
        </w:tc>
        <w:tc>
          <w:tcPr>
            <w:tcW w:w="1400" w:type="dxa"/>
            <w:vAlign w:val="bottom"/>
            <w:shd w:val="clear" w:color="auto" w:fill="EAF9E8"/>
          </w:tcPr>
          <w:p>
            <w:pPr>
              <w:spacing w:after="0"/>
              <w:rPr>
                <w:sz w:val="24"/>
                <w:szCs w:val="24"/>
                <w:color w:val="auto"/>
              </w:rPr>
            </w:pPr>
          </w:p>
        </w:tc>
        <w:tc>
          <w:tcPr>
            <w:tcW w:w="10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6,790</w:t>
            </w:r>
          </w:p>
        </w:tc>
        <w:tc>
          <w:tcPr>
            <w:tcW w:w="10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4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5,058</w:t>
            </w:r>
          </w:p>
        </w:tc>
        <w:tc>
          <w:tcPr>
            <w:tcW w:w="0" w:type="dxa"/>
            <w:vAlign w:val="bottom"/>
          </w:tcPr>
          <w:p>
            <w:pPr>
              <w:spacing w:after="0"/>
              <w:rPr>
                <w:sz w:val="1"/>
                <w:szCs w:val="1"/>
                <w:color w:val="auto"/>
              </w:rPr>
            </w:pPr>
          </w:p>
        </w:tc>
      </w:tr>
      <w:tr>
        <w:trPr>
          <w:trHeight w:val="263"/>
        </w:trPr>
        <w:tc>
          <w:tcPr>
            <w:tcW w:w="4380" w:type="dxa"/>
            <w:vAlign w:val="bottom"/>
          </w:tcPr>
          <w:p>
            <w:pPr>
              <w:ind w:left="360"/>
              <w:spacing w:after="0"/>
              <w:rPr>
                <w:sz w:val="20"/>
                <w:szCs w:val="20"/>
                <w:color w:val="auto"/>
              </w:rPr>
            </w:pPr>
            <w:r>
              <w:rPr>
                <w:rFonts w:ascii="Arial" w:cs="Arial" w:eastAsia="Arial" w:hAnsi="Arial"/>
                <w:sz w:val="18"/>
                <w:szCs w:val="18"/>
                <w:color w:val="auto"/>
                <w:w w:val="95"/>
              </w:rPr>
              <w:t>General and administrative - home sales and rentals</w:t>
            </w:r>
          </w:p>
        </w:tc>
        <w:tc>
          <w:tcPr>
            <w:tcW w:w="2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77"/>
        </w:trPr>
        <w:tc>
          <w:tcPr>
            <w:tcW w:w="4380" w:type="dxa"/>
            <w:vAlign w:val="bottom"/>
            <w:shd w:val="clear" w:color="auto" w:fill="EAF9E8"/>
          </w:tcPr>
          <w:p>
            <w:pPr>
              <w:ind w:left="360"/>
              <w:spacing w:after="0"/>
              <w:rPr>
                <w:sz w:val="20"/>
                <w:szCs w:val="20"/>
                <w:color w:val="auto"/>
              </w:rPr>
            </w:pPr>
            <w:r>
              <w:rPr>
                <w:rFonts w:ascii="Arial" w:cs="Arial" w:eastAsia="Arial" w:hAnsi="Arial"/>
                <w:sz w:val="18"/>
                <w:szCs w:val="18"/>
                <w:color w:val="auto"/>
              </w:rPr>
              <w:t>Acquisition related costs</w:t>
            </w:r>
          </w:p>
        </w:tc>
        <w:tc>
          <w:tcPr>
            <w:tcW w:w="2120" w:type="dxa"/>
            <w:vAlign w:val="bottom"/>
            <w:shd w:val="clear" w:color="auto" w:fill="EAF9E8"/>
          </w:tcPr>
          <w:p>
            <w:pPr>
              <w:spacing w:after="0"/>
              <w:rPr>
                <w:sz w:val="24"/>
                <w:szCs w:val="24"/>
                <w:color w:val="auto"/>
              </w:rPr>
            </w:pPr>
          </w:p>
        </w:tc>
        <w:tc>
          <w:tcPr>
            <w:tcW w:w="1400" w:type="dxa"/>
            <w:vAlign w:val="bottom"/>
            <w:shd w:val="clear" w:color="auto" w:fill="EAF9E8"/>
          </w:tcPr>
          <w:p>
            <w:pPr>
              <w:spacing w:after="0"/>
              <w:rPr>
                <w:sz w:val="24"/>
                <w:szCs w:val="24"/>
                <w:color w:val="auto"/>
              </w:rPr>
            </w:pPr>
          </w:p>
        </w:tc>
        <w:tc>
          <w:tcPr>
            <w:tcW w:w="10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1,042</w:t>
            </w:r>
          </w:p>
        </w:tc>
        <w:tc>
          <w:tcPr>
            <w:tcW w:w="10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4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63"/>
        </w:trPr>
        <w:tc>
          <w:tcPr>
            <w:tcW w:w="43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25,262</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19,868</w:t>
            </w:r>
          </w:p>
        </w:tc>
        <w:tc>
          <w:tcPr>
            <w:tcW w:w="0" w:type="dxa"/>
            <w:vAlign w:val="bottom"/>
          </w:tcPr>
          <w:p>
            <w:pPr>
              <w:spacing w:after="0"/>
              <w:rPr>
                <w:sz w:val="1"/>
                <w:szCs w:val="1"/>
                <w:color w:val="auto"/>
              </w:rPr>
            </w:pPr>
          </w:p>
        </w:tc>
      </w:tr>
      <w:tr>
        <w:trPr>
          <w:trHeight w:val="277"/>
        </w:trPr>
        <w:tc>
          <w:tcPr>
            <w:tcW w:w="4380" w:type="dxa"/>
            <w:vAlign w:val="bottom"/>
            <w:shd w:val="clear" w:color="auto" w:fill="EAF9E8"/>
          </w:tcPr>
          <w:p>
            <w:pPr>
              <w:ind w:left="360"/>
              <w:spacing w:after="0"/>
              <w:rPr>
                <w:sz w:val="20"/>
                <w:szCs w:val="20"/>
                <w:color w:val="auto"/>
              </w:rPr>
            </w:pPr>
            <w:r>
              <w:rPr>
                <w:rFonts w:ascii="Arial" w:cs="Arial" w:eastAsia="Arial" w:hAnsi="Arial"/>
                <w:sz w:val="18"/>
                <w:szCs w:val="18"/>
                <w:color w:val="auto"/>
              </w:rPr>
              <w:t>Interest</w:t>
            </w:r>
          </w:p>
        </w:tc>
        <w:tc>
          <w:tcPr>
            <w:tcW w:w="2120" w:type="dxa"/>
            <w:vAlign w:val="bottom"/>
            <w:shd w:val="clear" w:color="auto" w:fill="EAF9E8"/>
          </w:tcPr>
          <w:p>
            <w:pPr>
              <w:spacing w:after="0"/>
              <w:rPr>
                <w:sz w:val="24"/>
                <w:szCs w:val="24"/>
                <w:color w:val="auto"/>
              </w:rPr>
            </w:pPr>
          </w:p>
        </w:tc>
        <w:tc>
          <w:tcPr>
            <w:tcW w:w="1400" w:type="dxa"/>
            <w:vAlign w:val="bottom"/>
            <w:shd w:val="clear" w:color="auto" w:fill="EAF9E8"/>
          </w:tcPr>
          <w:p>
            <w:pPr>
              <w:spacing w:after="0"/>
              <w:rPr>
                <w:sz w:val="24"/>
                <w:szCs w:val="24"/>
                <w:color w:val="auto"/>
              </w:rPr>
            </w:pPr>
          </w:p>
        </w:tc>
        <w:tc>
          <w:tcPr>
            <w:tcW w:w="10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18,864</w:t>
            </w:r>
          </w:p>
        </w:tc>
        <w:tc>
          <w:tcPr>
            <w:tcW w:w="10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4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16,797</w:t>
            </w:r>
          </w:p>
        </w:tc>
        <w:tc>
          <w:tcPr>
            <w:tcW w:w="0" w:type="dxa"/>
            <w:vAlign w:val="bottom"/>
          </w:tcPr>
          <w:p>
            <w:pPr>
              <w:spacing w:after="0"/>
              <w:rPr>
                <w:sz w:val="1"/>
                <w:szCs w:val="1"/>
                <w:color w:val="auto"/>
              </w:rPr>
            </w:pPr>
          </w:p>
        </w:tc>
      </w:tr>
      <w:tr>
        <w:trPr>
          <w:trHeight w:val="264"/>
        </w:trPr>
        <w:tc>
          <w:tcPr>
            <w:tcW w:w="4380" w:type="dxa"/>
            <w:vAlign w:val="bottom"/>
            <w:tcBorders>
              <w:bottom w:val="single" w:sz="8" w:color="EAF9E8"/>
            </w:tcBorders>
          </w:tcPr>
          <w:p>
            <w:pPr>
              <w:ind w:left="360"/>
              <w:spacing w:after="0"/>
              <w:rPr>
                <w:sz w:val="20"/>
                <w:szCs w:val="20"/>
                <w:color w:val="auto"/>
              </w:rPr>
            </w:pPr>
            <w:r>
              <w:rPr>
                <w:rFonts w:ascii="Arial" w:cs="Arial" w:eastAsia="Arial" w:hAnsi="Arial"/>
                <w:sz w:val="18"/>
                <w:szCs w:val="18"/>
                <w:color w:val="auto"/>
              </w:rPr>
              <w:t>Interest on mandatorily redeemable debt</w:t>
            </w:r>
          </w:p>
        </w:tc>
        <w:tc>
          <w:tcPr>
            <w:tcW w:w="2120" w:type="dxa"/>
            <w:vAlign w:val="bottom"/>
            <w:tcBorders>
              <w:bottom w:val="single" w:sz="8" w:color="EAF9E8"/>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EAF9E8"/>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57"/>
        </w:trPr>
        <w:tc>
          <w:tcPr>
            <w:tcW w:w="4380" w:type="dxa"/>
            <w:vAlign w:val="bottom"/>
            <w:shd w:val="clear" w:color="auto" w:fill="EAF9E8"/>
          </w:tcPr>
          <w:p>
            <w:pPr>
              <w:ind w:left="520"/>
              <w:spacing w:after="0"/>
              <w:rPr>
                <w:sz w:val="20"/>
                <w:szCs w:val="20"/>
                <w:color w:val="auto"/>
              </w:rPr>
            </w:pPr>
            <w:r>
              <w:rPr>
                <w:rFonts w:ascii="Arial" w:cs="Arial" w:eastAsia="Arial" w:hAnsi="Arial"/>
                <w:sz w:val="18"/>
                <w:szCs w:val="18"/>
                <w:color w:val="auto"/>
              </w:rPr>
              <w:t>Total expenses</w:t>
            </w:r>
          </w:p>
        </w:tc>
        <w:tc>
          <w:tcPr>
            <w:tcW w:w="2120" w:type="dxa"/>
            <w:vAlign w:val="bottom"/>
            <w:shd w:val="clear" w:color="auto" w:fill="EAF9E8"/>
          </w:tcPr>
          <w:p>
            <w:pPr>
              <w:spacing w:after="0"/>
              <w:rPr>
                <w:sz w:val="22"/>
                <w:szCs w:val="22"/>
                <w:color w:val="auto"/>
              </w:rPr>
            </w:pPr>
          </w:p>
        </w:tc>
        <w:tc>
          <w:tcPr>
            <w:tcW w:w="1400" w:type="dxa"/>
            <w:vAlign w:val="bottom"/>
            <w:tcBorders>
              <w:bottom w:val="single" w:sz="8" w:color="auto"/>
            </w:tcBorders>
            <w:shd w:val="clear" w:color="auto" w:fill="EAF9E8"/>
          </w:tcPr>
          <w:p>
            <w:pPr>
              <w:spacing w:after="0"/>
              <w:rPr>
                <w:sz w:val="22"/>
                <w:szCs w:val="22"/>
                <w:color w:val="auto"/>
              </w:rPr>
            </w:pPr>
          </w:p>
        </w:tc>
        <w:tc>
          <w:tcPr>
            <w:tcW w:w="1000" w:type="dxa"/>
            <w:vAlign w:val="bottom"/>
            <w:tcBorders>
              <w:bottom w:val="single" w:sz="8" w:color="auto"/>
            </w:tcBorders>
            <w:shd w:val="clear" w:color="auto" w:fill="EAF9E8"/>
          </w:tcPr>
          <w:p>
            <w:pPr>
              <w:jc w:val="right"/>
              <w:ind w:right="31"/>
              <w:spacing w:after="0"/>
              <w:rPr>
                <w:sz w:val="20"/>
                <w:szCs w:val="20"/>
                <w:color w:val="auto"/>
              </w:rPr>
            </w:pPr>
            <w:r>
              <w:rPr>
                <w:rFonts w:ascii="Arial" w:cs="Arial" w:eastAsia="Arial" w:hAnsi="Arial"/>
                <w:sz w:val="18"/>
                <w:szCs w:val="18"/>
                <w:color w:val="auto"/>
              </w:rPr>
              <w:t>95,449</w:t>
            </w:r>
          </w:p>
        </w:tc>
        <w:tc>
          <w:tcPr>
            <w:tcW w:w="100" w:type="dxa"/>
            <w:vAlign w:val="bottom"/>
            <w:shd w:val="clear" w:color="auto" w:fill="EAF9E8"/>
          </w:tcPr>
          <w:p>
            <w:pPr>
              <w:spacing w:after="0"/>
              <w:rPr>
                <w:sz w:val="22"/>
                <w:szCs w:val="22"/>
                <w:color w:val="auto"/>
              </w:rPr>
            </w:pPr>
          </w:p>
        </w:tc>
        <w:tc>
          <w:tcPr>
            <w:tcW w:w="1000" w:type="dxa"/>
            <w:vAlign w:val="bottom"/>
            <w:tcBorders>
              <w:bottom w:val="single" w:sz="8" w:color="auto"/>
            </w:tcBorders>
            <w:shd w:val="clear" w:color="auto" w:fill="EAF9E8"/>
          </w:tcPr>
          <w:p>
            <w:pPr>
              <w:spacing w:after="0"/>
              <w:rPr>
                <w:sz w:val="22"/>
                <w:szCs w:val="22"/>
                <w:color w:val="auto"/>
              </w:rPr>
            </w:pPr>
          </w:p>
        </w:tc>
        <w:tc>
          <w:tcPr>
            <w:tcW w:w="1400" w:type="dxa"/>
            <w:vAlign w:val="bottom"/>
            <w:tcBorders>
              <w:bottom w:val="single" w:sz="8" w:color="auto"/>
            </w:tcBorders>
            <w:shd w:val="clear" w:color="auto" w:fill="EAF9E8"/>
          </w:tcPr>
          <w:p>
            <w:pPr>
              <w:jc w:val="right"/>
              <w:ind w:right="31"/>
              <w:spacing w:after="0"/>
              <w:rPr>
                <w:sz w:val="20"/>
                <w:szCs w:val="20"/>
                <w:color w:val="auto"/>
              </w:rPr>
            </w:pPr>
            <w:r>
              <w:rPr>
                <w:rFonts w:ascii="Arial" w:cs="Arial" w:eastAsia="Arial" w:hAnsi="Arial"/>
                <w:sz w:val="18"/>
                <w:szCs w:val="18"/>
                <w:color w:val="auto"/>
              </w:rPr>
              <w:t>77,432</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w w:val="92"/>
              </w:rPr>
              <w:t>Income before income taxes and distributions from affiliate</w:t>
            </w:r>
          </w:p>
        </w:tc>
        <w:tc>
          <w:tcPr>
            <w:tcW w:w="2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7,930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77"/>
        </w:trPr>
        <w:tc>
          <w:tcPr>
            <w:tcW w:w="4380" w:type="dxa"/>
            <w:vAlign w:val="bottom"/>
            <w:shd w:val="clear" w:color="auto" w:fill="EAF9E8"/>
          </w:tcPr>
          <w:p>
            <w:pPr>
              <w:ind w:left="360"/>
              <w:spacing w:after="0"/>
              <w:rPr>
                <w:sz w:val="20"/>
                <w:szCs w:val="20"/>
                <w:color w:val="auto"/>
              </w:rPr>
            </w:pPr>
            <w:r>
              <w:rPr>
                <w:rFonts w:ascii="Arial" w:cs="Arial" w:eastAsia="Arial" w:hAnsi="Arial"/>
                <w:sz w:val="18"/>
                <w:szCs w:val="18"/>
                <w:color w:val="auto"/>
              </w:rPr>
              <w:t>Provision for state income taxes</w:t>
            </w:r>
          </w:p>
        </w:tc>
        <w:tc>
          <w:tcPr>
            <w:tcW w:w="2120" w:type="dxa"/>
            <w:vAlign w:val="bottom"/>
            <w:shd w:val="clear" w:color="auto" w:fill="EAF9E8"/>
          </w:tcPr>
          <w:p>
            <w:pPr>
              <w:spacing w:after="0"/>
              <w:rPr>
                <w:sz w:val="24"/>
                <w:szCs w:val="24"/>
                <w:color w:val="auto"/>
              </w:rPr>
            </w:pPr>
          </w:p>
        </w:tc>
        <w:tc>
          <w:tcPr>
            <w:tcW w:w="1400" w:type="dxa"/>
            <w:vAlign w:val="bottom"/>
            <w:shd w:val="clear" w:color="auto" w:fill="EAF9E8"/>
          </w:tcPr>
          <w:p>
            <w:pPr>
              <w:spacing w:after="0"/>
              <w:rPr>
                <w:sz w:val="24"/>
                <w:szCs w:val="24"/>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64"/>
        </w:trPr>
        <w:tc>
          <w:tcPr>
            <w:tcW w:w="4380" w:type="dxa"/>
            <w:vAlign w:val="bottom"/>
            <w:tcBorders>
              <w:bottom w:val="single" w:sz="8" w:color="EAF9E8"/>
            </w:tcBorders>
          </w:tcPr>
          <w:p>
            <w:pPr>
              <w:ind w:left="360"/>
              <w:spacing w:after="0"/>
              <w:rPr>
                <w:sz w:val="20"/>
                <w:szCs w:val="20"/>
                <w:color w:val="auto"/>
              </w:rPr>
            </w:pPr>
            <w:r>
              <w:rPr>
                <w:rFonts w:ascii="Arial" w:cs="Arial" w:eastAsia="Arial" w:hAnsi="Arial"/>
                <w:sz w:val="18"/>
                <w:szCs w:val="18"/>
                <w:color w:val="auto"/>
              </w:rPr>
              <w:t>Distributions from affiliate</w:t>
            </w:r>
          </w:p>
        </w:tc>
        <w:tc>
          <w:tcPr>
            <w:tcW w:w="2120" w:type="dxa"/>
            <w:vAlign w:val="bottom"/>
            <w:tcBorders>
              <w:bottom w:val="single" w:sz="8" w:color="EAF9E8"/>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EAF9E8"/>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57"/>
        </w:trPr>
        <w:tc>
          <w:tcPr>
            <w:tcW w:w="4380" w:type="dxa"/>
            <w:vAlign w:val="bottom"/>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2120" w:type="dxa"/>
            <w:vAlign w:val="bottom"/>
            <w:shd w:val="clear" w:color="auto" w:fill="EAF9E8"/>
          </w:tcPr>
          <w:p>
            <w:pPr>
              <w:spacing w:after="0"/>
              <w:rPr>
                <w:sz w:val="22"/>
                <w:szCs w:val="22"/>
                <w:color w:val="auto"/>
              </w:rPr>
            </w:pPr>
          </w:p>
        </w:tc>
        <w:tc>
          <w:tcPr>
            <w:tcW w:w="1400" w:type="dxa"/>
            <w:vAlign w:val="bottom"/>
            <w:shd w:val="clear" w:color="auto" w:fill="EAF9E8"/>
          </w:tcPr>
          <w:p>
            <w:pPr>
              <w:spacing w:after="0"/>
              <w:rPr>
                <w:sz w:val="22"/>
                <w:szCs w:val="22"/>
                <w:color w:val="auto"/>
              </w:rPr>
            </w:pPr>
          </w:p>
        </w:tc>
        <w:tc>
          <w:tcPr>
            <w:tcW w:w="10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8,271</w:t>
            </w:r>
          </w:p>
        </w:tc>
        <w:tc>
          <w:tcPr>
            <w:tcW w:w="100" w:type="dxa"/>
            <w:vAlign w:val="bottom"/>
            <w:shd w:val="clear" w:color="auto" w:fill="EAF9E8"/>
          </w:tcPr>
          <w:p>
            <w:pPr>
              <w:spacing w:after="0"/>
              <w:rPr>
                <w:sz w:val="22"/>
                <w:szCs w:val="22"/>
                <w:color w:val="auto"/>
              </w:rPr>
            </w:pPr>
          </w:p>
        </w:tc>
        <w:tc>
          <w:tcPr>
            <w:tcW w:w="1000" w:type="dxa"/>
            <w:vAlign w:val="bottom"/>
            <w:shd w:val="clear" w:color="auto" w:fill="EAF9E8"/>
          </w:tcPr>
          <w:p>
            <w:pPr>
              <w:spacing w:after="0"/>
              <w:rPr>
                <w:sz w:val="22"/>
                <w:szCs w:val="22"/>
                <w:color w:val="auto"/>
              </w:rPr>
            </w:pPr>
          </w:p>
        </w:tc>
        <w:tc>
          <w:tcPr>
            <w:tcW w:w="14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6,393</w:t>
            </w:r>
          </w:p>
        </w:tc>
        <w:tc>
          <w:tcPr>
            <w:tcW w:w="0" w:type="dxa"/>
            <w:vAlign w:val="bottom"/>
          </w:tcPr>
          <w:p>
            <w:pPr>
              <w:spacing w:after="0"/>
              <w:rPr>
                <w:sz w:val="1"/>
                <w:szCs w:val="1"/>
                <w:color w:val="auto"/>
              </w:rPr>
            </w:pPr>
          </w:p>
        </w:tc>
      </w:tr>
      <w:tr>
        <w:trPr>
          <w:trHeight w:val="263"/>
        </w:trPr>
        <w:tc>
          <w:tcPr>
            <w:tcW w:w="4380" w:type="dxa"/>
            <w:vAlign w:val="bottom"/>
          </w:tcPr>
          <w:p>
            <w:pPr>
              <w:ind w:left="360"/>
              <w:spacing w:after="0"/>
              <w:rPr>
                <w:sz w:val="20"/>
                <w:szCs w:val="20"/>
                <w:color w:val="auto"/>
              </w:rPr>
            </w:pPr>
            <w:r>
              <w:rPr>
                <w:rFonts w:ascii="Arial" w:cs="Arial" w:eastAsia="Arial" w:hAnsi="Arial"/>
                <w:sz w:val="18"/>
                <w:szCs w:val="18"/>
                <w:color w:val="auto"/>
                <w:w w:val="91"/>
              </w:rPr>
              <w:t>Less: Preferred return to Series A-1 preferred OP units</w:t>
            </w:r>
          </w:p>
        </w:tc>
        <w:tc>
          <w:tcPr>
            <w:tcW w:w="2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77"/>
        </w:trPr>
        <w:tc>
          <w:tcPr>
            <w:tcW w:w="4380" w:type="dxa"/>
            <w:vAlign w:val="bottom"/>
            <w:shd w:val="clear" w:color="auto" w:fill="EAF9E8"/>
          </w:tcPr>
          <w:p>
            <w:pPr>
              <w:ind w:left="380"/>
              <w:spacing w:after="0"/>
              <w:rPr>
                <w:sz w:val="20"/>
                <w:szCs w:val="20"/>
                <w:color w:val="auto"/>
              </w:rPr>
            </w:pPr>
            <w:r>
              <w:rPr>
                <w:rFonts w:ascii="Arial" w:cs="Arial" w:eastAsia="Arial" w:hAnsi="Arial"/>
                <w:sz w:val="18"/>
                <w:szCs w:val="18"/>
                <w:color w:val="auto"/>
                <w:w w:val="91"/>
              </w:rPr>
              <w:t>Less: Preferred return to Series A-3 preferred OP units</w:t>
            </w:r>
          </w:p>
        </w:tc>
        <w:tc>
          <w:tcPr>
            <w:tcW w:w="2120" w:type="dxa"/>
            <w:vAlign w:val="bottom"/>
            <w:shd w:val="clear" w:color="auto" w:fill="EAF9E8"/>
          </w:tcPr>
          <w:p>
            <w:pPr>
              <w:spacing w:after="0"/>
              <w:rPr>
                <w:sz w:val="24"/>
                <w:szCs w:val="24"/>
                <w:color w:val="auto"/>
              </w:rPr>
            </w:pPr>
          </w:p>
        </w:tc>
        <w:tc>
          <w:tcPr>
            <w:tcW w:w="1400" w:type="dxa"/>
            <w:vAlign w:val="bottom"/>
            <w:shd w:val="clear" w:color="auto" w:fill="EAF9E8"/>
          </w:tcPr>
          <w:p>
            <w:pPr>
              <w:spacing w:after="0"/>
              <w:rPr>
                <w:sz w:val="24"/>
                <w:szCs w:val="24"/>
                <w:color w:val="auto"/>
              </w:rPr>
            </w:pPr>
          </w:p>
        </w:tc>
        <w:tc>
          <w:tcPr>
            <w:tcW w:w="10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4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380" w:type="dxa"/>
            <w:vAlign w:val="bottom"/>
            <w:tcBorders>
              <w:bottom w:val="single" w:sz="8" w:color="EAF9E8"/>
            </w:tcBorders>
          </w:tcPr>
          <w:p>
            <w:pPr>
              <w:ind w:left="360"/>
              <w:spacing w:after="0"/>
              <w:rPr>
                <w:sz w:val="20"/>
                <w:szCs w:val="20"/>
                <w:color w:val="auto"/>
              </w:rPr>
            </w:pPr>
            <w:r>
              <w:rPr>
                <w:rFonts w:ascii="Arial" w:cs="Arial" w:eastAsia="Arial" w:hAnsi="Arial"/>
                <w:sz w:val="18"/>
                <w:szCs w:val="18"/>
                <w:color w:val="auto"/>
                <w:w w:val="94"/>
              </w:rPr>
              <w:t>Less: Amounts attributable to noncontrolling interests</w:t>
            </w:r>
          </w:p>
        </w:tc>
        <w:tc>
          <w:tcPr>
            <w:tcW w:w="2120" w:type="dxa"/>
            <w:vAlign w:val="bottom"/>
            <w:tcBorders>
              <w:bottom w:val="single" w:sz="8" w:color="EAF9E8"/>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0"/>
        </w:trPr>
        <w:tc>
          <w:tcPr>
            <w:tcW w:w="4380" w:type="dxa"/>
            <w:vAlign w:val="bottom"/>
            <w:shd w:val="clear" w:color="auto" w:fill="EAF9E8"/>
          </w:tcPr>
          <w:p>
            <w:pPr>
              <w:ind w:left="40"/>
              <w:spacing w:after="0"/>
              <w:rPr>
                <w:sz w:val="20"/>
                <w:szCs w:val="20"/>
                <w:color w:val="auto"/>
              </w:rPr>
            </w:pPr>
            <w:r>
              <w:rPr>
                <w:rFonts w:ascii="Arial" w:cs="Arial" w:eastAsia="Arial" w:hAnsi="Arial"/>
                <w:sz w:val="18"/>
                <w:szCs w:val="18"/>
                <w:color w:val="auto"/>
              </w:rPr>
              <w:t>Net income attributable to Sun Communities, Inc.</w:t>
            </w:r>
          </w:p>
        </w:tc>
        <w:tc>
          <w:tcPr>
            <w:tcW w:w="2120" w:type="dxa"/>
            <w:vAlign w:val="bottom"/>
            <w:shd w:val="clear" w:color="auto" w:fill="EAF9E8"/>
          </w:tcPr>
          <w:p>
            <w:pPr>
              <w:spacing w:after="0"/>
              <w:rPr>
                <w:sz w:val="23"/>
                <w:szCs w:val="23"/>
                <w:color w:val="auto"/>
              </w:rPr>
            </w:pPr>
          </w:p>
        </w:tc>
        <w:tc>
          <w:tcPr>
            <w:tcW w:w="1400" w:type="dxa"/>
            <w:vAlign w:val="bottom"/>
            <w:shd w:val="clear" w:color="auto" w:fill="EAF9E8"/>
          </w:tcPr>
          <w:p>
            <w:pPr>
              <w:spacing w:after="0"/>
              <w:rPr>
                <w:sz w:val="23"/>
                <w:szCs w:val="23"/>
                <w:color w:val="auto"/>
              </w:rPr>
            </w:pPr>
          </w:p>
        </w:tc>
        <w:tc>
          <w:tcPr>
            <w:tcW w:w="10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7,258</w:t>
            </w:r>
          </w:p>
        </w:tc>
        <w:tc>
          <w:tcPr>
            <w:tcW w:w="100" w:type="dxa"/>
            <w:vAlign w:val="bottom"/>
            <w:shd w:val="clear" w:color="auto" w:fill="EAF9E8"/>
          </w:tcPr>
          <w:p>
            <w:pPr>
              <w:spacing w:after="0"/>
              <w:rPr>
                <w:sz w:val="23"/>
                <w:szCs w:val="23"/>
                <w:color w:val="auto"/>
              </w:rPr>
            </w:pPr>
          </w:p>
        </w:tc>
        <w:tc>
          <w:tcPr>
            <w:tcW w:w="1000" w:type="dxa"/>
            <w:vAlign w:val="bottom"/>
            <w:shd w:val="clear" w:color="auto" w:fill="EAF9E8"/>
          </w:tcPr>
          <w:p>
            <w:pPr>
              <w:spacing w:after="0"/>
              <w:rPr>
                <w:sz w:val="23"/>
                <w:szCs w:val="23"/>
                <w:color w:val="auto"/>
              </w:rPr>
            </w:pPr>
          </w:p>
        </w:tc>
        <w:tc>
          <w:tcPr>
            <w:tcW w:w="14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264"/>
        </w:trPr>
        <w:tc>
          <w:tcPr>
            <w:tcW w:w="4380" w:type="dxa"/>
            <w:vAlign w:val="bottom"/>
            <w:tcBorders>
              <w:bottom w:val="single" w:sz="8" w:color="EAF9E8"/>
            </w:tcBorders>
          </w:tcPr>
          <w:p>
            <w:pPr>
              <w:ind w:left="360"/>
              <w:spacing w:after="0"/>
              <w:rPr>
                <w:sz w:val="20"/>
                <w:szCs w:val="20"/>
                <w:color w:val="auto"/>
              </w:rPr>
            </w:pPr>
            <w:r>
              <w:rPr>
                <w:rFonts w:ascii="Arial" w:cs="Arial" w:eastAsia="Arial" w:hAnsi="Arial"/>
                <w:sz w:val="18"/>
                <w:szCs w:val="18"/>
                <w:color w:val="auto"/>
              </w:rPr>
              <w:t>Less: Series A preferred stock distributions</w:t>
            </w:r>
          </w:p>
        </w:tc>
        <w:tc>
          <w:tcPr>
            <w:tcW w:w="2120" w:type="dxa"/>
            <w:vAlign w:val="bottom"/>
            <w:tcBorders>
              <w:bottom w:val="single" w:sz="8" w:color="EAF9E8"/>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EAF9E8"/>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Net income attributable to Sun Communities, Inc. common stockholders</w:t>
            </w:r>
          </w:p>
        </w:tc>
        <w:tc>
          <w:tcPr>
            <w:tcW w:w="1400" w:type="dxa"/>
            <w:vAlign w:val="bottom"/>
            <w:tcBorders>
              <w:bottom w:val="single" w:sz="8" w:color="auto"/>
            </w:tcBorders>
            <w:shd w:val="clear" w:color="auto" w:fill="EAF9E8"/>
          </w:tcPr>
          <w:p>
            <w:pPr>
              <w:jc w:val="right"/>
              <w:ind w:right="119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AF9E8"/>
          </w:tcPr>
          <w:p>
            <w:pPr>
              <w:jc w:val="right"/>
              <w:ind w:right="31"/>
              <w:spacing w:after="0"/>
              <w:rPr>
                <w:sz w:val="20"/>
                <w:szCs w:val="20"/>
                <w:color w:val="auto"/>
              </w:rPr>
            </w:pPr>
            <w:r>
              <w:rPr>
                <w:rFonts w:ascii="Arial" w:cs="Arial" w:eastAsia="Arial" w:hAnsi="Arial"/>
                <w:sz w:val="18"/>
                <w:szCs w:val="18"/>
                <w:color w:val="auto"/>
              </w:rPr>
              <w:t>5,744</w:t>
            </w:r>
          </w:p>
        </w:tc>
        <w:tc>
          <w:tcPr>
            <w:tcW w:w="10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auto"/>
            </w:tcBorders>
            <w:shd w:val="clear" w:color="auto" w:fill="EAF9E8"/>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EAF9E8"/>
          </w:tcPr>
          <w:p>
            <w:pPr>
              <w:jc w:val="right"/>
              <w:ind w:right="31"/>
              <w:spacing w:after="0"/>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vMerge w:val="continue"/>
          </w:tcPr>
          <w:p>
            <w:pPr>
              <w:spacing w:after="0"/>
              <w:rPr>
                <w:sz w:val="21"/>
                <w:szCs w:val="21"/>
                <w:color w:val="auto"/>
              </w:rPr>
            </w:pPr>
          </w:p>
        </w:tc>
        <w:tc>
          <w:tcPr>
            <w:tcW w:w="2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380" w:type="dxa"/>
            <w:vAlign w:val="bottom"/>
            <w:shd w:val="clear" w:color="auto" w:fill="EAF9E8"/>
          </w:tcPr>
          <w:p>
            <w:pPr>
              <w:ind w:left="360"/>
              <w:spacing w:after="0"/>
              <w:rPr>
                <w:sz w:val="20"/>
                <w:szCs w:val="20"/>
                <w:color w:val="auto"/>
              </w:rPr>
            </w:pPr>
            <w:r>
              <w:rPr>
                <w:rFonts w:ascii="Arial" w:cs="Arial" w:eastAsia="Arial" w:hAnsi="Arial"/>
                <w:sz w:val="18"/>
                <w:szCs w:val="18"/>
                <w:color w:val="auto"/>
              </w:rPr>
              <w:t>Basic</w:t>
            </w:r>
          </w:p>
        </w:tc>
        <w:tc>
          <w:tcPr>
            <w:tcW w:w="2120" w:type="dxa"/>
            <w:vAlign w:val="bottom"/>
            <w:shd w:val="clear" w:color="auto" w:fill="EAF9E8"/>
          </w:tcPr>
          <w:p>
            <w:pPr>
              <w:spacing w:after="0"/>
              <w:rPr>
                <w:sz w:val="24"/>
                <w:szCs w:val="24"/>
                <w:color w:val="auto"/>
              </w:rPr>
            </w:pPr>
          </w:p>
        </w:tc>
        <w:tc>
          <w:tcPr>
            <w:tcW w:w="1400" w:type="dxa"/>
            <w:vAlign w:val="bottom"/>
            <w:shd w:val="clear" w:color="auto" w:fill="EAF9E8"/>
          </w:tcPr>
          <w:p>
            <w:pPr>
              <w:spacing w:after="0"/>
              <w:rPr>
                <w:sz w:val="24"/>
                <w:szCs w:val="24"/>
                <w:color w:val="auto"/>
              </w:rPr>
            </w:pPr>
          </w:p>
        </w:tc>
        <w:tc>
          <w:tcPr>
            <w:tcW w:w="10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30,774</w:t>
            </w:r>
          </w:p>
        </w:tc>
        <w:tc>
          <w:tcPr>
            <w:tcW w:w="10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4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25,587</w:t>
            </w:r>
          </w:p>
        </w:tc>
        <w:tc>
          <w:tcPr>
            <w:tcW w:w="0" w:type="dxa"/>
            <w:vAlign w:val="bottom"/>
          </w:tcPr>
          <w:p>
            <w:pPr>
              <w:spacing w:after="0"/>
              <w:rPr>
                <w:sz w:val="1"/>
                <w:szCs w:val="1"/>
                <w:color w:val="auto"/>
              </w:rPr>
            </w:pPr>
          </w:p>
        </w:tc>
      </w:tr>
      <w:tr>
        <w:trPr>
          <w:trHeight w:val="263"/>
        </w:trPr>
        <w:tc>
          <w:tcPr>
            <w:tcW w:w="4380" w:type="dxa"/>
            <w:vAlign w:val="bottom"/>
          </w:tcPr>
          <w:p>
            <w:pPr>
              <w:ind w:left="360"/>
              <w:spacing w:after="0"/>
              <w:rPr>
                <w:sz w:val="20"/>
                <w:szCs w:val="20"/>
                <w:color w:val="auto"/>
              </w:rPr>
            </w:pPr>
            <w:r>
              <w:rPr>
                <w:rFonts w:ascii="Arial" w:cs="Arial" w:eastAsia="Arial" w:hAnsi="Arial"/>
                <w:sz w:val="18"/>
                <w:szCs w:val="18"/>
                <w:color w:val="auto"/>
              </w:rPr>
              <w:t>Diluted</w:t>
            </w:r>
          </w:p>
        </w:tc>
        <w:tc>
          <w:tcPr>
            <w:tcW w:w="2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30,789</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25,605</w:t>
            </w:r>
          </w:p>
        </w:tc>
        <w:tc>
          <w:tcPr>
            <w:tcW w:w="0" w:type="dxa"/>
            <w:vAlign w:val="bottom"/>
          </w:tcPr>
          <w:p>
            <w:pPr>
              <w:spacing w:after="0"/>
              <w:rPr>
                <w:sz w:val="1"/>
                <w:szCs w:val="1"/>
                <w:color w:val="auto"/>
              </w:rPr>
            </w:pPr>
          </w:p>
        </w:tc>
      </w:tr>
      <w:tr>
        <w:trPr>
          <w:trHeight w:val="257"/>
        </w:trPr>
        <w:tc>
          <w:tcPr>
            <w:tcW w:w="4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Earnings per share:</w:t>
            </w:r>
          </w:p>
        </w:tc>
        <w:tc>
          <w:tcPr>
            <w:tcW w:w="212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380" w:type="dxa"/>
            <w:vAlign w:val="bottom"/>
          </w:tcPr>
          <w:p>
            <w:pPr>
              <w:ind w:left="360"/>
              <w:spacing w:after="0"/>
              <w:rPr>
                <w:sz w:val="20"/>
                <w:szCs w:val="20"/>
                <w:color w:val="auto"/>
              </w:rPr>
            </w:pPr>
            <w:r>
              <w:rPr>
                <w:rFonts w:ascii="Arial" w:cs="Arial" w:eastAsia="Arial" w:hAnsi="Arial"/>
                <w:sz w:val="18"/>
                <w:szCs w:val="18"/>
                <w:color w:val="auto"/>
              </w:rPr>
              <w:t>Basic</w:t>
            </w:r>
          </w:p>
        </w:tc>
        <w:tc>
          <w:tcPr>
            <w:tcW w:w="2120" w:type="dxa"/>
            <w:vAlign w:val="bottom"/>
          </w:tcPr>
          <w:p>
            <w:pPr>
              <w:spacing w:after="0"/>
              <w:rPr>
                <w:sz w:val="22"/>
                <w:szCs w:val="22"/>
                <w:color w:val="auto"/>
              </w:rPr>
            </w:pPr>
          </w:p>
        </w:tc>
        <w:tc>
          <w:tcPr>
            <w:tcW w:w="1400" w:type="dxa"/>
            <w:vAlign w:val="bottom"/>
          </w:tcPr>
          <w:p>
            <w:pPr>
              <w:jc w:val="right"/>
              <w:ind w:right="119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2"/>
                <w:szCs w:val="22"/>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7"/>
        </w:trPr>
        <w:tc>
          <w:tcPr>
            <w:tcW w:w="4380" w:type="dxa"/>
            <w:vAlign w:val="bottom"/>
            <w:shd w:val="clear" w:color="auto" w:fill="EAF9E8"/>
          </w:tcPr>
          <w:p>
            <w:pPr>
              <w:ind w:left="360"/>
              <w:spacing w:after="0"/>
              <w:rPr>
                <w:sz w:val="20"/>
                <w:szCs w:val="20"/>
                <w:color w:val="auto"/>
              </w:rPr>
            </w:pPr>
            <w:r>
              <w:rPr>
                <w:rFonts w:ascii="Arial" w:cs="Arial" w:eastAsia="Arial" w:hAnsi="Arial"/>
                <w:sz w:val="18"/>
                <w:szCs w:val="18"/>
                <w:color w:val="auto"/>
              </w:rPr>
              <w:t>Diluted</w:t>
            </w:r>
          </w:p>
        </w:tc>
        <w:tc>
          <w:tcPr>
            <w:tcW w:w="2120" w:type="dxa"/>
            <w:vAlign w:val="bottom"/>
            <w:shd w:val="clear" w:color="auto" w:fill="EAF9E8"/>
          </w:tcPr>
          <w:p>
            <w:pPr>
              <w:spacing w:after="0"/>
              <w:rPr>
                <w:sz w:val="24"/>
                <w:szCs w:val="24"/>
                <w:color w:val="auto"/>
              </w:rPr>
            </w:pPr>
          </w:p>
        </w:tc>
        <w:tc>
          <w:tcPr>
            <w:tcW w:w="1400" w:type="dxa"/>
            <w:vAlign w:val="bottom"/>
            <w:shd w:val="clear" w:color="auto" w:fill="EAF9E8"/>
          </w:tcPr>
          <w:p>
            <w:pPr>
              <w:jc w:val="right"/>
              <w:ind w:right="1193"/>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EAF9E8"/>
          </w:tcPr>
          <w:p>
            <w:pPr>
              <w:spacing w:after="0"/>
              <w:rPr>
                <w:sz w:val="24"/>
                <w:szCs w:val="24"/>
                <w:color w:val="auto"/>
              </w:rPr>
            </w:pPr>
          </w:p>
        </w:tc>
        <w:tc>
          <w:tcPr>
            <w:tcW w:w="1000" w:type="dxa"/>
            <w:vAlign w:val="bottom"/>
            <w:shd w:val="clear" w:color="auto" w:fill="EAF9E8"/>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80" w:type="dxa"/>
            <w:vAlign w:val="bottom"/>
            <w:shd w:val="clear" w:color="auto" w:fill="EAF9E8"/>
          </w:tcPr>
          <w:p>
            <w:pPr>
              <w:ind w:left="40"/>
              <w:spacing w:after="0"/>
              <w:rPr>
                <w:sz w:val="20"/>
                <w:szCs w:val="20"/>
                <w:color w:val="auto"/>
              </w:rPr>
            </w:pPr>
            <w:r>
              <w:rPr>
                <w:rFonts w:ascii="Arial" w:cs="Arial" w:eastAsia="Arial" w:hAnsi="Arial"/>
                <w:sz w:val="18"/>
                <w:szCs w:val="18"/>
                <w:color w:val="auto"/>
              </w:rPr>
              <w:t>Dividends per common share:</w:t>
            </w:r>
          </w:p>
        </w:tc>
        <w:tc>
          <w:tcPr>
            <w:tcW w:w="2120" w:type="dxa"/>
            <w:vAlign w:val="bottom"/>
            <w:shd w:val="clear" w:color="auto" w:fill="EAF9E8"/>
          </w:tcPr>
          <w:p>
            <w:pPr>
              <w:spacing w:after="0"/>
              <w:rPr>
                <w:sz w:val="23"/>
                <w:szCs w:val="23"/>
                <w:color w:val="auto"/>
              </w:rPr>
            </w:pPr>
          </w:p>
        </w:tc>
        <w:tc>
          <w:tcPr>
            <w:tcW w:w="1400" w:type="dxa"/>
            <w:vAlign w:val="bottom"/>
            <w:shd w:val="clear" w:color="auto" w:fill="EAF9E8"/>
          </w:tcPr>
          <w:p>
            <w:pPr>
              <w:jc w:val="right"/>
              <w:ind w:right="1193"/>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EAF9E8"/>
          </w:tcPr>
          <w:p>
            <w:pPr>
              <w:spacing w:after="0"/>
              <w:rPr>
                <w:sz w:val="23"/>
                <w:szCs w:val="23"/>
                <w:color w:val="auto"/>
              </w:rPr>
            </w:pPr>
          </w:p>
        </w:tc>
        <w:tc>
          <w:tcPr>
            <w:tcW w:w="1000" w:type="dxa"/>
            <w:vAlign w:val="bottom"/>
            <w:shd w:val="clear" w:color="auto" w:fill="EAF9E8"/>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891"/>
        </w:trPr>
        <w:tc>
          <w:tcPr>
            <w:tcW w:w="4380" w:type="dxa"/>
            <w:vAlign w:val="bottom"/>
          </w:tcPr>
          <w:p>
            <w:pPr>
              <w:spacing w:after="0"/>
              <w:rPr>
                <w:sz w:val="20"/>
                <w:szCs w:val="20"/>
                <w:color w:val="auto"/>
              </w:rPr>
            </w:pPr>
            <w:r>
              <w:rPr>
                <w:rFonts w:ascii="Arial" w:cs="Arial" w:eastAsia="Arial" w:hAnsi="Arial"/>
                <w:sz w:val="18"/>
                <w:szCs w:val="18"/>
                <w:color w:val="auto"/>
              </w:rPr>
              <w:t>Sun Communities, Inc. 1st Quarter 2013</w:t>
            </w:r>
          </w:p>
        </w:tc>
        <w:tc>
          <w:tcPr>
            <w:tcW w:w="2120" w:type="dxa"/>
            <w:vAlign w:val="bottom"/>
          </w:tcPr>
          <w:p>
            <w:pPr>
              <w:ind w:left="20"/>
              <w:spacing w:after="0"/>
              <w:rPr>
                <w:sz w:val="20"/>
                <w:szCs w:val="20"/>
                <w:color w:val="auto"/>
              </w:rPr>
            </w:pPr>
            <w:r>
              <w:rPr>
                <w:rFonts w:ascii="Arial" w:cs="Arial" w:eastAsia="Arial" w:hAnsi="Arial"/>
                <w:sz w:val="18"/>
                <w:szCs w:val="18"/>
                <w:color w:val="auto"/>
              </w:rPr>
              <w:t>Page 7</w:t>
            </w: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922" w:right="25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5852160</wp:posOffset>
            </wp:positionH>
            <wp:positionV relativeFrom="page">
              <wp:posOffset>88900</wp:posOffset>
            </wp:positionV>
            <wp:extent cx="1551940" cy="317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51940" cy="317500"/>
                    </a:xfrm>
                    <a:prstGeom prst="rect">
                      <a:avLst/>
                    </a:prstGeom>
                    <a:noFill/>
                  </pic:spPr>
                </pic:pic>
              </a:graphicData>
            </a:graphic>
          </wp:anchor>
        </w:drawing>
        <w:t>Reconciliation of Net Income to FFO</w:t>
      </w:r>
      <w:r>
        <w:rPr>
          <w:rFonts w:ascii="Arial" w:cs="Arial" w:eastAsia="Arial" w:hAnsi="Arial"/>
          <w:sz w:val="25"/>
          <w:szCs w:val="25"/>
          <w:b w:val="1"/>
          <w:bCs w:val="1"/>
          <w:color w:val="auto"/>
          <w:vertAlign w:val="superscript"/>
        </w:rPr>
        <w:t>(1)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48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tcBorders>
              <w:bottom w:val="single" w:sz="8" w:color="auto"/>
            </w:tcBorders>
          </w:tcPr>
          <w:p>
            <w:pPr>
              <w:spacing w:after="0"/>
              <w:rPr>
                <w:sz w:val="16"/>
                <w:szCs w:val="16"/>
                <w:color w:val="auto"/>
              </w:rPr>
            </w:pPr>
          </w:p>
        </w:tc>
      </w:tr>
      <w:tr>
        <w:trPr>
          <w:trHeight w:val="270"/>
        </w:trPr>
        <w:tc>
          <w:tcPr>
            <w:tcW w:w="4300" w:type="dxa"/>
            <w:vAlign w:val="bottom"/>
            <w:tcBorders>
              <w:bottom w:val="single" w:sz="8" w:color="EAF9E8"/>
            </w:tcBorders>
          </w:tcPr>
          <w:p>
            <w:pPr>
              <w:spacing w:after="0"/>
              <w:rPr>
                <w:sz w:val="23"/>
                <w:szCs w:val="23"/>
                <w:color w:val="auto"/>
              </w:rPr>
            </w:pPr>
          </w:p>
        </w:tc>
        <w:tc>
          <w:tcPr>
            <w:tcW w:w="2900" w:type="dxa"/>
            <w:vAlign w:val="bottom"/>
            <w:tcBorders>
              <w:bottom w:val="single" w:sz="8" w:color="EAF9E8"/>
            </w:tcBorders>
          </w:tcPr>
          <w:p>
            <w:pPr>
              <w:spacing w:after="0"/>
              <w:rPr>
                <w:sz w:val="23"/>
                <w:szCs w:val="23"/>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auto"/>
            </w:tcBorders>
          </w:tcPr>
          <w:p>
            <w:pPr>
              <w:spacing w:after="0"/>
              <w:rPr>
                <w:sz w:val="23"/>
                <w:szCs w:val="23"/>
                <w:color w:val="auto"/>
              </w:rPr>
            </w:pPr>
          </w:p>
        </w:tc>
        <w:tc>
          <w:tcPr>
            <w:tcW w:w="100" w:type="dxa"/>
            <w:vAlign w:val="bottom"/>
            <w:tcBorders>
              <w:bottom w:val="single" w:sz="8" w:color="EAF9E8"/>
            </w:tcBorders>
          </w:tcPr>
          <w:p>
            <w:pPr>
              <w:spacing w:after="0"/>
              <w:rPr>
                <w:sz w:val="23"/>
                <w:szCs w:val="23"/>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23"/>
                <w:szCs w:val="23"/>
                <w:color w:val="auto"/>
              </w:rPr>
            </w:pPr>
          </w:p>
        </w:tc>
      </w:tr>
      <w:tr>
        <w:trPr>
          <w:trHeight w:val="250"/>
        </w:trPr>
        <w:tc>
          <w:tcPr>
            <w:tcW w:w="72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Net income attributable to Sun Communities, Inc. common stockholders</w:t>
            </w:r>
          </w:p>
        </w:tc>
        <w:tc>
          <w:tcPr>
            <w:tcW w:w="1320" w:type="dxa"/>
            <w:vAlign w:val="bottom"/>
            <w:shd w:val="clear" w:color="auto" w:fill="EAF9E8"/>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5,744</w:t>
            </w:r>
          </w:p>
        </w:tc>
        <w:tc>
          <w:tcPr>
            <w:tcW w:w="100" w:type="dxa"/>
            <w:vAlign w:val="bottom"/>
            <w:shd w:val="clear" w:color="auto" w:fill="EAF9E8"/>
          </w:tcPr>
          <w:p>
            <w:pPr>
              <w:spacing w:after="0"/>
              <w:rPr>
                <w:sz w:val="21"/>
                <w:szCs w:val="21"/>
                <w:color w:val="auto"/>
              </w:rPr>
            </w:pPr>
          </w:p>
        </w:tc>
        <w:tc>
          <w:tcPr>
            <w:tcW w:w="1320" w:type="dxa"/>
            <w:vAlign w:val="bottom"/>
            <w:shd w:val="clear" w:color="auto" w:fill="EAF9E8"/>
          </w:tcPr>
          <w:p>
            <w:pPr>
              <w:jc w:val="right"/>
              <w:ind w:right="1114"/>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5,377</w:t>
            </w:r>
          </w:p>
        </w:tc>
      </w:tr>
      <w:tr>
        <w:trPr>
          <w:trHeight w:val="263"/>
        </w:trPr>
        <w:tc>
          <w:tcPr>
            <w:tcW w:w="430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9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7"/>
        </w:trPr>
        <w:tc>
          <w:tcPr>
            <w:tcW w:w="4300" w:type="dxa"/>
            <w:vAlign w:val="bottom"/>
            <w:shd w:val="clear" w:color="auto" w:fill="EAF9E8"/>
          </w:tcPr>
          <w:p>
            <w:pPr>
              <w:ind w:left="520"/>
              <w:spacing w:after="0"/>
              <w:rPr>
                <w:sz w:val="20"/>
                <w:szCs w:val="20"/>
                <w:color w:val="auto"/>
              </w:rPr>
            </w:pPr>
            <w:r>
              <w:rPr>
                <w:rFonts w:ascii="Arial" w:cs="Arial" w:eastAsia="Arial" w:hAnsi="Arial"/>
                <w:sz w:val="18"/>
                <w:szCs w:val="18"/>
                <w:color w:val="auto"/>
                <w:w w:val="96"/>
              </w:rPr>
              <w:t>Preferred return to Series A-1 preferred OP units</w:t>
            </w:r>
          </w:p>
        </w:tc>
        <w:tc>
          <w:tcPr>
            <w:tcW w:w="290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7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7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579</w:t>
            </w:r>
          </w:p>
        </w:tc>
      </w:tr>
      <w:tr>
        <w:trPr>
          <w:trHeight w:val="263"/>
        </w:trPr>
        <w:tc>
          <w:tcPr>
            <w:tcW w:w="4300" w:type="dxa"/>
            <w:vAlign w:val="bottom"/>
          </w:tcPr>
          <w:p>
            <w:pPr>
              <w:ind w:left="520"/>
              <w:spacing w:after="0"/>
              <w:rPr>
                <w:sz w:val="20"/>
                <w:szCs w:val="20"/>
                <w:color w:val="auto"/>
              </w:rPr>
            </w:pPr>
            <w:r>
              <w:rPr>
                <w:rFonts w:ascii="Arial" w:cs="Arial" w:eastAsia="Arial" w:hAnsi="Arial"/>
                <w:sz w:val="18"/>
                <w:szCs w:val="18"/>
                <w:color w:val="auto"/>
                <w:w w:val="96"/>
              </w:rPr>
              <w:t>Preferred return to Series A-3 preferred OP units</w:t>
            </w:r>
          </w:p>
        </w:tc>
        <w:tc>
          <w:tcPr>
            <w:tcW w:w="29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4300" w:type="dxa"/>
            <w:vAlign w:val="bottom"/>
            <w:shd w:val="clear" w:color="auto" w:fill="EAF9E8"/>
          </w:tcPr>
          <w:p>
            <w:pPr>
              <w:ind w:left="520"/>
              <w:spacing w:after="0"/>
              <w:rPr>
                <w:sz w:val="20"/>
                <w:szCs w:val="20"/>
                <w:color w:val="auto"/>
              </w:rPr>
            </w:pPr>
            <w:r>
              <w:rPr>
                <w:rFonts w:ascii="Arial" w:cs="Arial" w:eastAsia="Arial" w:hAnsi="Arial"/>
                <w:sz w:val="18"/>
                <w:szCs w:val="18"/>
                <w:color w:val="auto"/>
              </w:rPr>
              <w:t>Amounts attributable to noncontrolling interests</w:t>
            </w:r>
          </w:p>
        </w:tc>
        <w:tc>
          <w:tcPr>
            <w:tcW w:w="290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7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7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437</w:t>
            </w:r>
          </w:p>
        </w:tc>
      </w:tr>
      <w:tr>
        <w:trPr>
          <w:trHeight w:val="263"/>
        </w:trPr>
        <w:tc>
          <w:tcPr>
            <w:tcW w:w="430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29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25,442</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20,115</w:t>
            </w:r>
          </w:p>
        </w:tc>
      </w:tr>
      <w:tr>
        <w:trPr>
          <w:trHeight w:val="277"/>
        </w:trPr>
        <w:tc>
          <w:tcPr>
            <w:tcW w:w="4300" w:type="dxa"/>
            <w:vAlign w:val="bottom"/>
            <w:shd w:val="clear" w:color="auto" w:fill="EAF9E8"/>
          </w:tcPr>
          <w:p>
            <w:pPr>
              <w:ind w:left="520"/>
              <w:spacing w:after="0"/>
              <w:rPr>
                <w:sz w:val="20"/>
                <w:szCs w:val="20"/>
                <w:color w:val="auto"/>
              </w:rPr>
            </w:pPr>
            <w:r>
              <w:rPr>
                <w:rFonts w:ascii="Arial" w:cs="Arial" w:eastAsia="Arial" w:hAnsi="Arial"/>
                <w:sz w:val="18"/>
                <w:szCs w:val="18"/>
                <w:color w:val="auto"/>
              </w:rPr>
              <w:t>Gain on disposition of assets, net</w:t>
            </w:r>
          </w:p>
        </w:tc>
        <w:tc>
          <w:tcPr>
            <w:tcW w:w="2900" w:type="dxa"/>
            <w:vAlign w:val="bottom"/>
            <w:shd w:val="clear" w:color="auto" w:fill="EAF9E8"/>
          </w:tcPr>
          <w:p>
            <w:pPr>
              <w:spacing w:after="0"/>
              <w:rPr>
                <w:sz w:val="24"/>
                <w:szCs w:val="24"/>
                <w:color w:val="auto"/>
              </w:rPr>
            </w:pPr>
          </w:p>
        </w:tc>
        <w:tc>
          <w:tcPr>
            <w:tcW w:w="1320" w:type="dxa"/>
            <w:vAlign w:val="bottom"/>
            <w:tcBorders>
              <w:bottom w:val="single" w:sz="8" w:color="auto"/>
            </w:tcBorders>
            <w:shd w:val="clear" w:color="auto" w:fill="EAF9E8"/>
          </w:tcPr>
          <w:p>
            <w:pPr>
              <w:spacing w:after="0"/>
              <w:rPr>
                <w:sz w:val="24"/>
                <w:szCs w:val="24"/>
                <w:color w:val="auto"/>
              </w:rPr>
            </w:pPr>
          </w:p>
        </w:tc>
        <w:tc>
          <w:tcPr>
            <w:tcW w:w="7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EAF9E8"/>
          </w:tcPr>
          <w:p>
            <w:pPr>
              <w:spacing w:after="0"/>
              <w:rPr>
                <w:sz w:val="24"/>
                <w:szCs w:val="24"/>
                <w:color w:val="auto"/>
              </w:rPr>
            </w:pPr>
          </w:p>
        </w:tc>
        <w:tc>
          <w:tcPr>
            <w:tcW w:w="1320" w:type="dxa"/>
            <w:vAlign w:val="bottom"/>
            <w:tcBorders>
              <w:bottom w:val="single" w:sz="8" w:color="auto"/>
            </w:tcBorders>
            <w:shd w:val="clear" w:color="auto" w:fill="EAF9E8"/>
          </w:tcPr>
          <w:p>
            <w:pPr>
              <w:spacing w:after="0"/>
              <w:rPr>
                <w:sz w:val="24"/>
                <w:szCs w:val="24"/>
                <w:color w:val="auto"/>
              </w:rPr>
            </w:pPr>
          </w:p>
        </w:tc>
        <w:tc>
          <w:tcPr>
            <w:tcW w:w="7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(796)</w:t>
            </w:r>
          </w:p>
        </w:tc>
      </w:tr>
      <w:tr>
        <w:trPr>
          <w:trHeight w:val="250"/>
        </w:trPr>
        <w:tc>
          <w:tcPr>
            <w:tcW w:w="4300" w:type="dxa"/>
            <w:vAlign w:val="bottom"/>
          </w:tcPr>
          <w:p>
            <w:pPr>
              <w:ind w:left="40"/>
              <w:spacing w:after="0" w:line="250" w:lineRule="exact"/>
              <w:rPr>
                <w:sz w:val="20"/>
                <w:szCs w:val="20"/>
                <w:color w:val="auto"/>
              </w:rPr>
            </w:pPr>
            <w:r>
              <w:rPr>
                <w:rFonts w:ascii="Arial" w:cs="Arial" w:eastAsia="Arial" w:hAnsi="Arial"/>
                <w:sz w:val="18"/>
                <w:szCs w:val="18"/>
                <w:color w:val="auto"/>
              </w:rPr>
              <w:t xml:space="preserve">Funds from operations ("FFO") </w:t>
            </w:r>
            <w:r>
              <w:rPr>
                <w:rFonts w:ascii="Arial" w:cs="Arial" w:eastAsia="Arial" w:hAnsi="Arial"/>
                <w:sz w:val="25"/>
                <w:szCs w:val="25"/>
                <w:color w:val="auto"/>
                <w:vertAlign w:val="superscript"/>
              </w:rPr>
              <w:t>(1)</w:t>
            </w:r>
          </w:p>
        </w:tc>
        <w:tc>
          <w:tcPr>
            <w:tcW w:w="29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30,686</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25,712</w:t>
            </w:r>
          </w:p>
        </w:tc>
      </w:tr>
      <w:tr>
        <w:trPr>
          <w:trHeight w:val="270"/>
        </w:trPr>
        <w:tc>
          <w:tcPr>
            <w:tcW w:w="430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Adjustments:</w:t>
            </w:r>
          </w:p>
        </w:tc>
        <w:tc>
          <w:tcPr>
            <w:tcW w:w="2900" w:type="dxa"/>
            <w:vAlign w:val="bottom"/>
            <w:shd w:val="clear" w:color="auto" w:fill="EAF9E8"/>
          </w:tcPr>
          <w:p>
            <w:pPr>
              <w:spacing w:after="0"/>
              <w:rPr>
                <w:sz w:val="23"/>
                <w:szCs w:val="23"/>
                <w:color w:val="auto"/>
              </w:rPr>
            </w:pPr>
          </w:p>
        </w:tc>
        <w:tc>
          <w:tcPr>
            <w:tcW w:w="132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32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r>
      <w:tr>
        <w:trPr>
          <w:trHeight w:val="264"/>
        </w:trPr>
        <w:tc>
          <w:tcPr>
            <w:tcW w:w="4300" w:type="dxa"/>
            <w:vAlign w:val="bottom"/>
            <w:tcBorders>
              <w:bottom w:val="single" w:sz="8" w:color="EAF9E8"/>
            </w:tcBorders>
          </w:tcPr>
          <w:p>
            <w:pPr>
              <w:ind w:left="520"/>
              <w:spacing w:after="0"/>
              <w:rPr>
                <w:sz w:val="20"/>
                <w:szCs w:val="20"/>
                <w:color w:val="auto"/>
              </w:rPr>
            </w:pPr>
            <w:r>
              <w:rPr>
                <w:rFonts w:ascii="Arial" w:cs="Arial" w:eastAsia="Arial" w:hAnsi="Arial"/>
                <w:sz w:val="18"/>
                <w:szCs w:val="18"/>
                <w:color w:val="auto"/>
              </w:rPr>
              <w:t>Acquisition related costs</w:t>
            </w:r>
          </w:p>
        </w:tc>
        <w:tc>
          <w:tcPr>
            <w:tcW w:w="2900" w:type="dxa"/>
            <w:vAlign w:val="bottom"/>
            <w:tcBorders>
              <w:bottom w:val="single" w:sz="8" w:color="EAF9E8"/>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EAF9E8"/>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r>
      <w:tr>
        <w:trPr>
          <w:trHeight w:val="264"/>
        </w:trPr>
        <w:tc>
          <w:tcPr>
            <w:tcW w:w="43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Funds from operations excluding certain items</w:t>
            </w:r>
          </w:p>
        </w:tc>
        <w:tc>
          <w:tcPr>
            <w:tcW w:w="290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auto"/>
            </w:tcBorders>
            <w:shd w:val="clear" w:color="auto" w:fill="EAF9E8"/>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31,728</w:t>
            </w:r>
          </w:p>
        </w:tc>
        <w:tc>
          <w:tcPr>
            <w:tcW w:w="10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auto"/>
            </w:tcBorders>
            <w:shd w:val="clear" w:color="auto" w:fill="EAF9E8"/>
          </w:tcPr>
          <w:p>
            <w:pPr>
              <w:jc w:val="right"/>
              <w:ind w:right="111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25,876</w:t>
            </w:r>
          </w:p>
        </w:tc>
      </w:tr>
      <w:tr>
        <w:trPr>
          <w:trHeight w:val="20"/>
        </w:trPr>
        <w:tc>
          <w:tcPr>
            <w:tcW w:w="4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84"/>
        </w:trPr>
        <w:tc>
          <w:tcPr>
            <w:tcW w:w="4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4300" w:type="dxa"/>
            <w:vAlign w:val="bottom"/>
            <w:shd w:val="clear" w:color="auto" w:fill="EAF9E8"/>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900" w:type="dxa"/>
            <w:vAlign w:val="bottom"/>
            <w:shd w:val="clear" w:color="auto" w:fill="EAF9E8"/>
          </w:tcPr>
          <w:p>
            <w:pPr>
              <w:spacing w:after="0"/>
              <w:rPr>
                <w:sz w:val="23"/>
                <w:szCs w:val="23"/>
                <w:color w:val="auto"/>
              </w:rPr>
            </w:pPr>
          </w:p>
        </w:tc>
        <w:tc>
          <w:tcPr>
            <w:tcW w:w="1320" w:type="dxa"/>
            <w:vAlign w:val="bottom"/>
            <w:shd w:val="clear" w:color="auto" w:fill="EAF9E8"/>
          </w:tcPr>
          <w:p>
            <w:pPr>
              <w:spacing w:after="0"/>
              <w:rPr>
                <w:sz w:val="23"/>
                <w:szCs w:val="23"/>
                <w:color w:val="auto"/>
              </w:rPr>
            </w:pPr>
          </w:p>
        </w:tc>
        <w:tc>
          <w:tcPr>
            <w:tcW w:w="7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30,427</w:t>
            </w:r>
          </w:p>
        </w:tc>
        <w:tc>
          <w:tcPr>
            <w:tcW w:w="100" w:type="dxa"/>
            <w:vAlign w:val="bottom"/>
            <w:shd w:val="clear" w:color="auto" w:fill="EAF9E8"/>
          </w:tcPr>
          <w:p>
            <w:pPr>
              <w:spacing w:after="0"/>
              <w:rPr>
                <w:sz w:val="23"/>
                <w:szCs w:val="23"/>
                <w:color w:val="auto"/>
              </w:rPr>
            </w:pPr>
          </w:p>
        </w:tc>
        <w:tc>
          <w:tcPr>
            <w:tcW w:w="1320" w:type="dxa"/>
            <w:vAlign w:val="bottom"/>
            <w:shd w:val="clear" w:color="auto" w:fill="EAF9E8"/>
          </w:tcPr>
          <w:p>
            <w:pPr>
              <w:spacing w:after="0"/>
              <w:rPr>
                <w:sz w:val="23"/>
                <w:szCs w:val="23"/>
                <w:color w:val="auto"/>
              </w:rPr>
            </w:pPr>
          </w:p>
        </w:tc>
        <w:tc>
          <w:tcPr>
            <w:tcW w:w="7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25,310</w:t>
            </w:r>
          </w:p>
        </w:tc>
      </w:tr>
      <w:tr>
        <w:trPr>
          <w:trHeight w:val="263"/>
        </w:trPr>
        <w:tc>
          <w:tcPr>
            <w:tcW w:w="4300" w:type="dxa"/>
            <w:vAlign w:val="bottom"/>
          </w:tcPr>
          <w:p>
            <w:pPr>
              <w:ind w:left="40"/>
              <w:spacing w:after="0"/>
              <w:rPr>
                <w:sz w:val="20"/>
                <w:szCs w:val="20"/>
                <w:color w:val="auto"/>
              </w:rPr>
            </w:pPr>
            <w:r>
              <w:rPr>
                <w:rFonts w:ascii="Arial" w:cs="Arial" w:eastAsia="Arial" w:hAnsi="Arial"/>
                <w:sz w:val="18"/>
                <w:szCs w:val="18"/>
                <w:color w:val="auto"/>
              </w:rPr>
              <w:t>Add:</w:t>
            </w:r>
          </w:p>
        </w:tc>
        <w:tc>
          <w:tcPr>
            <w:tcW w:w="29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7"/>
        </w:trPr>
        <w:tc>
          <w:tcPr>
            <w:tcW w:w="4300" w:type="dxa"/>
            <w:vAlign w:val="bottom"/>
            <w:shd w:val="clear" w:color="auto" w:fill="EAF9E8"/>
          </w:tcPr>
          <w:p>
            <w:pPr>
              <w:ind w:left="40"/>
              <w:spacing w:after="0"/>
              <w:rPr>
                <w:sz w:val="20"/>
                <w:szCs w:val="20"/>
                <w:color w:val="auto"/>
              </w:rPr>
            </w:pPr>
            <w:r>
              <w:rPr>
                <w:rFonts w:ascii="Arial" w:cs="Arial" w:eastAsia="Arial" w:hAnsi="Arial"/>
                <w:sz w:val="18"/>
                <w:szCs w:val="18"/>
                <w:color w:val="auto"/>
              </w:rPr>
              <w:t>Common OP Units</w:t>
            </w:r>
          </w:p>
        </w:tc>
        <w:tc>
          <w:tcPr>
            <w:tcW w:w="290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7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7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2,072</w:t>
            </w:r>
          </w:p>
        </w:tc>
      </w:tr>
      <w:tr>
        <w:trPr>
          <w:trHeight w:val="263"/>
        </w:trPr>
        <w:tc>
          <w:tcPr>
            <w:tcW w:w="4300" w:type="dxa"/>
            <w:vAlign w:val="bottom"/>
          </w:tcPr>
          <w:p>
            <w:pPr>
              <w:ind w:left="40"/>
              <w:spacing w:after="0"/>
              <w:rPr>
                <w:sz w:val="20"/>
                <w:szCs w:val="20"/>
                <w:color w:val="auto"/>
              </w:rPr>
            </w:pPr>
            <w:r>
              <w:rPr>
                <w:rFonts w:ascii="Arial" w:cs="Arial" w:eastAsia="Arial" w:hAnsi="Arial"/>
                <w:sz w:val="18"/>
                <w:szCs w:val="18"/>
                <w:color w:val="auto"/>
              </w:rPr>
              <w:t>Restricted stock</w:t>
            </w:r>
          </w:p>
        </w:tc>
        <w:tc>
          <w:tcPr>
            <w:tcW w:w="29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277</w:t>
            </w:r>
          </w:p>
        </w:tc>
      </w:tr>
      <w:tr>
        <w:trPr>
          <w:trHeight w:val="277"/>
        </w:trPr>
        <w:tc>
          <w:tcPr>
            <w:tcW w:w="72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Common stock issuable upon conversion of Series A-1 preferred OP units</w:t>
            </w:r>
          </w:p>
        </w:tc>
        <w:tc>
          <w:tcPr>
            <w:tcW w:w="1320" w:type="dxa"/>
            <w:vAlign w:val="bottom"/>
            <w:shd w:val="clear" w:color="auto" w:fill="EAF9E8"/>
          </w:tcPr>
          <w:p>
            <w:pPr>
              <w:spacing w:after="0"/>
              <w:rPr>
                <w:sz w:val="24"/>
                <w:szCs w:val="24"/>
                <w:color w:val="auto"/>
              </w:rPr>
            </w:pPr>
          </w:p>
        </w:tc>
        <w:tc>
          <w:tcPr>
            <w:tcW w:w="7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7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1,111</w:t>
            </w:r>
          </w:p>
        </w:tc>
      </w:tr>
      <w:tr>
        <w:trPr>
          <w:trHeight w:val="26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Common stock issuable upon conversion of Series A-3 preferred OP units</w:t>
            </w:r>
          </w:p>
        </w:tc>
        <w:tc>
          <w:tcPr>
            <w:tcW w:w="13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300" w:type="dxa"/>
            <w:vAlign w:val="bottom"/>
            <w:shd w:val="clear" w:color="auto" w:fill="EAF9E8"/>
          </w:tcPr>
          <w:p>
            <w:pPr>
              <w:ind w:left="40"/>
              <w:spacing w:after="0"/>
              <w:rPr>
                <w:sz w:val="20"/>
                <w:szCs w:val="20"/>
                <w:color w:val="auto"/>
              </w:rPr>
            </w:pPr>
            <w:r>
              <w:rPr>
                <w:rFonts w:ascii="Arial" w:cs="Arial" w:eastAsia="Arial" w:hAnsi="Arial"/>
                <w:sz w:val="18"/>
                <w:szCs w:val="18"/>
                <w:color w:val="auto"/>
                <w:w w:val="92"/>
              </w:rPr>
              <w:t>Common stock issuable upon conversion of stock options</w:t>
            </w:r>
          </w:p>
        </w:tc>
        <w:tc>
          <w:tcPr>
            <w:tcW w:w="2900" w:type="dxa"/>
            <w:vAlign w:val="bottom"/>
            <w:shd w:val="clear" w:color="auto" w:fill="EAF9E8"/>
          </w:tcPr>
          <w:p>
            <w:pPr>
              <w:spacing w:after="0"/>
              <w:rPr>
                <w:sz w:val="23"/>
                <w:szCs w:val="23"/>
                <w:color w:val="auto"/>
              </w:rPr>
            </w:pPr>
          </w:p>
        </w:tc>
        <w:tc>
          <w:tcPr>
            <w:tcW w:w="132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EAF9E8"/>
          </w:tcPr>
          <w:p>
            <w:pPr>
              <w:spacing w:after="0"/>
              <w:rPr>
                <w:sz w:val="23"/>
                <w:szCs w:val="23"/>
                <w:color w:val="auto"/>
              </w:rPr>
            </w:pPr>
          </w:p>
        </w:tc>
        <w:tc>
          <w:tcPr>
            <w:tcW w:w="132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18</w:t>
            </w:r>
          </w:p>
        </w:tc>
      </w:tr>
      <w:tr>
        <w:trPr>
          <w:trHeight w:val="297"/>
        </w:trPr>
        <w:tc>
          <w:tcPr>
            <w:tcW w:w="7200" w:type="dxa"/>
            <w:vAlign w:val="bottom"/>
            <w:tcBorders>
              <w:bottom w:val="single" w:sz="8" w:color="EAF9E8"/>
            </w:tcBorders>
            <w:gridSpan w:val="2"/>
          </w:tcPr>
          <w:p>
            <w:pPr>
              <w:ind w:left="40"/>
              <w:spacing w:after="0"/>
              <w:rPr>
                <w:sz w:val="20"/>
                <w:szCs w:val="20"/>
                <w:color w:val="auto"/>
              </w:rPr>
            </w:pPr>
            <w:r>
              <w:rPr>
                <w:rFonts w:ascii="Arial" w:cs="Arial" w:eastAsia="Arial" w:hAnsi="Arial"/>
                <w:sz w:val="18"/>
                <w:szCs w:val="18"/>
                <w:color w:val="auto"/>
              </w:rPr>
              <w:t>Weighted average common shares outstanding - fully diluted</w:t>
            </w:r>
          </w:p>
        </w:tc>
        <w:tc>
          <w:tcPr>
            <w:tcW w:w="1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34,012</w:t>
            </w:r>
          </w:p>
        </w:tc>
        <w:tc>
          <w:tcPr>
            <w:tcW w:w="100" w:type="dxa"/>
            <w:vAlign w:val="bottom"/>
            <w:tcBorders>
              <w:bottom w:val="single" w:sz="8" w:color="EAF9E8"/>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28,788</w:t>
            </w:r>
          </w:p>
        </w:tc>
      </w:tr>
      <w:tr>
        <w:trPr>
          <w:trHeight w:val="278"/>
        </w:trPr>
        <w:tc>
          <w:tcPr>
            <w:tcW w:w="4300" w:type="dxa"/>
            <w:vAlign w:val="bottom"/>
            <w:shd w:val="clear" w:color="auto" w:fill="EAF9E8"/>
          </w:tcPr>
          <w:p>
            <w:pPr>
              <w:spacing w:after="0"/>
              <w:rPr>
                <w:sz w:val="24"/>
                <w:szCs w:val="24"/>
                <w:color w:val="auto"/>
              </w:rPr>
            </w:pPr>
          </w:p>
        </w:tc>
        <w:tc>
          <w:tcPr>
            <w:tcW w:w="290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3"/>
        </w:trPr>
        <w:tc>
          <w:tcPr>
            <w:tcW w:w="4300" w:type="dxa"/>
            <w:vAlign w:val="bottom"/>
          </w:tcPr>
          <w:p>
            <w:pPr>
              <w:ind w:left="40"/>
              <w:spacing w:after="0"/>
              <w:rPr>
                <w:sz w:val="20"/>
                <w:szCs w:val="20"/>
                <w:color w:val="auto"/>
              </w:rPr>
            </w:pPr>
            <w:r>
              <w:rPr>
                <w:rFonts w:ascii="Arial" w:cs="Arial" w:eastAsia="Arial" w:hAnsi="Arial"/>
                <w:sz w:val="18"/>
                <w:szCs w:val="18"/>
                <w:color w:val="auto"/>
              </w:rPr>
              <w:t>Funds from operations per Share - fully diluted</w:t>
            </w:r>
          </w:p>
        </w:tc>
        <w:tc>
          <w:tcPr>
            <w:tcW w:w="2900" w:type="dxa"/>
            <w:vAlign w:val="bottom"/>
          </w:tcPr>
          <w:p>
            <w:pPr>
              <w:spacing w:after="0"/>
              <w:rPr>
                <w:sz w:val="22"/>
                <w:szCs w:val="22"/>
                <w:color w:val="auto"/>
              </w:rPr>
            </w:pPr>
          </w:p>
        </w:tc>
        <w:tc>
          <w:tcPr>
            <w:tcW w:w="1320" w:type="dxa"/>
            <w:vAlign w:val="bottom"/>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2"/>
                <w:szCs w:val="22"/>
                <w:color w:val="auto"/>
              </w:rPr>
            </w:pPr>
          </w:p>
        </w:tc>
        <w:tc>
          <w:tcPr>
            <w:tcW w:w="1320" w:type="dxa"/>
            <w:vAlign w:val="bottom"/>
          </w:tcPr>
          <w:p>
            <w:pPr>
              <w:jc w:val="right"/>
              <w:ind w:right="111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0.89</w:t>
            </w:r>
          </w:p>
        </w:tc>
      </w:tr>
      <w:tr>
        <w:trPr>
          <w:trHeight w:val="277"/>
        </w:trPr>
        <w:tc>
          <w:tcPr>
            <w:tcW w:w="72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Funds from operations per Share excluding certain items - fully diluted</w:t>
            </w:r>
          </w:p>
        </w:tc>
        <w:tc>
          <w:tcPr>
            <w:tcW w:w="1320" w:type="dxa"/>
            <w:vAlign w:val="bottom"/>
            <w:shd w:val="clear" w:color="auto" w:fill="EAF9E8"/>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EAF9E8"/>
          </w:tcPr>
          <w:p>
            <w:pPr>
              <w:spacing w:after="0"/>
              <w:rPr>
                <w:sz w:val="24"/>
                <w:szCs w:val="24"/>
                <w:color w:val="auto"/>
              </w:rPr>
            </w:pPr>
          </w:p>
        </w:tc>
        <w:tc>
          <w:tcPr>
            <w:tcW w:w="1320" w:type="dxa"/>
            <w:vAlign w:val="bottom"/>
            <w:shd w:val="clear" w:color="auto" w:fill="EAF9E8"/>
          </w:tcPr>
          <w:p>
            <w:pPr>
              <w:jc w:val="right"/>
              <w:ind w:right="1114"/>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0.90</w:t>
            </w:r>
          </w:p>
        </w:tc>
      </w:tr>
      <w:tr>
        <w:trPr>
          <w:trHeight w:val="891"/>
        </w:trPr>
        <w:tc>
          <w:tcPr>
            <w:tcW w:w="4300" w:type="dxa"/>
            <w:vAlign w:val="bottom"/>
          </w:tcPr>
          <w:p>
            <w:pPr>
              <w:spacing w:after="0"/>
              <w:rPr>
                <w:sz w:val="20"/>
                <w:szCs w:val="20"/>
                <w:color w:val="auto"/>
              </w:rPr>
            </w:pPr>
            <w:r>
              <w:rPr>
                <w:rFonts w:ascii="Arial" w:cs="Arial" w:eastAsia="Arial" w:hAnsi="Arial"/>
                <w:sz w:val="18"/>
                <w:szCs w:val="18"/>
                <w:color w:val="auto"/>
              </w:rPr>
              <w:t>Sun Communities, Inc. 1st Quarter 2013</w:t>
            </w:r>
          </w:p>
        </w:tc>
        <w:tc>
          <w:tcPr>
            <w:tcW w:w="2900" w:type="dxa"/>
            <w:vAlign w:val="bottom"/>
          </w:tcPr>
          <w:p>
            <w:pPr>
              <w:ind w:left="100"/>
              <w:spacing w:after="0"/>
              <w:rPr>
                <w:sz w:val="20"/>
                <w:szCs w:val="20"/>
                <w:color w:val="auto"/>
              </w:rPr>
            </w:pPr>
            <w:r>
              <w:rPr>
                <w:rFonts w:ascii="Arial" w:cs="Arial" w:eastAsia="Arial" w:hAnsi="Arial"/>
                <w:sz w:val="18"/>
                <w:szCs w:val="18"/>
                <w:color w:val="auto"/>
              </w:rPr>
              <w:t>Page 8</w:t>
            </w: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918"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5852160</wp:posOffset>
            </wp:positionH>
            <wp:positionV relativeFrom="page">
              <wp:posOffset>88900</wp:posOffset>
            </wp:positionV>
            <wp:extent cx="1551940" cy="317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51940" cy="317500"/>
                    </a:xfrm>
                    <a:prstGeom prst="rect">
                      <a:avLst/>
                    </a:prstGeom>
                    <a:noFill/>
                  </pic:spPr>
                </pic:pic>
              </a:graphicData>
            </a:graphic>
          </wp:anchor>
        </w:drawing>
        <w:t>Statement of Operations – Same Site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 except for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8"/>
          </w:tcPr>
          <w:p>
            <w:pPr>
              <w:ind w:left="840"/>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70"/>
        </w:trPr>
        <w:tc>
          <w:tcPr>
            <w:tcW w:w="4160" w:type="dxa"/>
            <w:vAlign w:val="bottom"/>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Change</w:t>
            </w:r>
          </w:p>
        </w:tc>
        <w:tc>
          <w:tcPr>
            <w:tcW w:w="5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right"/>
              <w:ind w:right="493"/>
              <w:spacing w:after="0"/>
              <w:rPr>
                <w:sz w:val="20"/>
                <w:szCs w:val="20"/>
                <w:color w:val="auto"/>
              </w:rPr>
            </w:pPr>
            <w:r>
              <w:rPr>
                <w:rFonts w:ascii="Arial" w:cs="Arial" w:eastAsia="Arial" w:hAnsi="Arial"/>
                <w:sz w:val="14"/>
                <w:szCs w:val="14"/>
                <w:b w:val="1"/>
                <w:bCs w:val="1"/>
                <w:color w:val="auto"/>
              </w:rPr>
              <w:t>% Change</w:t>
            </w:r>
          </w:p>
        </w:tc>
      </w:tr>
      <w:tr>
        <w:trPr>
          <w:trHeight w:val="257"/>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0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7"/>
        </w:trPr>
        <w:tc>
          <w:tcPr>
            <w:tcW w:w="4160" w:type="dxa"/>
            <w:vAlign w:val="bottom"/>
            <w:shd w:val="clear" w:color="auto" w:fill="EAF9E8"/>
          </w:tcPr>
          <w:p>
            <w:pPr>
              <w:ind w:left="200"/>
              <w:spacing w:after="0"/>
              <w:rPr>
                <w:sz w:val="20"/>
                <w:szCs w:val="20"/>
                <w:color w:val="auto"/>
              </w:rPr>
            </w:pPr>
            <w:r>
              <w:rPr>
                <w:rFonts w:ascii="Arial" w:cs="Arial" w:eastAsia="Arial" w:hAnsi="Arial"/>
                <w:sz w:val="18"/>
                <w:szCs w:val="18"/>
                <w:color w:val="auto"/>
              </w:rPr>
              <w:t>Income from real property</w:t>
            </w:r>
          </w:p>
        </w:tc>
        <w:tc>
          <w:tcPr>
            <w:tcW w:w="1040" w:type="dxa"/>
            <w:vAlign w:val="bottom"/>
            <w:shd w:val="clear" w:color="auto" w:fill="EAF9E8"/>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94"/>
              </w:rPr>
              <w:t>62,935</w:t>
            </w:r>
          </w:p>
        </w:tc>
        <w:tc>
          <w:tcPr>
            <w:tcW w:w="120" w:type="dxa"/>
            <w:vAlign w:val="bottom"/>
            <w:shd w:val="clear" w:color="auto" w:fill="EAF9E8"/>
          </w:tcPr>
          <w:p>
            <w:pPr>
              <w:spacing w:after="0"/>
              <w:rPr>
                <w:sz w:val="24"/>
                <w:szCs w:val="24"/>
                <w:color w:val="auto"/>
              </w:rPr>
            </w:pPr>
          </w:p>
        </w:tc>
        <w:tc>
          <w:tcPr>
            <w:tcW w:w="1040" w:type="dxa"/>
            <w:vAlign w:val="bottom"/>
            <w:shd w:val="clear" w:color="auto" w:fill="EAF9E8"/>
          </w:tcPr>
          <w:p>
            <w:pPr>
              <w:jc w:val="right"/>
              <w:ind w:right="85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59,989</w:t>
            </w:r>
          </w:p>
        </w:tc>
        <w:tc>
          <w:tcPr>
            <w:tcW w:w="760" w:type="dxa"/>
            <w:vAlign w:val="bottom"/>
            <w:gridSpan w:val="3"/>
            <w:shd w:val="clear" w:color="auto" w:fill="EAF9E8"/>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56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w w:val="97"/>
              </w:rPr>
              <w:t>2,946</w:t>
            </w:r>
          </w:p>
        </w:tc>
        <w:tc>
          <w:tcPr>
            <w:tcW w:w="100" w:type="dxa"/>
            <w:vAlign w:val="bottom"/>
            <w:shd w:val="clear" w:color="auto" w:fill="EAF9E8"/>
          </w:tcPr>
          <w:p>
            <w:pPr>
              <w:spacing w:after="0"/>
              <w:rPr>
                <w:sz w:val="24"/>
                <w:szCs w:val="24"/>
                <w:color w:val="auto"/>
              </w:rPr>
            </w:pPr>
          </w:p>
        </w:tc>
        <w:tc>
          <w:tcPr>
            <w:tcW w:w="4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4.9 %</w:t>
            </w: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PROPERTY OPERATING EXPENSES:</w:t>
            </w:r>
          </w:p>
        </w:tc>
        <w:tc>
          <w:tcPr>
            <w:tcW w:w="10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7"/>
        </w:trPr>
        <w:tc>
          <w:tcPr>
            <w:tcW w:w="4160" w:type="dxa"/>
            <w:vAlign w:val="bottom"/>
            <w:shd w:val="clear" w:color="auto" w:fill="EAF9E8"/>
          </w:tcPr>
          <w:p>
            <w:pPr>
              <w:ind w:left="200"/>
              <w:spacing w:after="0"/>
              <w:rPr>
                <w:sz w:val="20"/>
                <w:szCs w:val="20"/>
                <w:color w:val="auto"/>
              </w:rPr>
            </w:pPr>
            <w:r>
              <w:rPr>
                <w:rFonts w:ascii="Arial" w:cs="Arial" w:eastAsia="Arial" w:hAnsi="Arial"/>
                <w:sz w:val="18"/>
                <w:szCs w:val="18"/>
                <w:color w:val="auto"/>
              </w:rPr>
              <w:t>Payroll and benefits</w:t>
            </w:r>
          </w:p>
        </w:tc>
        <w:tc>
          <w:tcPr>
            <w:tcW w:w="1040" w:type="dxa"/>
            <w:vAlign w:val="bottom"/>
            <w:shd w:val="clear" w:color="auto" w:fill="EAF9E8"/>
          </w:tcPr>
          <w:p>
            <w:pPr>
              <w:spacing w:after="0"/>
              <w:rPr>
                <w:sz w:val="24"/>
                <w:szCs w:val="24"/>
                <w:color w:val="auto"/>
              </w:rPr>
            </w:pPr>
          </w:p>
        </w:tc>
        <w:tc>
          <w:tcPr>
            <w:tcW w:w="6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4,998</w:t>
            </w:r>
          </w:p>
        </w:tc>
        <w:tc>
          <w:tcPr>
            <w:tcW w:w="1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4,675</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56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EAF9E8"/>
          </w:tcPr>
          <w:p>
            <w:pPr>
              <w:spacing w:after="0"/>
              <w:rPr>
                <w:sz w:val="24"/>
                <w:szCs w:val="24"/>
                <w:color w:val="auto"/>
              </w:rPr>
            </w:pPr>
          </w:p>
        </w:tc>
        <w:tc>
          <w:tcPr>
            <w:tcW w:w="4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6.9 %</w:t>
            </w:r>
          </w:p>
        </w:tc>
      </w:tr>
      <w:tr>
        <w:trPr>
          <w:trHeight w:val="263"/>
        </w:trPr>
        <w:tc>
          <w:tcPr>
            <w:tcW w:w="4160" w:type="dxa"/>
            <w:vAlign w:val="bottom"/>
          </w:tcPr>
          <w:p>
            <w:pPr>
              <w:ind w:left="200"/>
              <w:spacing w:after="0"/>
              <w:rPr>
                <w:sz w:val="20"/>
                <w:szCs w:val="20"/>
                <w:color w:val="auto"/>
              </w:rPr>
            </w:pPr>
            <w:r>
              <w:rPr>
                <w:rFonts w:ascii="Arial" w:cs="Arial" w:eastAsia="Arial" w:hAnsi="Arial"/>
                <w:sz w:val="18"/>
                <w:szCs w:val="18"/>
                <w:color w:val="auto"/>
              </w:rPr>
              <w:t>Legal, taxes, &amp; insurance</w:t>
            </w:r>
          </w:p>
        </w:tc>
        <w:tc>
          <w:tcPr>
            <w:tcW w:w="1040" w:type="dxa"/>
            <w:vAlign w:val="bottom"/>
          </w:tcPr>
          <w:p>
            <w:pPr>
              <w:spacing w:after="0"/>
              <w:rPr>
                <w:sz w:val="22"/>
                <w:szCs w:val="22"/>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51.0 %</w:t>
            </w:r>
          </w:p>
        </w:tc>
      </w:tr>
      <w:tr>
        <w:trPr>
          <w:trHeight w:val="277"/>
        </w:trPr>
        <w:tc>
          <w:tcPr>
            <w:tcW w:w="4160" w:type="dxa"/>
            <w:vAlign w:val="bottom"/>
            <w:shd w:val="clear" w:color="auto" w:fill="EAF9E8"/>
          </w:tcPr>
          <w:p>
            <w:pPr>
              <w:ind w:left="200"/>
              <w:spacing w:after="0"/>
              <w:rPr>
                <w:sz w:val="20"/>
                <w:szCs w:val="20"/>
                <w:color w:val="auto"/>
              </w:rPr>
            </w:pPr>
            <w:r>
              <w:rPr>
                <w:rFonts w:ascii="Arial" w:cs="Arial" w:eastAsia="Arial" w:hAnsi="Arial"/>
                <w:sz w:val="18"/>
                <w:szCs w:val="18"/>
                <w:color w:val="auto"/>
              </w:rPr>
              <w:t>Utilities</w:t>
            </w:r>
          </w:p>
        </w:tc>
        <w:tc>
          <w:tcPr>
            <w:tcW w:w="1040" w:type="dxa"/>
            <w:vAlign w:val="bottom"/>
            <w:shd w:val="clear" w:color="auto" w:fill="EAF9E8"/>
          </w:tcPr>
          <w:p>
            <w:pPr>
              <w:spacing w:after="0"/>
              <w:rPr>
                <w:sz w:val="24"/>
                <w:szCs w:val="24"/>
                <w:color w:val="auto"/>
              </w:rPr>
            </w:pPr>
          </w:p>
        </w:tc>
        <w:tc>
          <w:tcPr>
            <w:tcW w:w="6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3,696</w:t>
            </w:r>
          </w:p>
        </w:tc>
        <w:tc>
          <w:tcPr>
            <w:tcW w:w="1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3,593</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56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EAF9E8"/>
          </w:tcPr>
          <w:p>
            <w:pPr>
              <w:spacing w:after="0"/>
              <w:rPr>
                <w:sz w:val="24"/>
                <w:szCs w:val="24"/>
                <w:color w:val="auto"/>
              </w:rPr>
            </w:pPr>
          </w:p>
        </w:tc>
        <w:tc>
          <w:tcPr>
            <w:tcW w:w="4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2.9 %</w:t>
            </w:r>
          </w:p>
        </w:tc>
      </w:tr>
      <w:tr>
        <w:trPr>
          <w:trHeight w:val="263"/>
        </w:trPr>
        <w:tc>
          <w:tcPr>
            <w:tcW w:w="4160" w:type="dxa"/>
            <w:vAlign w:val="bottom"/>
          </w:tcPr>
          <w:p>
            <w:pPr>
              <w:ind w:left="200"/>
              <w:spacing w:after="0"/>
              <w:rPr>
                <w:sz w:val="20"/>
                <w:szCs w:val="20"/>
                <w:color w:val="auto"/>
              </w:rPr>
            </w:pPr>
            <w:r>
              <w:rPr>
                <w:rFonts w:ascii="Arial" w:cs="Arial" w:eastAsia="Arial" w:hAnsi="Arial"/>
                <w:sz w:val="18"/>
                <w:szCs w:val="18"/>
                <w:color w:val="auto"/>
              </w:rPr>
              <w:t>Supplies and repair</w:t>
            </w:r>
          </w:p>
        </w:tc>
        <w:tc>
          <w:tcPr>
            <w:tcW w:w="1040" w:type="dxa"/>
            <w:vAlign w:val="bottom"/>
          </w:tcPr>
          <w:p>
            <w:pPr>
              <w:spacing w:after="0"/>
              <w:rPr>
                <w:sz w:val="22"/>
                <w:szCs w:val="22"/>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(14.1)%</w:t>
            </w:r>
          </w:p>
        </w:tc>
      </w:tr>
      <w:tr>
        <w:trPr>
          <w:trHeight w:val="277"/>
        </w:trPr>
        <w:tc>
          <w:tcPr>
            <w:tcW w:w="4160" w:type="dxa"/>
            <w:vAlign w:val="bottom"/>
            <w:shd w:val="clear" w:color="auto" w:fill="EAF9E8"/>
          </w:tcPr>
          <w:p>
            <w:pPr>
              <w:ind w:left="20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EAF9E8"/>
          </w:tcPr>
          <w:p>
            <w:pPr>
              <w:spacing w:after="0"/>
              <w:rPr>
                <w:sz w:val="24"/>
                <w:szCs w:val="24"/>
                <w:color w:val="auto"/>
              </w:rPr>
            </w:pPr>
          </w:p>
        </w:tc>
        <w:tc>
          <w:tcPr>
            <w:tcW w:w="6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1,348</w:t>
            </w:r>
          </w:p>
        </w:tc>
        <w:tc>
          <w:tcPr>
            <w:tcW w:w="1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EAF9E8"/>
          </w:tcPr>
          <w:p>
            <w:pPr>
              <w:spacing w:after="0"/>
              <w:rPr>
                <w:sz w:val="24"/>
                <w:szCs w:val="24"/>
                <w:color w:val="auto"/>
              </w:rPr>
            </w:pPr>
          </w:p>
        </w:tc>
        <w:tc>
          <w:tcPr>
            <w:tcW w:w="4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(6.6)%</w:t>
            </w:r>
          </w:p>
        </w:tc>
      </w:tr>
      <w:tr>
        <w:trPr>
          <w:trHeight w:val="264"/>
        </w:trPr>
        <w:tc>
          <w:tcPr>
            <w:tcW w:w="4160" w:type="dxa"/>
            <w:vAlign w:val="bottom"/>
            <w:tcBorders>
              <w:bottom w:val="single" w:sz="8" w:color="EAF9E8"/>
            </w:tcBorders>
          </w:tcPr>
          <w:p>
            <w:pPr>
              <w:ind w:left="200"/>
              <w:spacing w:after="0"/>
              <w:rPr>
                <w:sz w:val="20"/>
                <w:szCs w:val="20"/>
                <w:color w:val="auto"/>
              </w:rPr>
            </w:pPr>
            <w:r>
              <w:rPr>
                <w:rFonts w:ascii="Arial" w:cs="Arial" w:eastAsia="Arial" w:hAnsi="Arial"/>
                <w:sz w:val="18"/>
                <w:szCs w:val="18"/>
                <w:color w:val="auto"/>
              </w:rPr>
              <w:t>Real estate taxes</w:t>
            </w:r>
          </w:p>
        </w:tc>
        <w:tc>
          <w:tcPr>
            <w:tcW w:w="10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4,957</w:t>
            </w:r>
          </w:p>
        </w:tc>
        <w:tc>
          <w:tcPr>
            <w:tcW w:w="120" w:type="dxa"/>
            <w:vAlign w:val="bottom"/>
            <w:tcBorders>
              <w:bottom w:val="single" w:sz="8" w:color="EAF9E8"/>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EAF9E8"/>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EAF9E8"/>
            </w:tcBorders>
          </w:tcPr>
          <w:p>
            <w:pPr>
              <w:spacing w:after="0"/>
              <w:rPr>
                <w:sz w:val="22"/>
                <w:szCs w:val="22"/>
                <w:color w:val="auto"/>
              </w:rPr>
            </w:pPr>
          </w:p>
        </w:tc>
        <w:tc>
          <w:tcPr>
            <w:tcW w:w="420" w:type="dxa"/>
            <w:vAlign w:val="bottom"/>
            <w:tcBorders>
              <w:bottom w:val="single" w:sz="8" w:color="EAF9E8"/>
            </w:tcBorders>
          </w:tcPr>
          <w:p>
            <w:pPr>
              <w:spacing w:after="0"/>
              <w:rPr>
                <w:sz w:val="22"/>
                <w:szCs w:val="22"/>
                <w:color w:val="auto"/>
              </w:rPr>
            </w:pPr>
          </w:p>
        </w:tc>
        <w:tc>
          <w:tcPr>
            <w:tcW w:w="100" w:type="dxa"/>
            <w:vAlign w:val="bottom"/>
            <w:tcBorders>
              <w:bottom w:val="single" w:sz="8" w:color="EAF9E8"/>
            </w:tcBorders>
          </w:tcPr>
          <w:p>
            <w:pPr>
              <w:spacing w:after="0"/>
              <w:rPr>
                <w:sz w:val="22"/>
                <w:szCs w:val="22"/>
                <w:color w:val="auto"/>
              </w:rPr>
            </w:pPr>
          </w:p>
        </w:tc>
        <w:tc>
          <w:tcPr>
            <w:tcW w:w="280" w:type="dxa"/>
            <w:vAlign w:val="bottom"/>
            <w:tcBorders>
              <w:bottom w:val="single" w:sz="8" w:color="EAF9E8"/>
            </w:tcBorders>
          </w:tcPr>
          <w:p>
            <w:pPr>
              <w:spacing w:after="0"/>
              <w:rPr>
                <w:sz w:val="22"/>
                <w:szCs w:val="22"/>
                <w:color w:val="auto"/>
              </w:rPr>
            </w:pPr>
          </w:p>
        </w:tc>
        <w:tc>
          <w:tcPr>
            <w:tcW w:w="1040" w:type="dxa"/>
            <w:vAlign w:val="bottom"/>
            <w:tcBorders>
              <w:bottom w:val="single" w:sz="8" w:color="EAF9E8"/>
            </w:tcBorders>
          </w:tcPr>
          <w:p>
            <w:pPr>
              <w:jc w:val="right"/>
              <w:spacing w:after="0"/>
              <w:rPr>
                <w:sz w:val="20"/>
                <w:szCs w:val="20"/>
                <w:color w:val="auto"/>
              </w:rPr>
            </w:pPr>
            <w:r>
              <w:rPr>
                <w:rFonts w:ascii="Arial" w:cs="Arial" w:eastAsia="Arial" w:hAnsi="Arial"/>
                <w:sz w:val="17"/>
                <w:szCs w:val="17"/>
                <w:color w:val="auto"/>
              </w:rPr>
              <w:t>2.1 %</w:t>
            </w:r>
          </w:p>
        </w:tc>
      </w:tr>
      <w:tr>
        <w:trPr>
          <w:trHeight w:val="257"/>
        </w:trPr>
        <w:tc>
          <w:tcPr>
            <w:tcW w:w="4160" w:type="dxa"/>
            <w:vAlign w:val="bottom"/>
            <w:shd w:val="clear" w:color="auto" w:fill="EAF9E8"/>
          </w:tcPr>
          <w:p>
            <w:pPr>
              <w:ind w:left="280"/>
              <w:spacing w:after="0"/>
              <w:rPr>
                <w:sz w:val="20"/>
                <w:szCs w:val="20"/>
                <w:color w:val="auto"/>
              </w:rPr>
            </w:pPr>
            <w:r>
              <w:rPr>
                <w:rFonts w:ascii="Arial" w:cs="Arial" w:eastAsia="Arial" w:hAnsi="Arial"/>
                <w:sz w:val="18"/>
                <w:szCs w:val="18"/>
                <w:color w:val="auto"/>
              </w:rPr>
              <w:t>Property operating expenses</w:t>
            </w:r>
          </w:p>
        </w:tc>
        <w:tc>
          <w:tcPr>
            <w:tcW w:w="1040" w:type="dxa"/>
            <w:vAlign w:val="bottom"/>
            <w:tcBorders>
              <w:bottom w:val="single" w:sz="8" w:color="auto"/>
            </w:tcBorders>
            <w:shd w:val="clear" w:color="auto" w:fill="EAF9E8"/>
          </w:tcPr>
          <w:p>
            <w:pPr>
              <w:spacing w:after="0"/>
              <w:rPr>
                <w:sz w:val="22"/>
                <w:szCs w:val="22"/>
                <w:color w:val="auto"/>
              </w:rPr>
            </w:pPr>
          </w:p>
        </w:tc>
        <w:tc>
          <w:tcPr>
            <w:tcW w:w="6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4"/>
              </w:rPr>
              <w:t>17,539</w:t>
            </w:r>
          </w:p>
        </w:tc>
        <w:tc>
          <w:tcPr>
            <w:tcW w:w="120" w:type="dxa"/>
            <w:vAlign w:val="bottom"/>
            <w:shd w:val="clear" w:color="auto" w:fill="EAF9E8"/>
          </w:tcPr>
          <w:p>
            <w:pPr>
              <w:spacing w:after="0"/>
              <w:rPr>
                <w:sz w:val="22"/>
                <w:szCs w:val="22"/>
                <w:color w:val="auto"/>
              </w:rPr>
            </w:pPr>
          </w:p>
        </w:tc>
        <w:tc>
          <w:tcPr>
            <w:tcW w:w="1040" w:type="dxa"/>
            <w:vAlign w:val="bottom"/>
            <w:tcBorders>
              <w:bottom w:val="single" w:sz="8" w:color="auto"/>
            </w:tcBorders>
            <w:shd w:val="clear" w:color="auto" w:fill="EAF9E8"/>
          </w:tcPr>
          <w:p>
            <w:pPr>
              <w:spacing w:after="0"/>
              <w:rPr>
                <w:sz w:val="22"/>
                <w:szCs w:val="22"/>
                <w:color w:val="auto"/>
              </w:rPr>
            </w:pPr>
          </w:p>
        </w:tc>
        <w:tc>
          <w:tcPr>
            <w:tcW w:w="5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4"/>
              </w:rPr>
              <w:t>16,992</w:t>
            </w:r>
          </w:p>
        </w:tc>
        <w:tc>
          <w:tcPr>
            <w:tcW w:w="100" w:type="dxa"/>
            <w:vAlign w:val="bottom"/>
            <w:tcBorders>
              <w:bottom w:val="single" w:sz="8" w:color="auto"/>
            </w:tcBorders>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560" w:type="dxa"/>
            <w:vAlign w:val="bottom"/>
            <w:tcBorders>
              <w:bottom w:val="single" w:sz="8" w:color="auto"/>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spacing w:after="0"/>
              <w:rPr>
                <w:sz w:val="22"/>
                <w:szCs w:val="22"/>
                <w:color w:val="auto"/>
              </w:rPr>
            </w:pPr>
          </w:p>
        </w:tc>
        <w:tc>
          <w:tcPr>
            <w:tcW w:w="100" w:type="dxa"/>
            <w:vAlign w:val="bottom"/>
            <w:tcBorders>
              <w:bottom w:val="single" w:sz="8" w:color="auto"/>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56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EAF9E8"/>
          </w:tcPr>
          <w:p>
            <w:pPr>
              <w:spacing w:after="0"/>
              <w:rPr>
                <w:sz w:val="22"/>
                <w:szCs w:val="22"/>
                <w:color w:val="auto"/>
              </w:rPr>
            </w:pPr>
          </w:p>
        </w:tc>
        <w:tc>
          <w:tcPr>
            <w:tcW w:w="4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80" w:type="dxa"/>
            <w:vAlign w:val="bottom"/>
            <w:shd w:val="clear" w:color="auto" w:fill="EAF9E8"/>
          </w:tcPr>
          <w:p>
            <w:pPr>
              <w:spacing w:after="0"/>
              <w:rPr>
                <w:sz w:val="22"/>
                <w:szCs w:val="22"/>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7"/>
                <w:szCs w:val="17"/>
                <w:color w:val="auto"/>
              </w:rPr>
              <w:t>3.2 %</w:t>
            </w:r>
          </w:p>
        </w:tc>
      </w:tr>
      <w:tr>
        <w:trPr>
          <w:trHeight w:val="250"/>
        </w:trPr>
        <w:tc>
          <w:tcPr>
            <w:tcW w:w="4160" w:type="dxa"/>
            <w:vAlign w:val="bottom"/>
          </w:tcPr>
          <w:p>
            <w:pPr>
              <w:ind w:left="20"/>
              <w:spacing w:after="0" w:line="250" w:lineRule="exact"/>
              <w:rPr>
                <w:sz w:val="20"/>
                <w:szCs w:val="20"/>
                <w:color w:val="auto"/>
              </w:rPr>
            </w:pPr>
            <w:r>
              <w:rPr>
                <w:rFonts w:ascii="Arial" w:cs="Arial" w:eastAsia="Arial" w:hAnsi="Arial"/>
                <w:sz w:val="18"/>
                <w:szCs w:val="18"/>
                <w:b w:val="1"/>
                <w:bCs w:val="1"/>
                <w:color w:val="auto"/>
              </w:rPr>
              <w:t>NET OPERATING INCOME ("NOI")</w:t>
            </w:r>
            <w:r>
              <w:rPr>
                <w:rFonts w:ascii="Arial" w:cs="Arial" w:eastAsia="Arial" w:hAnsi="Arial"/>
                <w:sz w:val="25"/>
                <w:szCs w:val="25"/>
                <w:b w:val="1"/>
                <w:bCs w:val="1"/>
                <w:color w:val="auto"/>
                <w:vertAlign w:val="superscript"/>
              </w:rPr>
              <w:t>(2)</w:t>
            </w: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45,396</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42,997</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2,399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5.6 %</w:t>
            </w:r>
          </w:p>
        </w:tc>
      </w:tr>
      <w:tr>
        <w:trPr>
          <w:trHeight w:val="20"/>
        </w:trPr>
        <w:tc>
          <w:tcPr>
            <w:tcW w:w="4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811"/>
        </w:trPr>
        <w:tc>
          <w:tcPr>
            <w:tcW w:w="4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As of March 31,</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64"/>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10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Change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Number of properties</w:t>
            </w:r>
          </w:p>
        </w:tc>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w:t>
            </w:r>
          </w:p>
        </w:tc>
      </w:tr>
      <w:tr>
        <w:trPr>
          <w:trHeight w:val="27"/>
        </w:trPr>
        <w:tc>
          <w:tcPr>
            <w:tcW w:w="4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Developed sites</w:t>
            </w:r>
          </w:p>
        </w:tc>
        <w:tc>
          <w:tcPr>
            <w:tcW w:w="1040" w:type="dxa"/>
            <w:vAlign w:val="bottom"/>
            <w:tcBorders>
              <w:bottom w:val="single" w:sz="8" w:color="EAF9E8"/>
            </w:tcBorders>
            <w:shd w:val="clear" w:color="auto" w:fill="EAF9E8"/>
          </w:tcPr>
          <w:p>
            <w:pPr>
              <w:spacing w:after="0"/>
              <w:rPr>
                <w:sz w:val="21"/>
                <w:szCs w:val="21"/>
                <w:color w:val="auto"/>
              </w:rPr>
            </w:pPr>
          </w:p>
        </w:tc>
        <w:tc>
          <w:tcPr>
            <w:tcW w:w="6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76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8"/>
                <w:szCs w:val="18"/>
                <w:color w:val="auto"/>
              </w:rPr>
              <w:t>55,233</w:t>
            </w:r>
          </w:p>
        </w:tc>
        <w:tc>
          <w:tcPr>
            <w:tcW w:w="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54,699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13"/>
              <w:spacing w:after="0"/>
              <w:rPr>
                <w:sz w:val="20"/>
                <w:szCs w:val="20"/>
                <w:color w:val="auto"/>
              </w:rPr>
            </w:pPr>
            <w:r>
              <w:rPr>
                <w:rFonts w:ascii="Arial" w:cs="Arial" w:eastAsia="Arial" w:hAnsi="Arial"/>
                <w:sz w:val="18"/>
                <w:szCs w:val="18"/>
                <w:color w:val="auto"/>
              </w:rPr>
              <w:t>534</w:t>
            </w:r>
          </w:p>
        </w:tc>
      </w:tr>
      <w:tr>
        <w:trPr>
          <w:trHeight w:val="270"/>
        </w:trPr>
        <w:tc>
          <w:tcPr>
            <w:tcW w:w="4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Occupied sites </w:t>
            </w:r>
            <w:r>
              <w:rPr>
                <w:rFonts w:ascii="Arial" w:cs="Arial" w:eastAsia="Arial" w:hAnsi="Arial"/>
                <w:sz w:val="25"/>
                <w:szCs w:val="25"/>
                <w:color w:val="auto"/>
                <w:vertAlign w:val="superscript"/>
              </w:rPr>
              <w:t>(3)</w:t>
            </w:r>
          </w:p>
        </w:tc>
        <w:tc>
          <w:tcPr>
            <w:tcW w:w="10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46,004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44,498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1,506</w:t>
            </w:r>
          </w:p>
        </w:tc>
      </w:tr>
      <w:tr>
        <w:trPr>
          <w:trHeight w:val="270"/>
        </w:trPr>
        <w:tc>
          <w:tcPr>
            <w:tcW w:w="4160" w:type="dxa"/>
            <w:vAlign w:val="bottom"/>
            <w:shd w:val="clear" w:color="auto" w:fill="EAF9E8"/>
          </w:tcPr>
          <w:p>
            <w:pPr>
              <w:ind w:left="40"/>
              <w:spacing w:after="0" w:line="270" w:lineRule="exact"/>
              <w:rPr>
                <w:sz w:val="20"/>
                <w:szCs w:val="20"/>
                <w:color w:val="auto"/>
              </w:rPr>
            </w:pPr>
            <w:r>
              <w:rPr>
                <w:rFonts w:ascii="Arial" w:cs="Arial" w:eastAsia="Arial" w:hAnsi="Arial"/>
                <w:sz w:val="18"/>
                <w:szCs w:val="18"/>
                <w:color w:val="auto"/>
              </w:rPr>
              <w:t xml:space="preserve">Occupancy % </w:t>
            </w:r>
            <w:r>
              <w:rPr>
                <w:rFonts w:ascii="Arial" w:cs="Arial" w:eastAsia="Arial" w:hAnsi="Arial"/>
                <w:sz w:val="25"/>
                <w:szCs w:val="25"/>
                <w:color w:val="auto"/>
                <w:vertAlign w:val="superscript"/>
              </w:rPr>
              <w:t>(3) (4)</w:t>
            </w:r>
          </w:p>
        </w:tc>
        <w:tc>
          <w:tcPr>
            <w:tcW w:w="1040" w:type="dxa"/>
            <w:vAlign w:val="bottom"/>
            <w:shd w:val="clear" w:color="auto" w:fill="EAF9E8"/>
          </w:tcPr>
          <w:p>
            <w:pPr>
              <w:spacing w:after="0"/>
              <w:rPr>
                <w:sz w:val="23"/>
                <w:szCs w:val="23"/>
                <w:color w:val="auto"/>
              </w:rPr>
            </w:pPr>
          </w:p>
        </w:tc>
        <w:tc>
          <w:tcPr>
            <w:tcW w:w="64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40" w:type="dxa"/>
            <w:vAlign w:val="bottom"/>
            <w:shd w:val="clear" w:color="auto" w:fill="EAF9E8"/>
          </w:tcPr>
          <w:p>
            <w:pPr>
              <w:spacing w:after="0"/>
              <w:rPr>
                <w:sz w:val="23"/>
                <w:szCs w:val="23"/>
                <w:color w:val="auto"/>
              </w:rPr>
            </w:pPr>
          </w:p>
        </w:tc>
        <w:tc>
          <w:tcPr>
            <w:tcW w:w="560" w:type="dxa"/>
            <w:vAlign w:val="bottom"/>
            <w:shd w:val="clear" w:color="auto" w:fill="EAF9E8"/>
          </w:tcPr>
          <w:p>
            <w:pPr>
              <w:spacing w:after="0"/>
              <w:rPr>
                <w:sz w:val="23"/>
                <w:szCs w:val="23"/>
                <w:color w:val="auto"/>
              </w:rPr>
            </w:pPr>
          </w:p>
        </w:tc>
        <w:tc>
          <w:tcPr>
            <w:tcW w:w="88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EAF9E8"/>
          </w:tcPr>
          <w:p>
            <w:pPr>
              <w:spacing w:after="0"/>
              <w:rPr>
                <w:sz w:val="23"/>
                <w:szCs w:val="23"/>
                <w:color w:val="auto"/>
              </w:rPr>
            </w:pPr>
          </w:p>
        </w:tc>
        <w:tc>
          <w:tcPr>
            <w:tcW w:w="360" w:type="dxa"/>
            <w:vAlign w:val="bottom"/>
            <w:shd w:val="clear" w:color="auto" w:fill="EAF9E8"/>
          </w:tcPr>
          <w:p>
            <w:pPr>
              <w:spacing w:after="0"/>
              <w:rPr>
                <w:sz w:val="23"/>
                <w:szCs w:val="23"/>
                <w:color w:val="auto"/>
              </w:rPr>
            </w:pPr>
          </w:p>
        </w:tc>
        <w:tc>
          <w:tcPr>
            <w:tcW w:w="108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EAF9E8"/>
          </w:tcPr>
          <w:p>
            <w:pPr>
              <w:spacing w:after="0"/>
              <w:rPr>
                <w:sz w:val="23"/>
                <w:szCs w:val="23"/>
                <w:color w:val="auto"/>
              </w:rPr>
            </w:pPr>
          </w:p>
        </w:tc>
        <w:tc>
          <w:tcPr>
            <w:tcW w:w="280" w:type="dxa"/>
            <w:vAlign w:val="bottom"/>
            <w:shd w:val="clear" w:color="auto" w:fill="EAF9E8"/>
          </w:tcPr>
          <w:p>
            <w:pPr>
              <w:spacing w:after="0"/>
              <w:rPr>
                <w:sz w:val="23"/>
                <w:szCs w:val="23"/>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Weighted average monthly rent per site - MH</w:t>
            </w:r>
          </w:p>
        </w:tc>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437</w:t>
            </w: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12</w:t>
            </w:r>
          </w:p>
        </w:tc>
      </w:tr>
      <w:tr>
        <w:trPr>
          <w:trHeight w:val="27"/>
        </w:trPr>
        <w:tc>
          <w:tcPr>
            <w:tcW w:w="4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60" w:type="dxa"/>
            <w:vAlign w:val="bottom"/>
            <w:shd w:val="clear" w:color="auto" w:fill="EAF9E8"/>
          </w:tcPr>
          <w:p>
            <w:pPr>
              <w:ind w:left="40"/>
              <w:spacing w:after="0" w:line="270" w:lineRule="exact"/>
              <w:rPr>
                <w:sz w:val="20"/>
                <w:szCs w:val="20"/>
                <w:color w:val="auto"/>
              </w:rPr>
            </w:pPr>
            <w:r>
              <w:rPr>
                <w:rFonts w:ascii="Arial" w:cs="Arial" w:eastAsia="Arial" w:hAnsi="Arial"/>
                <w:sz w:val="18"/>
                <w:szCs w:val="18"/>
                <w:color w:val="auto"/>
                <w:w w:val="92"/>
              </w:rPr>
              <w:t xml:space="preserve">Weighted average monthly rent per site - Annual RV </w:t>
            </w:r>
            <w:r>
              <w:rPr>
                <w:rFonts w:ascii="Arial" w:cs="Arial" w:eastAsia="Arial" w:hAnsi="Arial"/>
                <w:sz w:val="25"/>
                <w:szCs w:val="25"/>
                <w:color w:val="auto"/>
                <w:w w:val="92"/>
                <w:vertAlign w:val="superscript"/>
              </w:rPr>
              <w:t>(5)</w:t>
            </w:r>
          </w:p>
        </w:tc>
        <w:tc>
          <w:tcPr>
            <w:tcW w:w="1040" w:type="dxa"/>
            <w:vAlign w:val="bottom"/>
            <w:shd w:val="clear" w:color="auto" w:fill="EAF9E8"/>
          </w:tcPr>
          <w:p>
            <w:pPr>
              <w:spacing w:after="0"/>
              <w:rPr>
                <w:sz w:val="23"/>
                <w:szCs w:val="23"/>
                <w:color w:val="auto"/>
              </w:rPr>
            </w:pPr>
          </w:p>
        </w:tc>
        <w:tc>
          <w:tcPr>
            <w:tcW w:w="64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40" w:type="dxa"/>
            <w:vAlign w:val="bottom"/>
            <w:shd w:val="clear" w:color="auto" w:fill="EAF9E8"/>
          </w:tcPr>
          <w:p>
            <w:pPr>
              <w:spacing w:after="0"/>
              <w:rPr>
                <w:sz w:val="23"/>
                <w:szCs w:val="23"/>
                <w:color w:val="auto"/>
              </w:rPr>
            </w:pPr>
          </w:p>
        </w:tc>
        <w:tc>
          <w:tcPr>
            <w:tcW w:w="56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418</w:t>
            </w:r>
          </w:p>
        </w:tc>
        <w:tc>
          <w:tcPr>
            <w:tcW w:w="580" w:type="dxa"/>
            <w:vAlign w:val="bottom"/>
            <w:gridSpan w:val="3"/>
            <w:shd w:val="clear" w:color="auto" w:fill="EAF9E8"/>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EAF9E8"/>
          </w:tcPr>
          <w:p>
            <w:pPr>
              <w:spacing w:after="0"/>
              <w:rPr>
                <w:sz w:val="23"/>
                <w:szCs w:val="23"/>
                <w:color w:val="auto"/>
              </w:rPr>
            </w:pPr>
          </w:p>
        </w:tc>
        <w:tc>
          <w:tcPr>
            <w:tcW w:w="280" w:type="dxa"/>
            <w:vAlign w:val="bottom"/>
            <w:shd w:val="clear" w:color="auto" w:fill="EAF9E8"/>
          </w:tcPr>
          <w:p>
            <w:pPr>
              <w:jc w:val="right"/>
              <w:ind w:right="7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AF9E8"/>
          </w:tcPr>
          <w:p>
            <w:pPr>
              <w:jc w:val="right"/>
              <w:ind w:right="113"/>
              <w:spacing w:after="0"/>
              <w:rPr>
                <w:sz w:val="20"/>
                <w:szCs w:val="20"/>
                <w:color w:val="auto"/>
              </w:rPr>
            </w:pPr>
            <w:r>
              <w:rPr>
                <w:rFonts w:ascii="Arial" w:cs="Arial" w:eastAsia="Arial" w:hAnsi="Arial"/>
                <w:sz w:val="18"/>
                <w:szCs w:val="18"/>
                <w:color w:val="auto"/>
              </w:rPr>
              <w:t>13</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Sites available for development</w:t>
            </w:r>
          </w:p>
        </w:tc>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6,104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6,451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(347)</w:t>
            </w:r>
          </w:p>
        </w:tc>
      </w:tr>
    </w:tbl>
    <w:p>
      <w:pPr>
        <w:spacing w:after="0" w:line="13" w:lineRule="exact"/>
        <w:rPr>
          <w:sz w:val="20"/>
          <w:szCs w:val="20"/>
          <w:color w:val="auto"/>
        </w:rPr>
      </w:pPr>
    </w:p>
    <w:p>
      <w:pPr>
        <w:ind w:left="340" w:hanging="305"/>
        <w:spacing w:after="0"/>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6"/>
          <w:szCs w:val="16"/>
          <w:color w:val="auto"/>
        </w:rPr>
        <w:t>Occupied sites and occupancy % include manufactured housing and annual RV sites, and exclude transient RV sites.</w:t>
      </w:r>
    </w:p>
    <w:p>
      <w:pPr>
        <w:ind w:left="340" w:hanging="305"/>
        <w:spacing w:after="0" w:line="219" w:lineRule="auto"/>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6"/>
          <w:szCs w:val="16"/>
          <w:color w:val="auto"/>
        </w:rPr>
        <w:t>Occupancy % excludes recently completed but vacant expansion sites.</w:t>
      </w:r>
    </w:p>
    <w:p>
      <w:pPr>
        <w:ind w:left="340" w:hanging="305"/>
        <w:spacing w:after="0" w:line="223" w:lineRule="auto"/>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6"/>
          <w:szCs w:val="16"/>
          <w:color w:val="auto"/>
        </w:rPr>
        <w:t>Weighted average rent pertains to annual recreational vehicle sites and excludes transient recreational vehicle sites.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4380" w:val="left"/>
        </w:tabs>
        <w:rPr>
          <w:sz w:val="20"/>
          <w:szCs w:val="20"/>
          <w:color w:val="auto"/>
        </w:rPr>
      </w:pPr>
      <w:r>
        <w:rPr>
          <w:rFonts w:ascii="Arial" w:cs="Arial" w:eastAsia="Arial" w:hAnsi="Arial"/>
          <w:sz w:val="18"/>
          <w:szCs w:val="18"/>
          <w:color w:val="auto"/>
        </w:rPr>
        <w:t>Sun Communities, Inc. 1st Quarter 2013</w:t>
      </w:r>
      <w:r>
        <w:rPr>
          <w:sz w:val="20"/>
          <w:szCs w:val="20"/>
          <w:color w:val="auto"/>
        </w:rPr>
        <w:tab/>
      </w:r>
      <w:r>
        <w:rPr>
          <w:rFonts w:ascii="Arial" w:cs="Arial" w:eastAsia="Arial" w:hAnsi="Arial"/>
          <w:sz w:val="15"/>
          <w:szCs w:val="15"/>
          <w:color w:val="auto"/>
        </w:rPr>
        <w:t>Page 9</w:t>
      </w:r>
    </w:p>
    <w:p>
      <w:pPr>
        <w:sectPr>
          <w:pgSz w:w="11900" w:h="16838" w:orient="portrait"/>
          <w:cols w:equalWidth="0" w:num="1">
            <w:col w:w="11400"/>
          </w:cols>
          <w:pgMar w:left="240" w:top="922" w:right="25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5852160</wp:posOffset>
            </wp:positionH>
            <wp:positionV relativeFrom="page">
              <wp:posOffset>88900</wp:posOffset>
            </wp:positionV>
            <wp:extent cx="1551940" cy="31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551940" cy="317500"/>
                    </a:xfrm>
                    <a:prstGeom prst="rect">
                      <a:avLst/>
                    </a:prstGeom>
                    <a:noFill/>
                  </pic:spPr>
                </pic:pic>
              </a:graphicData>
            </a:graphic>
          </wp:anchor>
        </w:drawing>
        <w:t>Rental Program Summary</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 except for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8"/>
              </w:rPr>
              <w:t>Three Months Ended March 31,</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70"/>
        </w:trPr>
        <w:tc>
          <w:tcPr>
            <w:tcW w:w="64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3"/>
                <w:szCs w:val="23"/>
                <w:color w:val="auto"/>
              </w:rPr>
            </w:pP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57"/>
        </w:trPr>
        <w:tc>
          <w:tcPr>
            <w:tcW w:w="642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7"/>
        </w:trPr>
        <w:tc>
          <w:tcPr>
            <w:tcW w:w="6420" w:type="dxa"/>
            <w:vAlign w:val="bottom"/>
            <w:shd w:val="clear" w:color="auto" w:fill="EAF9E8"/>
          </w:tcPr>
          <w:p>
            <w:pPr>
              <w:ind w:left="120"/>
              <w:spacing w:after="0"/>
              <w:rPr>
                <w:sz w:val="20"/>
                <w:szCs w:val="20"/>
                <w:color w:val="auto"/>
              </w:rPr>
            </w:pPr>
            <w:r>
              <w:rPr>
                <w:rFonts w:ascii="Arial" w:cs="Arial" w:eastAsia="Arial" w:hAnsi="Arial"/>
                <w:sz w:val="18"/>
                <w:szCs w:val="18"/>
                <w:color w:val="auto"/>
              </w:rPr>
              <w:t>Rental home revenue</w:t>
            </w:r>
          </w:p>
        </w:tc>
        <w:tc>
          <w:tcPr>
            <w:tcW w:w="28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7,656</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6,291</w:t>
            </w: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1,365</w:t>
            </w:r>
          </w:p>
        </w:tc>
        <w:tc>
          <w:tcPr>
            <w:tcW w:w="13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21.7 %</w:t>
            </w:r>
          </w:p>
        </w:tc>
      </w:tr>
      <w:tr>
        <w:trPr>
          <w:trHeight w:val="264"/>
        </w:trPr>
        <w:tc>
          <w:tcPr>
            <w:tcW w:w="6420" w:type="dxa"/>
            <w:vAlign w:val="bottom"/>
            <w:tcBorders>
              <w:bottom w:val="single" w:sz="8" w:color="EAF9E8"/>
            </w:tcBorders>
          </w:tcPr>
          <w:p>
            <w:pPr>
              <w:ind w:left="100"/>
              <w:spacing w:after="0"/>
              <w:rPr>
                <w:sz w:val="20"/>
                <w:szCs w:val="20"/>
                <w:color w:val="auto"/>
              </w:rPr>
            </w:pPr>
            <w:r>
              <w:rPr>
                <w:rFonts w:ascii="Arial" w:cs="Arial" w:eastAsia="Arial" w:hAnsi="Arial"/>
                <w:sz w:val="18"/>
                <w:szCs w:val="18"/>
                <w:color w:val="auto"/>
              </w:rPr>
              <w:t>Site rent included in income from real property</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10,765</w:t>
            </w:r>
          </w:p>
        </w:tc>
        <w:tc>
          <w:tcPr>
            <w:tcW w:w="100" w:type="dxa"/>
            <w:vAlign w:val="bottom"/>
            <w:tcBorders>
              <w:bottom w:val="single" w:sz="8" w:color="EAF9E8"/>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9,045</w:t>
            </w:r>
          </w:p>
        </w:tc>
        <w:tc>
          <w:tcPr>
            <w:tcW w:w="100" w:type="dxa"/>
            <w:vAlign w:val="bottom"/>
            <w:tcBorders>
              <w:bottom w:val="single" w:sz="8" w:color="EAF9E8"/>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1,720</w:t>
            </w:r>
          </w:p>
        </w:tc>
        <w:tc>
          <w:tcPr>
            <w:tcW w:w="138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19.0 %</w:t>
            </w:r>
          </w:p>
        </w:tc>
      </w:tr>
      <w:tr>
        <w:trPr>
          <w:trHeight w:val="257"/>
        </w:trPr>
        <w:tc>
          <w:tcPr>
            <w:tcW w:w="6420" w:type="dxa"/>
            <w:vAlign w:val="bottom"/>
            <w:shd w:val="clear" w:color="auto" w:fill="EAF9E8"/>
          </w:tcPr>
          <w:p>
            <w:pPr>
              <w:ind w:left="260"/>
              <w:spacing w:after="0"/>
              <w:rPr>
                <w:sz w:val="20"/>
                <w:szCs w:val="20"/>
                <w:color w:val="auto"/>
              </w:rPr>
            </w:pPr>
            <w:r>
              <w:rPr>
                <w:rFonts w:ascii="Arial" w:cs="Arial" w:eastAsia="Arial" w:hAnsi="Arial"/>
                <w:sz w:val="18"/>
                <w:szCs w:val="18"/>
                <w:color w:val="auto"/>
              </w:rPr>
              <w:t>Rental program revenue</w:t>
            </w:r>
          </w:p>
        </w:tc>
        <w:tc>
          <w:tcPr>
            <w:tcW w:w="280" w:type="dxa"/>
            <w:vAlign w:val="bottom"/>
            <w:shd w:val="clear" w:color="auto" w:fill="EAF9E8"/>
          </w:tcPr>
          <w:p>
            <w:pPr>
              <w:spacing w:after="0"/>
              <w:rPr>
                <w:sz w:val="22"/>
                <w:szCs w:val="22"/>
                <w:color w:val="auto"/>
              </w:rPr>
            </w:pPr>
          </w:p>
        </w:tc>
        <w:tc>
          <w:tcPr>
            <w:tcW w:w="86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18,421</w:t>
            </w:r>
          </w:p>
        </w:tc>
        <w:tc>
          <w:tcPr>
            <w:tcW w:w="10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9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15,336</w:t>
            </w:r>
          </w:p>
        </w:tc>
        <w:tc>
          <w:tcPr>
            <w:tcW w:w="100" w:type="dxa"/>
            <w:vAlign w:val="bottom"/>
            <w:shd w:val="clear" w:color="auto" w:fill="EAF9E8"/>
          </w:tcPr>
          <w:p>
            <w:pPr>
              <w:spacing w:after="0"/>
              <w:rPr>
                <w:sz w:val="22"/>
                <w:szCs w:val="22"/>
                <w:color w:val="auto"/>
              </w:rPr>
            </w:pPr>
          </w:p>
        </w:tc>
        <w:tc>
          <w:tcPr>
            <w:tcW w:w="240" w:type="dxa"/>
            <w:vAlign w:val="bottom"/>
            <w:shd w:val="clear" w:color="auto" w:fill="EAF9E8"/>
          </w:tcPr>
          <w:p>
            <w:pPr>
              <w:spacing w:after="0"/>
              <w:rPr>
                <w:sz w:val="22"/>
                <w:szCs w:val="22"/>
                <w:color w:val="auto"/>
              </w:rPr>
            </w:pPr>
          </w:p>
        </w:tc>
        <w:tc>
          <w:tcPr>
            <w:tcW w:w="9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3,085</w:t>
            </w:r>
          </w:p>
        </w:tc>
        <w:tc>
          <w:tcPr>
            <w:tcW w:w="13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20.1 %</w:t>
            </w:r>
          </w:p>
        </w:tc>
      </w:tr>
      <w:tr>
        <w:trPr>
          <w:trHeight w:val="263"/>
        </w:trPr>
        <w:tc>
          <w:tcPr>
            <w:tcW w:w="642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7"/>
        </w:trPr>
        <w:tc>
          <w:tcPr>
            <w:tcW w:w="6420" w:type="dxa"/>
            <w:vAlign w:val="bottom"/>
            <w:shd w:val="clear" w:color="auto" w:fill="EAF9E8"/>
          </w:tcPr>
          <w:p>
            <w:pPr>
              <w:ind w:left="120"/>
              <w:spacing w:after="0"/>
              <w:rPr>
                <w:sz w:val="20"/>
                <w:szCs w:val="20"/>
                <w:color w:val="auto"/>
              </w:rPr>
            </w:pPr>
            <w:r>
              <w:rPr>
                <w:rFonts w:ascii="Arial" w:cs="Arial" w:eastAsia="Arial" w:hAnsi="Arial"/>
                <w:sz w:val="18"/>
                <w:szCs w:val="18"/>
                <w:color w:val="auto"/>
              </w:rPr>
              <w:t>Commissions</w:t>
            </w:r>
          </w:p>
        </w:tc>
        <w:tc>
          <w:tcPr>
            <w:tcW w:w="28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9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9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110</w:t>
            </w:r>
          </w:p>
        </w:tc>
        <w:tc>
          <w:tcPr>
            <w:tcW w:w="13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20.6 %</w:t>
            </w:r>
          </w:p>
        </w:tc>
      </w:tr>
      <w:tr>
        <w:trPr>
          <w:trHeight w:val="263"/>
        </w:trPr>
        <w:tc>
          <w:tcPr>
            <w:tcW w:w="6420" w:type="dxa"/>
            <w:vAlign w:val="bottom"/>
          </w:tcPr>
          <w:p>
            <w:pPr>
              <w:ind w:left="120"/>
              <w:spacing w:after="0"/>
              <w:rPr>
                <w:sz w:val="20"/>
                <w:szCs w:val="20"/>
                <w:color w:val="auto"/>
              </w:rPr>
            </w:pPr>
            <w:r>
              <w:rPr>
                <w:rFonts w:ascii="Arial" w:cs="Arial" w:eastAsia="Arial" w:hAnsi="Arial"/>
                <w:sz w:val="18"/>
                <w:szCs w:val="18"/>
                <w:color w:val="auto"/>
              </w:rPr>
              <w:t>Repairs and refurbishment</w:t>
            </w:r>
          </w:p>
        </w:tc>
        <w:tc>
          <w:tcPr>
            <w:tcW w:w="28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77"/>
        </w:trPr>
        <w:tc>
          <w:tcPr>
            <w:tcW w:w="6420" w:type="dxa"/>
            <w:vAlign w:val="bottom"/>
            <w:shd w:val="clear" w:color="auto" w:fill="EAF9E8"/>
          </w:tcPr>
          <w:p>
            <w:pPr>
              <w:ind w:left="120"/>
              <w:spacing w:after="0"/>
              <w:rPr>
                <w:sz w:val="20"/>
                <w:szCs w:val="20"/>
                <w:color w:val="auto"/>
              </w:rPr>
            </w:pPr>
            <w:r>
              <w:rPr>
                <w:rFonts w:ascii="Arial" w:cs="Arial" w:eastAsia="Arial" w:hAnsi="Arial"/>
                <w:sz w:val="18"/>
                <w:szCs w:val="18"/>
                <w:color w:val="auto"/>
              </w:rPr>
              <w:t>Taxes and insurance</w:t>
            </w:r>
          </w:p>
        </w:tc>
        <w:tc>
          <w:tcPr>
            <w:tcW w:w="28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9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9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283</w:t>
            </w:r>
          </w:p>
        </w:tc>
        <w:tc>
          <w:tcPr>
            <w:tcW w:w="13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35.2 %</w:t>
            </w:r>
          </w:p>
        </w:tc>
      </w:tr>
      <w:tr>
        <w:trPr>
          <w:trHeight w:val="264"/>
        </w:trPr>
        <w:tc>
          <w:tcPr>
            <w:tcW w:w="6420" w:type="dxa"/>
            <w:vAlign w:val="bottom"/>
            <w:tcBorders>
              <w:bottom w:val="single" w:sz="8" w:color="EAF9E8"/>
            </w:tcBorders>
          </w:tcPr>
          <w:p>
            <w:pPr>
              <w:ind w:left="120"/>
              <w:spacing w:after="0"/>
              <w:rPr>
                <w:sz w:val="20"/>
                <w:szCs w:val="20"/>
                <w:color w:val="auto"/>
              </w:rPr>
            </w:pPr>
            <w:r>
              <w:rPr>
                <w:rFonts w:ascii="Arial" w:cs="Arial" w:eastAsia="Arial" w:hAnsi="Arial"/>
                <w:sz w:val="18"/>
                <w:szCs w:val="18"/>
                <w:color w:val="auto"/>
              </w:rPr>
              <w:t>Marketing and other</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EAF9E8"/>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EAF9E8"/>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144</w:t>
            </w:r>
          </w:p>
        </w:tc>
        <w:tc>
          <w:tcPr>
            <w:tcW w:w="138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22.5 %</w:t>
            </w:r>
          </w:p>
        </w:tc>
      </w:tr>
      <w:tr>
        <w:trPr>
          <w:trHeight w:val="257"/>
        </w:trPr>
        <w:tc>
          <w:tcPr>
            <w:tcW w:w="6420" w:type="dxa"/>
            <w:vAlign w:val="bottom"/>
            <w:shd w:val="clear" w:color="auto" w:fill="EAF9E8"/>
          </w:tcPr>
          <w:p>
            <w:pPr>
              <w:ind w:left="220"/>
              <w:spacing w:after="0"/>
              <w:rPr>
                <w:sz w:val="20"/>
                <w:szCs w:val="20"/>
                <w:color w:val="auto"/>
              </w:rPr>
            </w:pPr>
            <w:r>
              <w:rPr>
                <w:rFonts w:ascii="Arial" w:cs="Arial" w:eastAsia="Arial" w:hAnsi="Arial"/>
                <w:sz w:val="18"/>
                <w:szCs w:val="18"/>
                <w:color w:val="auto"/>
              </w:rPr>
              <w:t>Rental program operating and maintenance</w:t>
            </w:r>
          </w:p>
        </w:tc>
        <w:tc>
          <w:tcPr>
            <w:tcW w:w="280" w:type="dxa"/>
            <w:vAlign w:val="bottom"/>
            <w:tcBorders>
              <w:bottom w:val="single" w:sz="8" w:color="auto"/>
            </w:tcBorders>
            <w:shd w:val="clear" w:color="auto" w:fill="EAF9E8"/>
          </w:tcPr>
          <w:p>
            <w:pPr>
              <w:spacing w:after="0"/>
              <w:rPr>
                <w:sz w:val="22"/>
                <w:szCs w:val="22"/>
                <w:color w:val="auto"/>
              </w:rPr>
            </w:pPr>
          </w:p>
        </w:tc>
        <w:tc>
          <w:tcPr>
            <w:tcW w:w="860" w:type="dxa"/>
            <w:vAlign w:val="bottom"/>
            <w:tcBorders>
              <w:bottom w:val="single" w:sz="8" w:color="auto"/>
            </w:tcBorders>
            <w:shd w:val="clear" w:color="auto" w:fill="EAF9E8"/>
          </w:tcPr>
          <w:p>
            <w:pPr>
              <w:jc w:val="right"/>
              <w:ind w:right="32"/>
              <w:spacing w:after="0"/>
              <w:rPr>
                <w:sz w:val="20"/>
                <w:szCs w:val="20"/>
                <w:color w:val="auto"/>
              </w:rPr>
            </w:pPr>
            <w:r>
              <w:rPr>
                <w:rFonts w:ascii="Arial" w:cs="Arial" w:eastAsia="Arial" w:hAnsi="Arial"/>
                <w:sz w:val="18"/>
                <w:szCs w:val="18"/>
                <w:color w:val="auto"/>
              </w:rPr>
              <w:t>4,292</w:t>
            </w:r>
          </w:p>
        </w:tc>
        <w:tc>
          <w:tcPr>
            <w:tcW w:w="100" w:type="dxa"/>
            <w:vAlign w:val="bottom"/>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spacing w:after="0"/>
              <w:rPr>
                <w:sz w:val="22"/>
                <w:szCs w:val="22"/>
                <w:color w:val="auto"/>
              </w:rPr>
            </w:pPr>
          </w:p>
        </w:tc>
        <w:tc>
          <w:tcPr>
            <w:tcW w:w="940" w:type="dxa"/>
            <w:vAlign w:val="bottom"/>
            <w:tcBorders>
              <w:bottom w:val="single" w:sz="8" w:color="auto"/>
            </w:tcBorders>
            <w:shd w:val="clear" w:color="auto" w:fill="EAF9E8"/>
          </w:tcPr>
          <w:p>
            <w:pPr>
              <w:jc w:val="right"/>
              <w:ind w:right="13"/>
              <w:spacing w:after="0"/>
              <w:rPr>
                <w:sz w:val="20"/>
                <w:szCs w:val="20"/>
                <w:color w:val="auto"/>
              </w:rPr>
            </w:pPr>
            <w:r>
              <w:rPr>
                <w:rFonts w:ascii="Arial" w:cs="Arial" w:eastAsia="Arial" w:hAnsi="Arial"/>
                <w:sz w:val="18"/>
                <w:szCs w:val="18"/>
                <w:color w:val="auto"/>
              </w:rPr>
              <w:t>3,824</w:t>
            </w:r>
          </w:p>
        </w:tc>
        <w:tc>
          <w:tcPr>
            <w:tcW w:w="100" w:type="dxa"/>
            <w:vAlign w:val="bottom"/>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spacing w:after="0"/>
              <w:rPr>
                <w:sz w:val="22"/>
                <w:szCs w:val="22"/>
                <w:color w:val="auto"/>
              </w:rPr>
            </w:pPr>
          </w:p>
        </w:tc>
        <w:tc>
          <w:tcPr>
            <w:tcW w:w="900" w:type="dxa"/>
            <w:vAlign w:val="bottom"/>
            <w:tcBorders>
              <w:bottom w:val="single" w:sz="8" w:color="auto"/>
            </w:tcBorders>
            <w:shd w:val="clear" w:color="auto" w:fill="EAF9E8"/>
          </w:tcPr>
          <w:p>
            <w:pPr>
              <w:jc w:val="right"/>
              <w:ind w:right="12"/>
              <w:spacing w:after="0"/>
              <w:rPr>
                <w:sz w:val="20"/>
                <w:szCs w:val="20"/>
                <w:color w:val="auto"/>
              </w:rPr>
            </w:pPr>
            <w:r>
              <w:rPr>
                <w:rFonts w:ascii="Arial" w:cs="Arial" w:eastAsia="Arial" w:hAnsi="Arial"/>
                <w:sz w:val="18"/>
                <w:szCs w:val="18"/>
                <w:color w:val="auto"/>
              </w:rPr>
              <w:t>468</w:t>
            </w:r>
          </w:p>
        </w:tc>
        <w:tc>
          <w:tcPr>
            <w:tcW w:w="13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12.2 %</w:t>
            </w:r>
          </w:p>
        </w:tc>
      </w:tr>
      <w:tr>
        <w:trPr>
          <w:trHeight w:val="250"/>
        </w:trPr>
        <w:tc>
          <w:tcPr>
            <w:tcW w:w="6420" w:type="dxa"/>
            <w:vAlign w:val="bottom"/>
          </w:tcPr>
          <w:p>
            <w:pPr>
              <w:ind w:left="20"/>
              <w:spacing w:after="0" w:line="250" w:lineRule="exact"/>
              <w:rPr>
                <w:sz w:val="20"/>
                <w:szCs w:val="20"/>
                <w:color w:val="auto"/>
              </w:rPr>
            </w:pPr>
            <w:r>
              <w:rPr>
                <w:rFonts w:ascii="Arial" w:cs="Arial" w:eastAsia="Arial" w:hAnsi="Arial"/>
                <w:sz w:val="18"/>
                <w:szCs w:val="18"/>
                <w:b w:val="1"/>
                <w:bCs w:val="1"/>
                <w:color w:val="auto"/>
              </w:rPr>
              <w:t xml:space="preserve">NET OPERATING INCOME ("NOI") </w:t>
            </w:r>
            <w:r>
              <w:rPr>
                <w:rFonts w:ascii="Arial" w:cs="Arial" w:eastAsia="Arial" w:hAnsi="Arial"/>
                <w:sz w:val="25"/>
                <w:szCs w:val="25"/>
                <w:b w:val="1"/>
                <w:bCs w:val="1"/>
                <w:color w:val="auto"/>
                <w:vertAlign w:val="superscript"/>
              </w:rPr>
              <w:t>(2)</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14,129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11,512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2,617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22.7 %</w:t>
            </w:r>
          </w:p>
        </w:tc>
      </w:tr>
      <w:tr>
        <w:trPr>
          <w:trHeight w:val="20"/>
        </w:trPr>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Occupied rental home information as of March 31, 2013 and 2012: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60" w:type="dxa"/>
            <w:vAlign w:val="bottom"/>
            <w:shd w:val="clear" w:color="auto" w:fill="EAF9E8"/>
          </w:tcPr>
          <w:p>
            <w:pPr>
              <w:ind w:left="360"/>
              <w:spacing w:after="0"/>
              <w:rPr>
                <w:sz w:val="20"/>
                <w:szCs w:val="20"/>
                <w:color w:val="auto"/>
              </w:rPr>
            </w:pPr>
            <w:r>
              <w:rPr>
                <w:rFonts w:ascii="Arial" w:cs="Arial" w:eastAsia="Arial" w:hAnsi="Arial"/>
                <w:sz w:val="18"/>
                <w:szCs w:val="18"/>
                <w:color w:val="auto"/>
              </w:rPr>
              <w:t>Number of occupied rentals, end of period*</w:t>
            </w:r>
          </w:p>
        </w:tc>
        <w:tc>
          <w:tcPr>
            <w:tcW w:w="2740" w:type="dxa"/>
            <w:vAlign w:val="bottom"/>
            <w:shd w:val="clear" w:color="auto" w:fill="EAF9E8"/>
          </w:tcPr>
          <w:p>
            <w:pPr>
              <w:spacing w:after="0"/>
              <w:rPr>
                <w:sz w:val="23"/>
                <w:szCs w:val="23"/>
                <w:color w:val="auto"/>
              </w:rPr>
            </w:pPr>
          </w:p>
        </w:tc>
        <w:tc>
          <w:tcPr>
            <w:tcW w:w="88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rPr>
              <w:t>8,584</w:t>
            </w:r>
          </w:p>
        </w:tc>
        <w:tc>
          <w:tcPr>
            <w:tcW w:w="360" w:type="dxa"/>
            <w:vAlign w:val="bottom"/>
            <w:shd w:val="clear" w:color="auto" w:fill="EAF9E8"/>
          </w:tcPr>
          <w:p>
            <w:pPr>
              <w:spacing w:after="0"/>
              <w:rPr>
                <w:sz w:val="23"/>
                <w:szCs w:val="23"/>
                <w:color w:val="auto"/>
              </w:rPr>
            </w:pPr>
          </w:p>
        </w:tc>
        <w:tc>
          <w:tcPr>
            <w:tcW w:w="88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7,349</w:t>
            </w:r>
          </w:p>
        </w:tc>
        <w:tc>
          <w:tcPr>
            <w:tcW w:w="420" w:type="dxa"/>
            <w:vAlign w:val="bottom"/>
            <w:shd w:val="clear" w:color="auto" w:fill="EAF9E8"/>
          </w:tcPr>
          <w:p>
            <w:pPr>
              <w:spacing w:after="0"/>
              <w:rPr>
                <w:sz w:val="23"/>
                <w:szCs w:val="23"/>
                <w:color w:val="auto"/>
              </w:rPr>
            </w:pPr>
          </w:p>
        </w:tc>
        <w:tc>
          <w:tcPr>
            <w:tcW w:w="1160" w:type="dxa"/>
            <w:vAlign w:val="bottom"/>
            <w:shd w:val="clear" w:color="auto" w:fill="EAF9E8"/>
          </w:tcPr>
          <w:p>
            <w:pPr>
              <w:jc w:val="right"/>
              <w:ind w:right="370"/>
              <w:spacing w:after="0"/>
              <w:rPr>
                <w:sz w:val="20"/>
                <w:szCs w:val="20"/>
                <w:color w:val="auto"/>
              </w:rPr>
            </w:pPr>
            <w:r>
              <w:rPr>
                <w:rFonts w:ascii="Arial" w:cs="Arial" w:eastAsia="Arial" w:hAnsi="Arial"/>
                <w:sz w:val="18"/>
                <w:szCs w:val="18"/>
                <w:color w:val="auto"/>
              </w:rPr>
              <w:t>1,235</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16.8 %</w:t>
            </w:r>
          </w:p>
        </w:tc>
      </w:tr>
      <w:tr>
        <w:trPr>
          <w:trHeight w:val="263"/>
        </w:trPr>
        <w:tc>
          <w:tcPr>
            <w:tcW w:w="3960" w:type="dxa"/>
            <w:vAlign w:val="bottom"/>
          </w:tcPr>
          <w:p>
            <w:pPr>
              <w:ind w:left="360"/>
              <w:spacing w:after="0"/>
              <w:rPr>
                <w:sz w:val="20"/>
                <w:szCs w:val="20"/>
                <w:color w:val="auto"/>
              </w:rPr>
            </w:pPr>
            <w:r>
              <w:rPr>
                <w:rFonts w:ascii="Arial" w:cs="Arial" w:eastAsia="Arial" w:hAnsi="Arial"/>
                <w:sz w:val="18"/>
                <w:szCs w:val="18"/>
                <w:color w:val="auto"/>
              </w:rPr>
              <w:t>Investment in occupied rental homes</w:t>
            </w:r>
          </w:p>
        </w:tc>
        <w:tc>
          <w:tcPr>
            <w:tcW w:w="2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306,211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249,818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56,393</w:t>
            </w:r>
          </w:p>
        </w:tc>
        <w:tc>
          <w:tcPr>
            <w:tcW w:w="1020" w:type="dxa"/>
            <w:vAlign w:val="bottom"/>
          </w:tcPr>
          <w:p>
            <w:pPr>
              <w:jc w:val="right"/>
              <w:spacing w:after="0"/>
              <w:rPr>
                <w:sz w:val="20"/>
                <w:szCs w:val="20"/>
                <w:color w:val="auto"/>
              </w:rPr>
            </w:pPr>
            <w:r>
              <w:rPr>
                <w:rFonts w:ascii="Arial" w:cs="Arial" w:eastAsia="Arial" w:hAnsi="Arial"/>
                <w:sz w:val="18"/>
                <w:szCs w:val="18"/>
                <w:color w:val="auto"/>
              </w:rPr>
              <w:t>22.6 %</w:t>
            </w:r>
          </w:p>
        </w:tc>
      </w:tr>
      <w:tr>
        <w:trPr>
          <w:trHeight w:val="277"/>
        </w:trPr>
        <w:tc>
          <w:tcPr>
            <w:tcW w:w="3960" w:type="dxa"/>
            <w:vAlign w:val="bottom"/>
            <w:shd w:val="clear" w:color="auto" w:fill="EAF9E8"/>
          </w:tcPr>
          <w:p>
            <w:pPr>
              <w:ind w:left="360"/>
              <w:spacing w:after="0"/>
              <w:rPr>
                <w:sz w:val="20"/>
                <w:szCs w:val="20"/>
                <w:color w:val="auto"/>
              </w:rPr>
            </w:pPr>
            <w:r>
              <w:rPr>
                <w:rFonts w:ascii="Arial" w:cs="Arial" w:eastAsia="Arial" w:hAnsi="Arial"/>
                <w:sz w:val="18"/>
                <w:szCs w:val="18"/>
                <w:color w:val="auto"/>
              </w:rPr>
              <w:t>Number of sold rental homes*</w:t>
            </w:r>
          </w:p>
        </w:tc>
        <w:tc>
          <w:tcPr>
            <w:tcW w:w="2740" w:type="dxa"/>
            <w:vAlign w:val="bottom"/>
            <w:shd w:val="clear" w:color="auto" w:fill="EAF9E8"/>
          </w:tcPr>
          <w:p>
            <w:pPr>
              <w:spacing w:after="0"/>
              <w:rPr>
                <w:sz w:val="24"/>
                <w:szCs w:val="24"/>
                <w:color w:val="auto"/>
              </w:rPr>
            </w:pPr>
          </w:p>
        </w:tc>
        <w:tc>
          <w:tcPr>
            <w:tcW w:w="88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rPr>
              <w:t>236</w:t>
            </w:r>
          </w:p>
        </w:tc>
        <w:tc>
          <w:tcPr>
            <w:tcW w:w="360" w:type="dxa"/>
            <w:vAlign w:val="bottom"/>
            <w:shd w:val="clear" w:color="auto" w:fill="EAF9E8"/>
          </w:tcPr>
          <w:p>
            <w:pPr>
              <w:spacing w:after="0"/>
              <w:rPr>
                <w:sz w:val="24"/>
                <w:szCs w:val="24"/>
                <w:color w:val="auto"/>
              </w:rPr>
            </w:pPr>
          </w:p>
        </w:tc>
        <w:tc>
          <w:tcPr>
            <w:tcW w:w="88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218</w:t>
            </w:r>
          </w:p>
        </w:tc>
        <w:tc>
          <w:tcPr>
            <w:tcW w:w="420" w:type="dxa"/>
            <w:vAlign w:val="bottom"/>
            <w:shd w:val="clear" w:color="auto" w:fill="EAF9E8"/>
          </w:tcPr>
          <w:p>
            <w:pPr>
              <w:spacing w:after="0"/>
              <w:rPr>
                <w:sz w:val="24"/>
                <w:szCs w:val="24"/>
                <w:color w:val="auto"/>
              </w:rPr>
            </w:pPr>
          </w:p>
        </w:tc>
        <w:tc>
          <w:tcPr>
            <w:tcW w:w="1160" w:type="dxa"/>
            <w:vAlign w:val="bottom"/>
            <w:shd w:val="clear" w:color="auto" w:fill="EAF9E8"/>
          </w:tcPr>
          <w:p>
            <w:pPr>
              <w:jc w:val="right"/>
              <w:ind w:right="370"/>
              <w:spacing w:after="0"/>
              <w:rPr>
                <w:sz w:val="20"/>
                <w:szCs w:val="20"/>
                <w:color w:val="auto"/>
              </w:rPr>
            </w:pPr>
            <w:r>
              <w:rPr>
                <w:rFonts w:ascii="Arial" w:cs="Arial" w:eastAsia="Arial" w:hAnsi="Arial"/>
                <w:sz w:val="18"/>
                <w:szCs w:val="18"/>
                <w:color w:val="auto"/>
              </w:rPr>
              <w:t>18</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8.3 %</w:t>
            </w:r>
          </w:p>
        </w:tc>
      </w:tr>
      <w:tr>
        <w:trPr>
          <w:trHeight w:val="257"/>
        </w:trPr>
        <w:tc>
          <w:tcPr>
            <w:tcW w:w="3960" w:type="dxa"/>
            <w:vAlign w:val="bottom"/>
          </w:tcPr>
          <w:p>
            <w:pPr>
              <w:ind w:left="360"/>
              <w:spacing w:after="0"/>
              <w:rPr>
                <w:sz w:val="20"/>
                <w:szCs w:val="20"/>
                <w:color w:val="auto"/>
              </w:rPr>
            </w:pPr>
            <w:r>
              <w:rPr>
                <w:rFonts w:ascii="Arial" w:cs="Arial" w:eastAsia="Arial" w:hAnsi="Arial"/>
                <w:sz w:val="18"/>
                <w:szCs w:val="18"/>
                <w:color w:val="auto"/>
              </w:rPr>
              <w:t>Weighted average monthly rental rate*</w:t>
            </w:r>
          </w:p>
        </w:tc>
        <w:tc>
          <w:tcPr>
            <w:tcW w:w="2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793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764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29</w:t>
            </w:r>
          </w:p>
        </w:tc>
        <w:tc>
          <w:tcPr>
            <w:tcW w:w="102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905"/>
        </w:trPr>
        <w:tc>
          <w:tcPr>
            <w:tcW w:w="3960" w:type="dxa"/>
            <w:vAlign w:val="bottom"/>
          </w:tcPr>
          <w:p>
            <w:pPr>
              <w:spacing w:after="0"/>
              <w:rPr>
                <w:sz w:val="20"/>
                <w:szCs w:val="20"/>
                <w:color w:val="auto"/>
              </w:rPr>
            </w:pPr>
            <w:r>
              <w:rPr>
                <w:rFonts w:ascii="Arial" w:cs="Arial" w:eastAsia="Arial" w:hAnsi="Arial"/>
                <w:sz w:val="18"/>
                <w:szCs w:val="18"/>
                <w:color w:val="auto"/>
              </w:rPr>
              <w:t>Sun Communities, Inc. 1st Quarter 2013</w:t>
            </w:r>
          </w:p>
        </w:tc>
        <w:tc>
          <w:tcPr>
            <w:tcW w:w="2740" w:type="dxa"/>
            <w:vAlign w:val="bottom"/>
          </w:tcPr>
          <w:p>
            <w:pPr>
              <w:jc w:val="right"/>
              <w:ind w:right="1630"/>
              <w:spacing w:after="0"/>
              <w:rPr>
                <w:sz w:val="20"/>
                <w:szCs w:val="20"/>
                <w:color w:val="auto"/>
              </w:rPr>
            </w:pPr>
            <w:r>
              <w:rPr>
                <w:rFonts w:ascii="Arial" w:cs="Arial" w:eastAsia="Arial" w:hAnsi="Arial"/>
                <w:sz w:val="18"/>
                <w:szCs w:val="18"/>
                <w:color w:val="auto"/>
              </w:rPr>
              <w:t>Page 10</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922" w:right="2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5852160</wp:posOffset>
            </wp:positionH>
            <wp:positionV relativeFrom="page">
              <wp:posOffset>88900</wp:posOffset>
            </wp:positionV>
            <wp:extent cx="1551940" cy="317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551940" cy="317500"/>
                    </a:xfrm>
                    <a:prstGeom prst="rect">
                      <a:avLst/>
                    </a:prstGeom>
                    <a:noFill/>
                  </pic:spPr>
                </pic:pic>
              </a:graphicData>
            </a:graphic>
          </wp:anchor>
        </w:drawing>
        <w:t>Acquisition Summary - Properties Acquired in 2012 and 2013</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for statistical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jc w:val="right"/>
              <w:ind w:right="53"/>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92"/>
        </w:trPr>
        <w:tc>
          <w:tcPr>
            <w:tcW w:w="8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2013</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70"/>
        </w:trPr>
        <w:tc>
          <w:tcPr>
            <w:tcW w:w="8560" w:type="dxa"/>
            <w:vAlign w:val="bottom"/>
          </w:tcPr>
          <w:p>
            <w:pPr>
              <w:ind w:left="20"/>
              <w:spacing w:after="0"/>
              <w:rPr>
                <w:sz w:val="20"/>
                <w:szCs w:val="20"/>
                <w:color w:val="auto"/>
              </w:rPr>
            </w:pPr>
            <w:r>
              <w:rPr>
                <w:rFonts w:ascii="Arial" w:cs="Arial" w:eastAsia="Arial" w:hAnsi="Arial"/>
                <w:sz w:val="18"/>
                <w:szCs w:val="18"/>
                <w:color w:val="auto"/>
              </w:rPr>
              <w:t>Income from real property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93"/>
              <w:spacing w:after="0"/>
              <w:rPr>
                <w:sz w:val="20"/>
                <w:szCs w:val="20"/>
                <w:color w:val="auto"/>
              </w:rPr>
            </w:pPr>
            <w:r>
              <w:rPr>
                <w:rFonts w:ascii="Arial" w:cs="Arial" w:eastAsia="Arial" w:hAnsi="Arial"/>
                <w:sz w:val="18"/>
                <w:szCs w:val="18"/>
                <w:color w:val="auto"/>
              </w:rPr>
              <w:t>12,122</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85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Revenue from home sales</w:t>
            </w:r>
          </w:p>
        </w:tc>
        <w:tc>
          <w:tcPr>
            <w:tcW w:w="120" w:type="dxa"/>
            <w:vAlign w:val="bottom"/>
            <w:tcBorders>
              <w:bottom w:val="single" w:sz="8" w:color="EAF9E8"/>
            </w:tcBorders>
            <w:shd w:val="clear" w:color="auto" w:fill="EAF9E8"/>
          </w:tcPr>
          <w:p>
            <w:pPr>
              <w:spacing w:after="0"/>
              <w:rPr>
                <w:sz w:val="21"/>
                <w:szCs w:val="21"/>
                <w:color w:val="auto"/>
              </w:rPr>
            </w:pPr>
          </w:p>
        </w:tc>
        <w:tc>
          <w:tcPr>
            <w:tcW w:w="2120" w:type="dxa"/>
            <w:vAlign w:val="bottom"/>
            <w:tcBorders>
              <w:bottom w:val="single" w:sz="8" w:color="EAF9E8"/>
            </w:tcBorders>
            <w:shd w:val="clear" w:color="auto" w:fill="EAF9E8"/>
          </w:tcPr>
          <w:p>
            <w:pPr>
              <w:jc w:val="right"/>
              <w:ind w:right="93"/>
              <w:spacing w:after="0"/>
              <w:rPr>
                <w:sz w:val="20"/>
                <w:szCs w:val="20"/>
                <w:color w:val="auto"/>
              </w:rPr>
            </w:pPr>
            <w:r>
              <w:rPr>
                <w:rFonts w:ascii="Arial" w:cs="Arial" w:eastAsia="Arial" w:hAnsi="Arial"/>
                <w:sz w:val="18"/>
                <w:szCs w:val="18"/>
                <w:color w:val="auto"/>
              </w:rPr>
              <w:t>1,056</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Rental home revenue</w:t>
            </w:r>
          </w:p>
        </w:tc>
        <w:tc>
          <w:tcPr>
            <w:tcW w:w="120" w:type="dxa"/>
            <w:vAlign w:val="bottom"/>
          </w:tcPr>
          <w:p>
            <w:pPr>
              <w:spacing w:after="0"/>
              <w:rPr>
                <w:sz w:val="21"/>
                <w:szCs w:val="21"/>
                <w:color w:val="auto"/>
              </w:rPr>
            </w:pPr>
          </w:p>
        </w:tc>
        <w:tc>
          <w:tcPr>
            <w:tcW w:w="2120" w:type="dxa"/>
            <w:vAlign w:val="bottom"/>
          </w:tcPr>
          <w:p>
            <w:pPr>
              <w:jc w:val="right"/>
              <w:ind w:right="93"/>
              <w:spacing w:after="0"/>
              <w:rPr>
                <w:sz w:val="20"/>
                <w:szCs w:val="20"/>
                <w:color w:val="auto"/>
              </w:rPr>
            </w:pPr>
            <w:r>
              <w:rPr>
                <w:rFonts w:ascii="Arial" w:cs="Arial" w:eastAsia="Arial" w:hAnsi="Arial"/>
                <w:sz w:val="18"/>
                <w:szCs w:val="18"/>
                <w:color w:val="auto"/>
              </w:rPr>
              <w:t>192</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85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Ancillary revenues, net</w:t>
            </w:r>
          </w:p>
        </w:tc>
        <w:tc>
          <w:tcPr>
            <w:tcW w:w="120" w:type="dxa"/>
            <w:vAlign w:val="bottom"/>
            <w:tcBorders>
              <w:bottom w:val="single" w:sz="8" w:color="EAF9E8"/>
            </w:tcBorders>
            <w:shd w:val="clear" w:color="auto" w:fill="EAF9E8"/>
          </w:tcPr>
          <w:p>
            <w:pPr>
              <w:spacing w:after="0"/>
              <w:rPr>
                <w:sz w:val="23"/>
                <w:szCs w:val="23"/>
                <w:color w:val="auto"/>
              </w:rPr>
            </w:pPr>
          </w:p>
        </w:tc>
        <w:tc>
          <w:tcPr>
            <w:tcW w:w="2120" w:type="dxa"/>
            <w:vAlign w:val="bottom"/>
            <w:tcBorders>
              <w:bottom w:val="single" w:sz="8" w:color="EAF9E8"/>
            </w:tcBorders>
            <w:shd w:val="clear" w:color="auto" w:fill="EAF9E8"/>
          </w:tcPr>
          <w:p>
            <w:pPr>
              <w:jc w:val="right"/>
              <w:ind w:right="93"/>
              <w:spacing w:after="0"/>
              <w:rPr>
                <w:sz w:val="20"/>
                <w:szCs w:val="20"/>
                <w:color w:val="auto"/>
              </w:rPr>
            </w:pPr>
            <w:r>
              <w:rPr>
                <w:rFonts w:ascii="Arial" w:cs="Arial" w:eastAsia="Arial" w:hAnsi="Arial"/>
                <w:sz w:val="18"/>
                <w:szCs w:val="18"/>
                <w:color w:val="auto"/>
              </w:rPr>
              <w:t>417</w:t>
            </w:r>
          </w:p>
        </w:tc>
      </w:tr>
      <w:tr>
        <w:trPr>
          <w:trHeight w:val="257"/>
        </w:trPr>
        <w:tc>
          <w:tcPr>
            <w:tcW w:w="856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spacing w:after="0"/>
              <w:rPr>
                <w:sz w:val="22"/>
                <w:szCs w:val="22"/>
                <w:color w:val="auto"/>
              </w:rPr>
            </w:pPr>
          </w:p>
        </w:tc>
        <w:tc>
          <w:tcPr>
            <w:tcW w:w="21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13,787</w:t>
            </w:r>
          </w:p>
        </w:tc>
      </w:tr>
      <w:tr>
        <w:trPr>
          <w:trHeight w:val="250"/>
        </w:trPr>
        <w:tc>
          <w:tcPr>
            <w:tcW w:w="85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Borders>
              <w:bottom w:val="single" w:sz="8" w:color="EAF9E8"/>
            </w:tcBorders>
            <w:shd w:val="clear" w:color="auto" w:fill="EAF9E8"/>
          </w:tcPr>
          <w:p>
            <w:pPr>
              <w:spacing w:after="0"/>
              <w:rPr>
                <w:sz w:val="21"/>
                <w:szCs w:val="21"/>
                <w:color w:val="auto"/>
              </w:rPr>
            </w:pPr>
          </w:p>
        </w:tc>
        <w:tc>
          <w:tcPr>
            <w:tcW w:w="2120" w:type="dxa"/>
            <w:vAlign w:val="bottom"/>
            <w:tcBorders>
              <w:bottom w:val="single" w:sz="8" w:color="EAF9E8"/>
            </w:tcBorders>
            <w:shd w:val="clear" w:color="auto" w:fill="EAF9E8"/>
          </w:tcPr>
          <w:p>
            <w:pPr>
              <w:spacing w:after="0"/>
              <w:rPr>
                <w:sz w:val="21"/>
                <w:szCs w:val="2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Property operating and maintenance</w:t>
            </w:r>
          </w:p>
        </w:tc>
        <w:tc>
          <w:tcPr>
            <w:tcW w:w="120" w:type="dxa"/>
            <w:vAlign w:val="bottom"/>
          </w:tcPr>
          <w:p>
            <w:pPr>
              <w:spacing w:after="0"/>
              <w:rPr>
                <w:sz w:val="21"/>
                <w:szCs w:val="21"/>
                <w:color w:val="auto"/>
              </w:rPr>
            </w:pPr>
          </w:p>
        </w:tc>
        <w:tc>
          <w:tcPr>
            <w:tcW w:w="2120" w:type="dxa"/>
            <w:vAlign w:val="bottom"/>
          </w:tcPr>
          <w:p>
            <w:pPr>
              <w:jc w:val="right"/>
              <w:ind w:right="93"/>
              <w:spacing w:after="0"/>
              <w:rPr>
                <w:sz w:val="20"/>
                <w:szCs w:val="20"/>
                <w:color w:val="auto"/>
              </w:rPr>
            </w:pPr>
            <w:r>
              <w:rPr>
                <w:rFonts w:ascii="Arial" w:cs="Arial" w:eastAsia="Arial" w:hAnsi="Arial"/>
                <w:sz w:val="18"/>
                <w:szCs w:val="18"/>
                <w:color w:val="auto"/>
              </w:rPr>
              <w:t>3,355</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85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Real estate taxes</w:t>
            </w:r>
          </w:p>
        </w:tc>
        <w:tc>
          <w:tcPr>
            <w:tcW w:w="120" w:type="dxa"/>
            <w:vAlign w:val="bottom"/>
            <w:tcBorders>
              <w:bottom w:val="single" w:sz="8" w:color="EAF9E8"/>
            </w:tcBorders>
            <w:shd w:val="clear" w:color="auto" w:fill="EAF9E8"/>
          </w:tcPr>
          <w:p>
            <w:pPr>
              <w:spacing w:after="0"/>
              <w:rPr>
                <w:sz w:val="21"/>
                <w:szCs w:val="21"/>
                <w:color w:val="auto"/>
              </w:rPr>
            </w:pPr>
          </w:p>
        </w:tc>
        <w:tc>
          <w:tcPr>
            <w:tcW w:w="2120" w:type="dxa"/>
            <w:vAlign w:val="bottom"/>
            <w:tcBorders>
              <w:bottom w:val="single" w:sz="8" w:color="EAF9E8"/>
            </w:tcBorders>
            <w:shd w:val="clear" w:color="auto" w:fill="EAF9E8"/>
          </w:tcPr>
          <w:p>
            <w:pPr>
              <w:jc w:val="right"/>
              <w:ind w:right="93"/>
              <w:spacing w:after="0"/>
              <w:rPr>
                <w:sz w:val="20"/>
                <w:szCs w:val="20"/>
                <w:color w:val="auto"/>
              </w:rPr>
            </w:pPr>
            <w:r>
              <w:rPr>
                <w:rFonts w:ascii="Arial" w:cs="Arial" w:eastAsia="Arial" w:hAnsi="Arial"/>
                <w:sz w:val="18"/>
                <w:szCs w:val="18"/>
                <w:color w:val="auto"/>
              </w:rPr>
              <w:t>800</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Cost of home sales</w:t>
            </w:r>
          </w:p>
        </w:tc>
        <w:tc>
          <w:tcPr>
            <w:tcW w:w="120" w:type="dxa"/>
            <w:vAlign w:val="bottom"/>
          </w:tcPr>
          <w:p>
            <w:pPr>
              <w:spacing w:after="0"/>
              <w:rPr>
                <w:sz w:val="21"/>
                <w:szCs w:val="21"/>
                <w:color w:val="auto"/>
              </w:rPr>
            </w:pPr>
          </w:p>
        </w:tc>
        <w:tc>
          <w:tcPr>
            <w:tcW w:w="2120" w:type="dxa"/>
            <w:vAlign w:val="bottom"/>
          </w:tcPr>
          <w:p>
            <w:pPr>
              <w:jc w:val="right"/>
              <w:ind w:right="93"/>
              <w:spacing w:after="0"/>
              <w:rPr>
                <w:sz w:val="20"/>
                <w:szCs w:val="20"/>
                <w:color w:val="auto"/>
              </w:rPr>
            </w:pPr>
            <w:r>
              <w:rPr>
                <w:rFonts w:ascii="Arial" w:cs="Arial" w:eastAsia="Arial" w:hAnsi="Arial"/>
                <w:sz w:val="18"/>
                <w:szCs w:val="18"/>
                <w:color w:val="auto"/>
              </w:rPr>
              <w:t>890</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85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Rental home operating and maintenance</w:t>
            </w:r>
          </w:p>
        </w:tc>
        <w:tc>
          <w:tcPr>
            <w:tcW w:w="120" w:type="dxa"/>
            <w:vAlign w:val="bottom"/>
            <w:tcBorders>
              <w:bottom w:val="single" w:sz="8" w:color="EAF9E8"/>
            </w:tcBorders>
            <w:shd w:val="clear" w:color="auto" w:fill="EAF9E8"/>
          </w:tcPr>
          <w:p>
            <w:pPr>
              <w:spacing w:after="0"/>
              <w:rPr>
                <w:sz w:val="23"/>
                <w:szCs w:val="23"/>
                <w:color w:val="auto"/>
              </w:rPr>
            </w:pPr>
          </w:p>
        </w:tc>
        <w:tc>
          <w:tcPr>
            <w:tcW w:w="2120" w:type="dxa"/>
            <w:vAlign w:val="bottom"/>
            <w:tcBorders>
              <w:bottom w:val="single" w:sz="8" w:color="EAF9E8"/>
            </w:tcBorders>
            <w:shd w:val="clear" w:color="auto" w:fill="EAF9E8"/>
          </w:tcPr>
          <w:p>
            <w:pPr>
              <w:jc w:val="right"/>
              <w:ind w:right="93"/>
              <w:spacing w:after="0"/>
              <w:rPr>
                <w:sz w:val="20"/>
                <w:szCs w:val="20"/>
                <w:color w:val="auto"/>
              </w:rPr>
            </w:pPr>
            <w:r>
              <w:rPr>
                <w:rFonts w:ascii="Arial" w:cs="Arial" w:eastAsia="Arial" w:hAnsi="Arial"/>
                <w:sz w:val="18"/>
                <w:szCs w:val="18"/>
                <w:color w:val="auto"/>
              </w:rPr>
              <w:t>68</w:t>
            </w:r>
          </w:p>
        </w:tc>
      </w:tr>
      <w:tr>
        <w:trPr>
          <w:trHeight w:val="257"/>
        </w:trPr>
        <w:tc>
          <w:tcPr>
            <w:tcW w:w="856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 expenses</w:t>
            </w:r>
          </w:p>
        </w:tc>
        <w:tc>
          <w:tcPr>
            <w:tcW w:w="120" w:type="dxa"/>
            <w:vAlign w:val="bottom"/>
            <w:tcBorders>
              <w:top w:val="single" w:sz="8" w:color="auto"/>
              <w:bottom w:val="single" w:sz="8" w:color="auto"/>
            </w:tcBorders>
          </w:tcPr>
          <w:p>
            <w:pPr>
              <w:spacing w:after="0"/>
              <w:rPr>
                <w:sz w:val="22"/>
                <w:szCs w:val="22"/>
                <w:color w:val="auto"/>
              </w:rPr>
            </w:pPr>
          </w:p>
        </w:tc>
        <w:tc>
          <w:tcPr>
            <w:tcW w:w="21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5,113</w:t>
            </w:r>
          </w:p>
        </w:tc>
      </w:tr>
      <w:tr>
        <w:trPr>
          <w:trHeight w:val="324"/>
        </w:trPr>
        <w:tc>
          <w:tcPr>
            <w:tcW w:w="85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120" w:type="dxa"/>
            <w:vAlign w:val="bottom"/>
            <w:shd w:val="clear" w:color="auto" w:fill="EAF9E8"/>
          </w:tcPr>
          <w:p>
            <w:pPr>
              <w:spacing w:after="0"/>
              <w:rPr>
                <w:sz w:val="24"/>
                <w:szCs w:val="24"/>
                <w:color w:val="auto"/>
              </w:rPr>
            </w:pPr>
          </w:p>
        </w:tc>
      </w:tr>
      <w:tr>
        <w:trPr>
          <w:trHeight w:val="270"/>
        </w:trPr>
        <w:tc>
          <w:tcPr>
            <w:tcW w:w="8560" w:type="dxa"/>
            <w:vAlign w:val="bottom"/>
          </w:tcPr>
          <w:p>
            <w:pPr>
              <w:ind w:left="20"/>
              <w:spacing w:after="0" w:line="270" w:lineRule="exact"/>
              <w:rPr>
                <w:sz w:val="20"/>
                <w:szCs w:val="20"/>
                <w:color w:val="auto"/>
              </w:rPr>
            </w:pPr>
            <w:r>
              <w:rPr>
                <w:rFonts w:ascii="Arial" w:cs="Arial" w:eastAsia="Arial" w:hAnsi="Arial"/>
                <w:sz w:val="18"/>
                <w:szCs w:val="18"/>
                <w:b w:val="1"/>
                <w:bCs w:val="1"/>
                <w:color w:val="auto"/>
              </w:rPr>
              <w:t xml:space="preserve">NET OPERATING INCOME ("NOI") </w:t>
            </w:r>
            <w:r>
              <w:rPr>
                <w:rFonts w:ascii="Arial" w:cs="Arial" w:eastAsia="Arial" w:hAnsi="Arial"/>
                <w:sz w:val="25"/>
                <w:szCs w:val="25"/>
                <w:b w:val="1"/>
                <w:bCs w:val="1"/>
                <w:color w:val="auto"/>
                <w:vertAlign w:val="superscript"/>
              </w:rPr>
              <w:t>(2)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8,674</w:t>
            </w:r>
          </w:p>
        </w:tc>
      </w:tr>
      <w:tr>
        <w:trPr>
          <w:trHeight w:val="20"/>
        </w:trPr>
        <w:tc>
          <w:tcPr>
            <w:tcW w:w="8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629"/>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50"/>
        </w:trPr>
        <w:tc>
          <w:tcPr>
            <w:tcW w:w="85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Home sales volume :</w:t>
            </w:r>
          </w:p>
        </w:tc>
        <w:tc>
          <w:tcPr>
            <w:tcW w:w="120" w:type="dxa"/>
            <w:vAlign w:val="bottom"/>
            <w:tcBorders>
              <w:bottom w:val="single" w:sz="8" w:color="EAF9E8"/>
            </w:tcBorders>
            <w:shd w:val="clear" w:color="auto" w:fill="EAF9E8"/>
          </w:tcPr>
          <w:p>
            <w:pPr>
              <w:spacing w:after="0"/>
              <w:rPr>
                <w:sz w:val="21"/>
                <w:szCs w:val="21"/>
                <w:color w:val="auto"/>
              </w:rPr>
            </w:pPr>
          </w:p>
        </w:tc>
        <w:tc>
          <w:tcPr>
            <w:tcW w:w="2120" w:type="dxa"/>
            <w:vAlign w:val="bottom"/>
            <w:tcBorders>
              <w:bottom w:val="single" w:sz="8" w:color="EAF9E8"/>
            </w:tcBorders>
            <w:shd w:val="clear" w:color="auto" w:fill="EAF9E8"/>
          </w:tcPr>
          <w:p>
            <w:pPr>
              <w:spacing w:after="0"/>
              <w:rPr>
                <w:sz w:val="21"/>
                <w:szCs w:val="2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Pre-Owned Homes</w:t>
            </w:r>
          </w:p>
        </w:tc>
        <w:tc>
          <w:tcPr>
            <w:tcW w:w="120" w:type="dxa"/>
            <w:vAlign w:val="bottom"/>
          </w:tcPr>
          <w:p>
            <w:pPr>
              <w:spacing w:after="0"/>
              <w:rPr>
                <w:sz w:val="21"/>
                <w:szCs w:val="21"/>
                <w:color w:val="auto"/>
              </w:rPr>
            </w:pPr>
          </w:p>
        </w:tc>
        <w:tc>
          <w:tcPr>
            <w:tcW w:w="2120" w:type="dxa"/>
            <w:vAlign w:val="bottom"/>
          </w:tcPr>
          <w:p>
            <w:pPr>
              <w:jc w:val="right"/>
              <w:ind w:right="93"/>
              <w:spacing w:after="0"/>
              <w:rPr>
                <w:sz w:val="20"/>
                <w:szCs w:val="20"/>
                <w:color w:val="auto"/>
              </w:rPr>
            </w:pPr>
            <w:r>
              <w:rPr>
                <w:rFonts w:ascii="Arial" w:cs="Arial" w:eastAsia="Arial" w:hAnsi="Arial"/>
                <w:sz w:val="17"/>
                <w:szCs w:val="17"/>
                <w:color w:val="auto"/>
              </w:rPr>
              <w:t>34</w:t>
            </w:r>
          </w:p>
        </w:tc>
      </w:tr>
      <w:tr>
        <w:trPr>
          <w:trHeight w:val="675"/>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50"/>
        </w:trPr>
        <w:tc>
          <w:tcPr>
            <w:tcW w:w="85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Other information:</w:t>
            </w:r>
          </w:p>
        </w:tc>
        <w:tc>
          <w:tcPr>
            <w:tcW w:w="120" w:type="dxa"/>
            <w:vAlign w:val="bottom"/>
            <w:tcBorders>
              <w:bottom w:val="single" w:sz="8" w:color="EAF9E8"/>
            </w:tcBorders>
            <w:shd w:val="clear" w:color="auto" w:fill="EAF9E8"/>
          </w:tcPr>
          <w:p>
            <w:pPr>
              <w:spacing w:after="0"/>
              <w:rPr>
                <w:sz w:val="21"/>
                <w:szCs w:val="21"/>
                <w:color w:val="auto"/>
              </w:rPr>
            </w:pPr>
          </w:p>
        </w:tc>
        <w:tc>
          <w:tcPr>
            <w:tcW w:w="2120" w:type="dxa"/>
            <w:vAlign w:val="bottom"/>
            <w:tcBorders>
              <w:bottom w:val="single" w:sz="8" w:color="EAF9E8"/>
            </w:tcBorders>
            <w:shd w:val="clear" w:color="auto" w:fill="EAF9E8"/>
          </w:tcPr>
          <w:p>
            <w:pPr>
              <w:spacing w:after="0"/>
              <w:rPr>
                <w:sz w:val="21"/>
                <w:szCs w:val="2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Number of properties</w:t>
            </w:r>
          </w:p>
        </w:tc>
        <w:tc>
          <w:tcPr>
            <w:tcW w:w="120" w:type="dxa"/>
            <w:vAlign w:val="bottom"/>
          </w:tcPr>
          <w:p>
            <w:pPr>
              <w:spacing w:after="0"/>
              <w:rPr>
                <w:sz w:val="21"/>
                <w:szCs w:val="21"/>
                <w:color w:val="auto"/>
              </w:rPr>
            </w:pPr>
          </w:p>
        </w:tc>
        <w:tc>
          <w:tcPr>
            <w:tcW w:w="2120" w:type="dxa"/>
            <w:vAlign w:val="bottom"/>
          </w:tcPr>
          <w:p>
            <w:pPr>
              <w:jc w:val="right"/>
              <w:ind w:right="93"/>
              <w:spacing w:after="0"/>
              <w:rPr>
                <w:sz w:val="20"/>
                <w:szCs w:val="20"/>
                <w:color w:val="auto"/>
              </w:rPr>
            </w:pPr>
            <w:r>
              <w:rPr>
                <w:rFonts w:ascii="Arial" w:cs="Arial" w:eastAsia="Arial" w:hAnsi="Arial"/>
                <w:sz w:val="17"/>
                <w:szCs w:val="17"/>
                <w:color w:val="auto"/>
              </w:rPr>
              <w:t>24</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85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Developed sites</w:t>
            </w:r>
          </w:p>
        </w:tc>
        <w:tc>
          <w:tcPr>
            <w:tcW w:w="120" w:type="dxa"/>
            <w:vAlign w:val="bottom"/>
            <w:tcBorders>
              <w:bottom w:val="single" w:sz="8" w:color="EAF9E8"/>
            </w:tcBorders>
            <w:shd w:val="clear" w:color="auto" w:fill="EAF9E8"/>
          </w:tcPr>
          <w:p>
            <w:pPr>
              <w:spacing w:after="0"/>
              <w:rPr>
                <w:sz w:val="21"/>
                <w:szCs w:val="21"/>
                <w:color w:val="auto"/>
              </w:rPr>
            </w:pPr>
          </w:p>
        </w:tc>
        <w:tc>
          <w:tcPr>
            <w:tcW w:w="2120" w:type="dxa"/>
            <w:vAlign w:val="bottom"/>
            <w:tcBorders>
              <w:bottom w:val="single" w:sz="8" w:color="EAF9E8"/>
            </w:tcBorders>
            <w:shd w:val="clear" w:color="auto" w:fill="EAF9E8"/>
          </w:tcPr>
          <w:p>
            <w:pPr>
              <w:jc w:val="right"/>
              <w:ind w:right="93"/>
              <w:spacing w:after="0"/>
              <w:rPr>
                <w:sz w:val="20"/>
                <w:szCs w:val="20"/>
                <w:color w:val="auto"/>
              </w:rPr>
            </w:pPr>
            <w:r>
              <w:rPr>
                <w:rFonts w:ascii="Arial" w:cs="Arial" w:eastAsia="Arial" w:hAnsi="Arial"/>
                <w:sz w:val="17"/>
                <w:szCs w:val="17"/>
                <w:color w:val="auto"/>
              </w:rPr>
              <w:t>12,198</w:t>
            </w:r>
          </w:p>
        </w:tc>
      </w:tr>
      <w:tr>
        <w:trPr>
          <w:trHeight w:val="270"/>
        </w:trPr>
        <w:tc>
          <w:tcPr>
            <w:tcW w:w="85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Occupied sites </w:t>
            </w:r>
            <w:r>
              <w:rPr>
                <w:rFonts w:ascii="Arial" w:cs="Arial" w:eastAsia="Arial" w:hAnsi="Arial"/>
                <w:sz w:val="25"/>
                <w:szCs w:val="25"/>
                <w:color w:val="auto"/>
                <w:vertAlign w:val="superscript"/>
              </w:rPr>
              <w:t>(3)</w:t>
            </w:r>
          </w:p>
        </w:tc>
        <w:tc>
          <w:tcPr>
            <w:tcW w:w="120" w:type="dxa"/>
            <w:vAlign w:val="bottom"/>
          </w:tcPr>
          <w:p>
            <w:pPr>
              <w:spacing w:after="0"/>
              <w:rPr>
                <w:sz w:val="23"/>
                <w:szCs w:val="23"/>
                <w:color w:val="auto"/>
              </w:rPr>
            </w:pPr>
          </w:p>
        </w:tc>
        <w:tc>
          <w:tcPr>
            <w:tcW w:w="2120" w:type="dxa"/>
            <w:vAlign w:val="bottom"/>
          </w:tcPr>
          <w:p>
            <w:pPr>
              <w:jc w:val="right"/>
              <w:ind w:right="93"/>
              <w:spacing w:after="0"/>
              <w:rPr>
                <w:sz w:val="20"/>
                <w:szCs w:val="20"/>
                <w:color w:val="auto"/>
              </w:rPr>
            </w:pPr>
            <w:r>
              <w:rPr>
                <w:rFonts w:ascii="Arial" w:cs="Arial" w:eastAsia="Arial" w:hAnsi="Arial"/>
                <w:sz w:val="17"/>
                <w:szCs w:val="17"/>
                <w:color w:val="auto"/>
              </w:rPr>
              <w:t>7,383</w:t>
            </w:r>
          </w:p>
        </w:tc>
      </w:tr>
      <w:tr>
        <w:trPr>
          <w:trHeight w:val="270"/>
        </w:trPr>
        <w:tc>
          <w:tcPr>
            <w:tcW w:w="8560" w:type="dxa"/>
            <w:vAlign w:val="bottom"/>
            <w:shd w:val="clear" w:color="auto" w:fill="EAF9E8"/>
          </w:tcPr>
          <w:p>
            <w:pPr>
              <w:ind w:left="20"/>
              <w:spacing w:after="0" w:line="270" w:lineRule="exact"/>
              <w:rPr>
                <w:sz w:val="20"/>
                <w:szCs w:val="20"/>
                <w:color w:val="auto"/>
              </w:rPr>
            </w:pPr>
            <w:r>
              <w:rPr>
                <w:rFonts w:ascii="Arial" w:cs="Arial" w:eastAsia="Arial" w:hAnsi="Arial"/>
                <w:sz w:val="18"/>
                <w:szCs w:val="18"/>
                <w:color w:val="auto"/>
              </w:rPr>
              <w:t xml:space="preserve">Occupancy % </w:t>
            </w:r>
            <w:r>
              <w:rPr>
                <w:rFonts w:ascii="Arial" w:cs="Arial" w:eastAsia="Arial" w:hAnsi="Arial"/>
                <w:sz w:val="25"/>
                <w:szCs w:val="25"/>
                <w:color w:val="auto"/>
                <w:vertAlign w:val="superscript"/>
              </w:rPr>
              <w:t>(3)</w:t>
            </w:r>
          </w:p>
        </w:tc>
        <w:tc>
          <w:tcPr>
            <w:tcW w:w="120" w:type="dxa"/>
            <w:vAlign w:val="bottom"/>
            <w:shd w:val="clear" w:color="auto" w:fill="EAF9E8"/>
          </w:tcPr>
          <w:p>
            <w:pPr>
              <w:spacing w:after="0"/>
              <w:rPr>
                <w:sz w:val="23"/>
                <w:szCs w:val="23"/>
                <w:color w:val="auto"/>
              </w:rPr>
            </w:pPr>
          </w:p>
        </w:tc>
        <w:tc>
          <w:tcPr>
            <w:tcW w:w="2120" w:type="dxa"/>
            <w:vAlign w:val="bottom"/>
            <w:shd w:val="clear" w:color="auto" w:fill="EAF9E8"/>
          </w:tcPr>
          <w:p>
            <w:pPr>
              <w:jc w:val="right"/>
              <w:spacing w:after="0"/>
              <w:rPr>
                <w:sz w:val="20"/>
                <w:szCs w:val="20"/>
                <w:color w:val="auto"/>
              </w:rPr>
            </w:pPr>
            <w:r>
              <w:rPr>
                <w:rFonts w:ascii="Arial" w:cs="Arial" w:eastAsia="Arial" w:hAnsi="Arial"/>
                <w:sz w:val="17"/>
                <w:szCs w:val="17"/>
                <w:color w:val="auto"/>
              </w:rPr>
              <w:t>94.4%</w:t>
            </w:r>
          </w:p>
        </w:tc>
      </w:tr>
      <w:tr>
        <w:trPr>
          <w:trHeight w:val="341"/>
        </w:trPr>
        <w:tc>
          <w:tcPr>
            <w:tcW w:w="8560" w:type="dxa"/>
            <w:vAlign w:val="bottom"/>
          </w:tcPr>
          <w:p>
            <w:pPr>
              <w:ind w:left="20"/>
              <w:spacing w:after="0"/>
              <w:rPr>
                <w:sz w:val="20"/>
                <w:szCs w:val="20"/>
                <w:color w:val="auto"/>
              </w:rPr>
            </w:pPr>
            <w:r>
              <w:rPr>
                <w:rFonts w:ascii="Arial" w:cs="Arial" w:eastAsia="Arial" w:hAnsi="Arial"/>
                <w:sz w:val="18"/>
                <w:szCs w:val="18"/>
                <w:color w:val="auto"/>
              </w:rPr>
              <w:t xml:space="preserve">Weighted average monthly rent per site </w:t>
            </w:r>
            <w:r>
              <w:rPr>
                <w:rFonts w:ascii="Arial" w:cs="Arial" w:eastAsia="Arial" w:hAnsi="Arial"/>
                <w:sz w:val="25"/>
                <w:szCs w:val="25"/>
                <w:color w:val="auto"/>
                <w:vertAlign w:val="superscript"/>
              </w:rPr>
              <w:t>(6)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120" w:type="dxa"/>
            <w:vAlign w:val="bottom"/>
          </w:tcPr>
          <w:p>
            <w:pPr>
              <w:jc w:val="right"/>
              <w:ind w:right="93"/>
              <w:spacing w:after="0"/>
              <w:rPr>
                <w:sz w:val="20"/>
                <w:szCs w:val="20"/>
                <w:color w:val="auto"/>
              </w:rPr>
            </w:pPr>
            <w:r>
              <w:rPr>
                <w:rFonts w:ascii="Arial" w:cs="Arial" w:eastAsia="Arial" w:hAnsi="Arial"/>
                <w:sz w:val="17"/>
                <w:szCs w:val="17"/>
                <w:color w:val="auto"/>
              </w:rPr>
              <w:t>415</w:t>
            </w:r>
          </w:p>
        </w:tc>
      </w:tr>
      <w:tr>
        <w:trPr>
          <w:trHeight w:val="577"/>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50"/>
        </w:trPr>
        <w:tc>
          <w:tcPr>
            <w:tcW w:w="85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Occupied rental home information :</w:t>
            </w:r>
          </w:p>
        </w:tc>
        <w:tc>
          <w:tcPr>
            <w:tcW w:w="120" w:type="dxa"/>
            <w:vAlign w:val="bottom"/>
            <w:tcBorders>
              <w:bottom w:val="single" w:sz="8" w:color="EAF9E8"/>
            </w:tcBorders>
            <w:shd w:val="clear" w:color="auto" w:fill="EAF9E8"/>
          </w:tcPr>
          <w:p>
            <w:pPr>
              <w:spacing w:after="0"/>
              <w:rPr>
                <w:sz w:val="21"/>
                <w:szCs w:val="21"/>
                <w:color w:val="auto"/>
              </w:rPr>
            </w:pPr>
          </w:p>
        </w:tc>
        <w:tc>
          <w:tcPr>
            <w:tcW w:w="2120" w:type="dxa"/>
            <w:vAlign w:val="bottom"/>
            <w:tcBorders>
              <w:bottom w:val="single" w:sz="8" w:color="EAF9E8"/>
            </w:tcBorders>
            <w:shd w:val="clear" w:color="auto" w:fill="EAF9E8"/>
          </w:tcPr>
          <w:p>
            <w:pPr>
              <w:spacing w:after="0"/>
              <w:rPr>
                <w:sz w:val="21"/>
                <w:szCs w:val="2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Number of occupied rentals, end of period</w:t>
            </w:r>
          </w:p>
        </w:tc>
        <w:tc>
          <w:tcPr>
            <w:tcW w:w="120" w:type="dxa"/>
            <w:vAlign w:val="bottom"/>
          </w:tcPr>
          <w:p>
            <w:pPr>
              <w:spacing w:after="0"/>
              <w:rPr>
                <w:sz w:val="21"/>
                <w:szCs w:val="21"/>
                <w:color w:val="auto"/>
              </w:rPr>
            </w:pPr>
          </w:p>
        </w:tc>
        <w:tc>
          <w:tcPr>
            <w:tcW w:w="2120" w:type="dxa"/>
            <w:vAlign w:val="bottom"/>
          </w:tcPr>
          <w:p>
            <w:pPr>
              <w:jc w:val="right"/>
              <w:ind w:right="93"/>
              <w:spacing w:after="0"/>
              <w:rPr>
                <w:sz w:val="20"/>
                <w:szCs w:val="20"/>
                <w:color w:val="auto"/>
              </w:rPr>
            </w:pPr>
            <w:r>
              <w:rPr>
                <w:rFonts w:ascii="Arial" w:cs="Arial" w:eastAsia="Arial" w:hAnsi="Arial"/>
                <w:sz w:val="17"/>
                <w:szCs w:val="17"/>
                <w:color w:val="auto"/>
              </w:rPr>
              <w:t>166</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85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 xml:space="preserve">Investment in occupied rental homes </w:t>
            </w:r>
            <w:r>
              <w:rPr>
                <w:rFonts w:ascii="Arial" w:cs="Arial" w:eastAsia="Arial" w:hAnsi="Arial"/>
                <w:sz w:val="18"/>
                <w:szCs w:val="18"/>
                <w:i w:val="1"/>
                <w:iCs w:val="1"/>
                <w:color w:val="auto"/>
              </w:rPr>
              <w:t>(in thousands)</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7"/>
                <w:szCs w:val="17"/>
                <w:color w:val="auto"/>
                <w:w w:val="84"/>
              </w:rPr>
              <w:t>$</w:t>
            </w:r>
          </w:p>
        </w:tc>
        <w:tc>
          <w:tcPr>
            <w:tcW w:w="2120" w:type="dxa"/>
            <w:vAlign w:val="bottom"/>
            <w:tcBorders>
              <w:bottom w:val="single" w:sz="8" w:color="EAF9E8"/>
            </w:tcBorders>
            <w:shd w:val="clear" w:color="auto" w:fill="EAF9E8"/>
          </w:tcPr>
          <w:p>
            <w:pPr>
              <w:jc w:val="right"/>
              <w:ind w:right="93"/>
              <w:spacing w:after="0"/>
              <w:rPr>
                <w:sz w:val="20"/>
                <w:szCs w:val="20"/>
                <w:color w:val="auto"/>
              </w:rPr>
            </w:pPr>
            <w:r>
              <w:rPr>
                <w:rFonts w:ascii="Arial" w:cs="Arial" w:eastAsia="Arial" w:hAnsi="Arial"/>
                <w:sz w:val="17"/>
                <w:szCs w:val="17"/>
                <w:color w:val="auto"/>
              </w:rPr>
              <w:t>5,903</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Weighted average monthly rental rate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120" w:type="dxa"/>
            <w:vAlign w:val="bottom"/>
          </w:tcPr>
          <w:p>
            <w:pPr>
              <w:jc w:val="right"/>
              <w:ind w:right="93"/>
              <w:spacing w:after="0"/>
              <w:rPr>
                <w:sz w:val="20"/>
                <w:szCs w:val="20"/>
                <w:color w:val="auto"/>
              </w:rPr>
            </w:pPr>
            <w:r>
              <w:rPr>
                <w:rFonts w:ascii="Arial" w:cs="Arial" w:eastAsia="Arial" w:hAnsi="Arial"/>
                <w:sz w:val="17"/>
                <w:szCs w:val="17"/>
                <w:color w:val="auto"/>
              </w:rPr>
              <w:t>873</w:t>
            </w:r>
          </w:p>
        </w:tc>
      </w:tr>
    </w:tbl>
    <w:p>
      <w:pPr>
        <w:spacing w:after="0" w:line="206" w:lineRule="exact"/>
        <w:rPr>
          <w:sz w:val="20"/>
          <w:szCs w:val="20"/>
          <w:color w:val="auto"/>
        </w:rPr>
      </w:pPr>
    </w:p>
    <w:p>
      <w:pPr>
        <w:ind w:left="340" w:hanging="305"/>
        <w:spacing w:after="0"/>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6"/>
          <w:szCs w:val="16"/>
          <w:color w:val="auto"/>
        </w:rPr>
        <w:t>Weighted average rent pertains to manufactured housing and annual recreational vehicle sites and excludes transient recreational vehicle sites.</w:t>
      </w:r>
    </w:p>
    <w:p>
      <w:pPr>
        <w:spacing w:after="0" w:line="200" w:lineRule="exact"/>
        <w:rPr>
          <w:sz w:val="20"/>
          <w:szCs w:val="20"/>
          <w:color w:val="auto"/>
        </w:rPr>
      </w:pPr>
    </w:p>
    <w:p>
      <w:pPr>
        <w:spacing w:after="0" w:line="210" w:lineRule="exact"/>
        <w:rPr>
          <w:sz w:val="20"/>
          <w:szCs w:val="20"/>
          <w:color w:val="auto"/>
        </w:rPr>
      </w:pPr>
    </w:p>
    <w:p>
      <w:pPr>
        <w:spacing w:after="0"/>
        <w:tabs>
          <w:tab w:leader="none" w:pos="4380" w:val="left"/>
        </w:tabs>
        <w:rPr>
          <w:sz w:val="20"/>
          <w:szCs w:val="20"/>
          <w:color w:val="auto"/>
        </w:rPr>
      </w:pPr>
      <w:r>
        <w:rPr>
          <w:rFonts w:ascii="Arial" w:cs="Arial" w:eastAsia="Arial" w:hAnsi="Arial"/>
          <w:sz w:val="18"/>
          <w:szCs w:val="18"/>
          <w:color w:val="auto"/>
        </w:rPr>
        <w:t>Sun Communities, Inc. 1st Quarter 2013</w:t>
      </w:r>
      <w:r>
        <w:rPr>
          <w:sz w:val="20"/>
          <w:szCs w:val="20"/>
          <w:color w:val="auto"/>
        </w:rPr>
        <w:tab/>
      </w:r>
      <w:r>
        <w:rPr>
          <w:rFonts w:ascii="Arial" w:cs="Arial" w:eastAsia="Arial" w:hAnsi="Arial"/>
          <w:sz w:val="15"/>
          <w:szCs w:val="15"/>
          <w:color w:val="auto"/>
        </w:rPr>
        <w:t>Page 11</w:t>
      </w:r>
    </w:p>
    <w:sectPr>
      <w:pgSz w:w="11900" w:h="16838" w:orient="portrait"/>
      <w:cols w:equalWidth="0" w:num="1">
        <w:col w:w="11120"/>
      </w:cols>
      <w:pgMar w:left="240" w:top="91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2019-12-06T09:57:17Z</dcterms:created>
  <dcterms:modified xsi:type="dcterms:W3CDTF">2019-12-06T09:57:17Z</dcterms:modified>
</cp:coreProperties>
</file>