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40" w:hanging="199"/>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w:t>
      </w:r>
    </w:p>
    <w:p>
      <w:pPr>
        <w:spacing w:after="0" w:line="40" w:lineRule="exact"/>
        <w:rPr>
          <w:rFonts w:ascii="MS PGothic" w:cs="MS PGothic" w:eastAsia="MS PGothic" w:hAnsi="MS PGothic"/>
          <w:sz w:val="17"/>
          <w:szCs w:val="17"/>
          <w:color w:val="auto"/>
        </w:rPr>
      </w:pPr>
    </w:p>
    <w:p>
      <w:pPr>
        <w:ind w:left="448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period ended March 31, 2020.</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1520" w:hanging="199"/>
        <w:spacing w:after="0"/>
        <w:tabs>
          <w:tab w:leader="none" w:pos="1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SUN COMMUNITIES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2" w:right="3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jc w:val="center"/>
        <w:ind w:left="5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1-12616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38-2730780</w:t>
      </w:r>
    </w:p>
    <w:p>
      <w:pPr>
        <w:spacing w:after="0" w:line="90" w:lineRule="exact"/>
        <w:rPr>
          <w:sz w:val="24"/>
          <w:szCs w:val="24"/>
          <w:color w:val="auto"/>
        </w:rPr>
      </w:pPr>
    </w:p>
    <w:p>
      <w:pPr>
        <w:sectPr>
          <w:pgSz w:w="11900" w:h="16838" w:orient="portrait"/>
          <w:cols w:equalWidth="0" w:num="3">
            <w:col w:w="4600" w:space="720"/>
            <w:col w:w="2220" w:space="720"/>
            <w:col w:w="2980"/>
          </w:cols>
          <w:pgMar w:left="320" w:top="742" w:right="33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1940" w:space="720"/>
            <w:col w:w="3860"/>
          </w:cols>
          <w:pgMar w:left="320" w:top="742" w:right="339" w:bottom="1440" w:gutter="0" w:footer="0" w:header="0"/>
          <w:type w:val="continuous"/>
        </w:sectPr>
      </w:pPr>
    </w:p>
    <w:p>
      <w:pPr>
        <w:spacing w:after="0" w:line="6" w:lineRule="exact"/>
        <w:rPr>
          <w:sz w:val="24"/>
          <w:szCs w:val="24"/>
          <w:color w:val="auto"/>
        </w:rPr>
      </w:pPr>
    </w:p>
    <w:p>
      <w:pPr>
        <w:ind w:left="1120"/>
        <w:spacing w:after="0"/>
        <w:rPr>
          <w:sz w:val="20"/>
          <w:szCs w:val="20"/>
          <w:color w:val="auto"/>
        </w:rPr>
      </w:pPr>
      <w:r>
        <w:rPr>
          <w:rFonts w:ascii="Arial" w:cs="Arial" w:eastAsia="Arial" w:hAnsi="Arial"/>
          <w:sz w:val="17"/>
          <w:szCs w:val="17"/>
          <w:b w:val="1"/>
          <w:bCs w:val="1"/>
          <w:color w:val="auto"/>
        </w:rPr>
        <w:t>27777 Franklin Rd, Suite 200, Southfield,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48034</w:t>
      </w:r>
    </w:p>
    <w:p>
      <w:pPr>
        <w:spacing w:after="0" w:line="90" w:lineRule="exact"/>
        <w:rPr>
          <w:sz w:val="24"/>
          <w:szCs w:val="24"/>
          <w:color w:val="auto"/>
        </w:rPr>
      </w:pPr>
    </w:p>
    <w:p>
      <w:pPr>
        <w:sectPr>
          <w:pgSz w:w="11900" w:h="16838" w:orient="portrait"/>
          <w:cols w:equalWidth="0" w:num="2">
            <w:col w:w="7740" w:space="720"/>
            <w:col w:w="2780"/>
          </w:cols>
          <w:pgMar w:left="320" w:top="742" w:right="33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80" w:space="720"/>
            <w:col w:w="2940"/>
          </w:cols>
          <w:pgMar w:left="320" w:top="742" w:right="3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208-2500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5" w:lineRule="exact"/>
        <w:rPr>
          <w:sz w:val="24"/>
          <w:szCs w:val="24"/>
          <w:color w:val="auto"/>
        </w:rPr>
      </w:pPr>
    </w:p>
    <w:tbl>
      <w:tblPr>
        <w:tblLayout w:type="fixed"/>
        <w:tblInd w:w="300" w:type="dxa"/>
        <w:tblCellMar>
          <w:top w:w="0" w:type="dxa"/>
          <w:left w:w="0" w:type="dxa"/>
          <w:bottom w:w="0" w:type="dxa"/>
          <w:right w:w="0" w:type="dxa"/>
        </w:tblCellMar>
      </w:tblPr>
      <w:tr>
        <w:trPr>
          <w:trHeight w:val="230"/>
        </w:trPr>
        <w:tc>
          <w:tcPr>
            <w:tcW w:w="4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Title of each class</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0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4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 Stock, $0.01 par value</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SUI</w:t>
            </w:r>
          </w:p>
        </w:tc>
        <w:tc>
          <w:tcPr>
            <w:tcW w:w="40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(Check one):</w:t>
      </w:r>
    </w:p>
    <w:p>
      <w:pPr>
        <w:sectPr>
          <w:pgSz w:w="11900" w:h="16838" w:orient="portrait"/>
          <w:cols w:equalWidth="0" w:num="1">
            <w:col w:w="11240"/>
          </w:cols>
          <w:pgMar w:left="320" w:top="742" w:right="339" w:bottom="1440" w:gutter="0" w:footer="0" w:header="0"/>
          <w:type w:val="continuous"/>
        </w:sectPr>
      </w:pPr>
    </w:p>
    <w:p>
      <w:pPr>
        <w:spacing w:after="0" w:line="116" w:lineRule="exact"/>
        <w:rPr>
          <w:sz w:val="24"/>
          <w:szCs w:val="24"/>
          <w:color w:val="auto"/>
        </w:rPr>
      </w:pPr>
    </w:p>
    <w:p>
      <w:pPr>
        <w:ind w:left="1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53" w:lineRule="exact"/>
        <w:rPr>
          <w:sz w:val="24"/>
          <w:szCs w:val="24"/>
          <w:color w:val="auto"/>
        </w:rPr>
      </w:pPr>
    </w:p>
    <w:p>
      <w:pPr>
        <w:sectPr>
          <w:pgSz w:w="11900" w:h="16838" w:orient="portrait"/>
          <w:cols w:equalWidth="0" w:num="5">
            <w:col w:w="1800" w:space="440"/>
            <w:col w:w="1200" w:space="600"/>
            <w:col w:w="1520" w:space="580"/>
            <w:col w:w="1980" w:space="520"/>
            <w:col w:w="2600"/>
          </w:cols>
          <w:pgMar w:left="320" w:top="742" w:right="339" w:bottom="1440" w:gutter="0" w:footer="0" w:header="0"/>
          <w:type w:val="continuous"/>
        </w:sectPr>
      </w:pPr>
    </w:p>
    <w:p>
      <w:pPr>
        <w:ind w:left="9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0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5">
            <w:col w:w="2040" w:space="720"/>
            <w:col w:w="1240" w:space="720"/>
            <w:col w:w="1600" w:space="720"/>
            <w:col w:w="1780" w:space="720"/>
            <w:col w:w="1700"/>
          </w:cols>
          <w:pgMar w:left="320" w:top="742" w:right="339" w:bottom="1440" w:gutter="0" w:footer="0" w:header="0"/>
          <w:type w:val="continuous"/>
        </w:sectPr>
      </w:pPr>
    </w:p>
    <w:p>
      <w:pPr>
        <w:spacing w:after="0" w:line="1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per share, outstanding as of April 16, 2020: 93,307,207</w:t>
      </w:r>
    </w:p>
    <w:p>
      <w:pPr>
        <w:sectPr>
          <w:pgSz w:w="11900" w:h="16838" w:orient="portrait"/>
          <w:cols w:equalWidth="0" w:num="1">
            <w:col w:w="11240"/>
          </w:cols>
          <w:pgMar w:left="320" w:top="74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980" w:type="dxa"/>
            <w:vAlign w:val="bottom"/>
            <w:gridSpan w:val="6"/>
          </w:tcPr>
          <w:p>
            <w:pPr>
              <w:jc w:val="center"/>
              <w:ind w:right="3240"/>
              <w:spacing w:after="0"/>
              <w:rPr>
                <w:sz w:val="20"/>
                <w:szCs w:val="20"/>
                <w:color w:val="auto"/>
              </w:rPr>
            </w:pPr>
            <w:r>
              <w:rPr>
                <w:rFonts w:ascii="Arial" w:cs="Arial" w:eastAsia="Arial" w:hAnsi="Arial"/>
                <w:sz w:val="18"/>
                <w:szCs w:val="18"/>
                <w:b w:val="1"/>
                <w:bCs w:val="1"/>
                <w:color w:val="auto"/>
              </w:rPr>
              <w:t>INDEX</w:t>
            </w:r>
          </w:p>
        </w:tc>
        <w:tc>
          <w:tcPr>
            <w:tcW w:w="980" w:type="dxa"/>
            <w:vAlign w:val="bottom"/>
          </w:tcPr>
          <w:p>
            <w:pPr>
              <w:spacing w:after="0"/>
              <w:rPr>
                <w:sz w:val="20"/>
                <w:szCs w:val="20"/>
                <w:color w:val="auto"/>
              </w:rPr>
            </w:pPr>
          </w:p>
        </w:tc>
      </w:tr>
      <w:tr>
        <w:trPr>
          <w:trHeight w:val="864"/>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gridSpan w:val="7"/>
          </w:tcPr>
          <w:p>
            <w:pPr>
              <w:jc w:val="center"/>
              <w:ind w:right="2360"/>
              <w:spacing w:after="0"/>
              <w:rPr>
                <w:rFonts w:ascii="Arial" w:cs="Arial" w:eastAsia="Arial" w:hAnsi="Arial"/>
                <w:sz w:val="18"/>
                <w:szCs w:val="18"/>
                <w:b w:val="1"/>
                <w:bCs w:val="1"/>
                <w:u w:val="single" w:color="auto"/>
                <w:color w:val="auto"/>
              </w:rPr>
            </w:pPr>
            <w:hyperlink w:anchor="page3">
              <w:r>
                <w:rPr>
                  <w:rFonts w:ascii="Arial" w:cs="Arial" w:eastAsia="Arial" w:hAnsi="Arial"/>
                  <w:sz w:val="18"/>
                  <w:szCs w:val="18"/>
                  <w:b w:val="1"/>
                  <w:bCs w:val="1"/>
                  <w:u w:val="single" w:color="auto"/>
                  <w:color w:val="auto"/>
                </w:rPr>
                <w:t>PART I – FINANCIAL INFORMATION</w:t>
              </w:r>
            </w:hyperlink>
          </w:p>
        </w:tc>
        <w:tc>
          <w:tcPr>
            <w:tcW w:w="980" w:type="dxa"/>
            <w:vAlign w:val="bottom"/>
          </w:tcPr>
          <w:p>
            <w:pPr>
              <w:spacing w:after="0"/>
              <w:rPr>
                <w:sz w:val="24"/>
                <w:szCs w:val="24"/>
                <w:color w:val="auto"/>
              </w:rPr>
            </w:pPr>
          </w:p>
        </w:tc>
      </w:tr>
      <w:tr>
        <w:trPr>
          <w:trHeight w:val="445"/>
        </w:trPr>
        <w:tc>
          <w:tcPr>
            <w:tcW w:w="800" w:type="dxa"/>
            <w:vAlign w:val="bottom"/>
            <w:gridSpan w:val="2"/>
          </w:tcPr>
          <w:p>
            <w:pPr>
              <w:spacing w:after="0"/>
              <w:rPr>
                <w:rFonts w:ascii="Arial" w:cs="Arial" w:eastAsia="Arial" w:hAnsi="Arial"/>
                <w:sz w:val="18"/>
                <w:szCs w:val="18"/>
                <w:u w:val="single" w:color="auto"/>
                <w:color w:val="auto"/>
              </w:rPr>
            </w:pPr>
            <w:hyperlink w:anchor="page3">
              <w:r>
                <w:rPr>
                  <w:rFonts w:ascii="Arial" w:cs="Arial" w:eastAsia="Arial" w:hAnsi="Arial"/>
                  <w:sz w:val="18"/>
                  <w:szCs w:val="18"/>
                  <w:u w:val="single" w:color="auto"/>
                  <w:color w:val="auto"/>
                </w:rPr>
                <w:t>Item 1.</w:t>
              </w:r>
            </w:hyperlink>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Consolidated Financial Statements</w:t>
            </w:r>
          </w:p>
        </w:tc>
        <w:tc>
          <w:tcPr>
            <w:tcW w:w="690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0" w:type="dxa"/>
            <w:vAlign w:val="bottom"/>
            <w:gridSpan w:val="10"/>
          </w:tcPr>
          <w:p>
            <w:pPr>
              <w:spacing w:after="0"/>
              <w:rPr>
                <w:rFonts w:ascii="Arial" w:cs="Arial" w:eastAsia="Arial" w:hAnsi="Arial"/>
                <w:sz w:val="18"/>
                <w:szCs w:val="18"/>
                <w:color w:val="auto"/>
              </w:rPr>
            </w:pPr>
            <w:hyperlink w:anchor="page3">
              <w:r>
                <w:rPr>
                  <w:rFonts w:ascii="Arial" w:cs="Arial" w:eastAsia="Arial" w:hAnsi="Arial"/>
                  <w:sz w:val="18"/>
                  <w:szCs w:val="18"/>
                  <w:u w:val="single" w:color="auto"/>
                  <w:color w:val="auto"/>
                </w:rPr>
                <w:t>Consolidated Balance Sheets as of</w:t>
              </w:r>
              <w:r>
                <w:rPr>
                  <w:rFonts w:ascii="Arial" w:cs="Arial" w:eastAsia="Arial" w:hAnsi="Arial"/>
                  <w:sz w:val="18"/>
                  <w:szCs w:val="18"/>
                  <w:color w:val="auto"/>
                </w:rPr>
                <w:t xml:space="preserve"> </w:t>
              </w:r>
            </w:hyperlink>
            <w:r>
              <w:rPr>
                <w:rFonts w:ascii="Arial" w:cs="Arial" w:eastAsia="Arial" w:hAnsi="Arial"/>
                <w:sz w:val="18"/>
                <w:szCs w:val="18"/>
                <w:color w:val="auto"/>
              </w:rPr>
              <w:t>March 31, 2020 (Unaudited) and December 31, 2019</w:t>
            </w:r>
          </w:p>
        </w:tc>
        <w:tc>
          <w:tcPr>
            <w:tcW w:w="98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rPr>
              <w:t>Consolidated Statements of Operations for the Three Months Ended March 31, 2020 and 2019 (Unaudited)</w:t>
            </w:r>
          </w:p>
        </w:tc>
        <w:tc>
          <w:tcPr>
            <w:tcW w:w="98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780" w:type="dxa"/>
            <w:vAlign w:val="bottom"/>
            <w:gridSpan w:val="3"/>
            <w:shd w:val="clear" w:color="auto" w:fill="000000"/>
          </w:tcPr>
          <w:p>
            <w:pPr>
              <w:spacing w:after="0" w:line="20" w:lineRule="exact"/>
              <w:rPr>
                <w:sz w:val="1"/>
                <w:szCs w:val="1"/>
                <w:color w:val="auto"/>
              </w:rPr>
            </w:pPr>
          </w:p>
        </w:tc>
        <w:tc>
          <w:tcPr>
            <w:tcW w:w="39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w w:val="98"/>
              </w:rPr>
              <w:t>Consolidated Statements of Comprehensive Income for the Three Months Ended March 31, 2020 and 2019 (Unaudited)</w:t>
            </w:r>
          </w:p>
        </w:tc>
        <w:tc>
          <w:tcPr>
            <w:tcW w:w="9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50"/>
        </w:trPr>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20" w:type="dxa"/>
            <w:vAlign w:val="bottom"/>
            <w:tcBorders>
              <w:top w:val="single" w:sz="8" w:color="auto"/>
            </w:tcBorders>
            <w:gridSpan w:val="9"/>
          </w:tcPr>
          <w:p>
            <w:pPr>
              <w:spacing w:after="0"/>
              <w:rPr>
                <w:rFonts w:ascii="Arial" w:cs="Arial" w:eastAsia="Arial" w:hAnsi="Arial"/>
                <w:sz w:val="18"/>
                <w:szCs w:val="18"/>
                <w:color w:val="auto"/>
              </w:rPr>
            </w:pPr>
            <w:hyperlink w:anchor="page6">
              <w:r>
                <w:rPr>
                  <w:rFonts w:ascii="Arial" w:cs="Arial" w:eastAsia="Arial" w:hAnsi="Arial"/>
                  <w:sz w:val="18"/>
                  <w:szCs w:val="18"/>
                  <w:u w:val="single" w:color="auto"/>
                  <w:color w:val="auto"/>
                </w:rPr>
                <w:t>Consolidated Statements of Cash Flows for the</w:t>
              </w:r>
              <w:r>
                <w:rPr>
                  <w:rFonts w:ascii="Arial" w:cs="Arial" w:eastAsia="Arial" w:hAnsi="Arial"/>
                  <w:sz w:val="18"/>
                  <w:szCs w:val="18"/>
                  <w:color w:val="auto"/>
                </w:rPr>
                <w:t xml:space="preserve"> </w:t>
              </w:r>
            </w:hyperlink>
            <w:r>
              <w:rPr>
                <w:rFonts w:ascii="Arial" w:cs="Arial" w:eastAsia="Arial" w:hAnsi="Arial"/>
                <w:sz w:val="18"/>
                <w:szCs w:val="18"/>
                <w:color w:val="auto"/>
              </w:rPr>
              <w:t>Three Months Ended March 31, 2020 and 2019 (Unaudited)</w:t>
            </w:r>
          </w:p>
        </w:tc>
        <w:tc>
          <w:tcPr>
            <w:tcW w:w="780" w:type="dxa"/>
            <w:vAlign w:val="bottom"/>
          </w:tcPr>
          <w:p>
            <w:pPr>
              <w:spacing w:after="0"/>
              <w:rPr>
                <w:sz w:val="21"/>
                <w:szCs w:val="21"/>
                <w:color w:val="auto"/>
              </w:rPr>
            </w:pPr>
          </w:p>
        </w:tc>
        <w:tc>
          <w:tcPr>
            <w:tcW w:w="98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90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rPr>
              <w:t>Consolidated Statement of Equity for the Three Months Ended March 31, 2020 and 2019 (Unaudited)</w:t>
            </w:r>
          </w:p>
        </w:tc>
        <w:tc>
          <w:tcPr>
            <w:tcW w:w="98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91"/>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20" w:type="dxa"/>
            <w:vAlign w:val="bottom"/>
            <w:tcBorders>
              <w:top w:val="single" w:sz="8" w:color="auto"/>
            </w:tcBorders>
            <w:gridSpan w:val="6"/>
          </w:tcPr>
          <w:p>
            <w:pPr>
              <w:spacing w:after="0"/>
              <w:rPr>
                <w:rFonts w:ascii="Arial" w:cs="Arial" w:eastAsia="Arial" w:hAnsi="Arial"/>
                <w:sz w:val="18"/>
                <w:szCs w:val="18"/>
                <w:u w:val="single" w:color="auto"/>
                <w:color w:val="auto"/>
              </w:rPr>
            </w:pPr>
            <w:hyperlink w:anchor="page8">
              <w:r>
                <w:rPr>
                  <w:rFonts w:ascii="Arial" w:cs="Arial" w:eastAsia="Arial" w:hAnsi="Arial"/>
                  <w:sz w:val="18"/>
                  <w:szCs w:val="18"/>
                  <w:u w:val="single" w:color="auto"/>
                  <w:color w:val="auto"/>
                </w:rPr>
                <w:t>Notes to Consolidated Financial Statements</w:t>
              </w:r>
            </w:hyperlink>
          </w:p>
        </w:tc>
        <w:tc>
          <w:tcPr>
            <w:tcW w:w="2080" w:type="dxa"/>
            <w:vAlign w:val="bottom"/>
            <w:gridSpan w:val="4"/>
          </w:tcPr>
          <w:p>
            <w:pPr>
              <w:spacing w:after="0"/>
              <w:rPr>
                <w:sz w:val="24"/>
                <w:szCs w:val="24"/>
                <w:color w:val="auto"/>
              </w:rPr>
            </w:pPr>
          </w:p>
        </w:tc>
        <w:tc>
          <w:tcPr>
            <w:tcW w:w="98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270"/>
        </w:trPr>
        <w:tc>
          <w:tcPr>
            <w:tcW w:w="800" w:type="dxa"/>
            <w:vAlign w:val="bottom"/>
            <w:gridSpan w:val="2"/>
          </w:tcPr>
          <w:p>
            <w:pPr>
              <w:spacing w:after="0"/>
              <w:rPr>
                <w:rFonts w:ascii="Arial" w:cs="Arial" w:eastAsia="Arial" w:hAnsi="Arial"/>
                <w:sz w:val="18"/>
                <w:szCs w:val="18"/>
                <w:u w:val="single" w:color="auto"/>
                <w:color w:val="auto"/>
              </w:rPr>
            </w:pPr>
            <w:hyperlink w:anchor="page31">
              <w:r>
                <w:rPr>
                  <w:rFonts w:ascii="Arial" w:cs="Arial" w:eastAsia="Arial" w:hAnsi="Arial"/>
                  <w:sz w:val="18"/>
                  <w:szCs w:val="18"/>
                  <w:u w:val="single" w:color="auto"/>
                  <w:color w:val="auto"/>
                </w:rPr>
                <w:t>Item 2.</w:t>
              </w:r>
            </w:hyperlink>
          </w:p>
        </w:tc>
        <w:tc>
          <w:tcPr>
            <w:tcW w:w="9400" w:type="dxa"/>
            <w:vAlign w:val="bottom"/>
            <w:gridSpan w:val="10"/>
          </w:tcPr>
          <w:p>
            <w:pPr>
              <w:spacing w:after="0"/>
              <w:rPr>
                <w:rFonts w:ascii="Arial" w:cs="Arial" w:eastAsia="Arial" w:hAnsi="Arial"/>
                <w:sz w:val="18"/>
                <w:szCs w:val="18"/>
                <w:u w:val="single" w:color="auto"/>
                <w:color w:val="auto"/>
              </w:rPr>
            </w:pPr>
            <w:hyperlink w:anchor="page31">
              <w:r>
                <w:rPr>
                  <w:rFonts w:ascii="Arial" w:cs="Arial" w:eastAsia="Arial" w:hAnsi="Arial"/>
                  <w:sz w:val="18"/>
                  <w:szCs w:val="18"/>
                  <w:u w:val="single" w:color="auto"/>
                  <w:color w:val="auto"/>
                </w:rPr>
                <w:t>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29</w:t>
              </w:r>
            </w:hyperlink>
          </w:p>
        </w:tc>
      </w:tr>
      <w:tr>
        <w:trPr>
          <w:trHeight w:val="270"/>
        </w:trPr>
        <w:tc>
          <w:tcPr>
            <w:tcW w:w="800" w:type="dxa"/>
            <w:vAlign w:val="bottom"/>
            <w:gridSpan w:val="2"/>
          </w:tcPr>
          <w:p>
            <w:pPr>
              <w:spacing w:after="0"/>
              <w:rPr>
                <w:rFonts w:ascii="Arial" w:cs="Arial" w:eastAsia="Arial" w:hAnsi="Arial"/>
                <w:sz w:val="18"/>
                <w:szCs w:val="18"/>
                <w:u w:val="single" w:color="auto"/>
                <w:color w:val="auto"/>
              </w:rPr>
            </w:pPr>
            <w:hyperlink w:anchor="page46">
              <w:r>
                <w:rPr>
                  <w:rFonts w:ascii="Arial" w:cs="Arial" w:eastAsia="Arial" w:hAnsi="Arial"/>
                  <w:sz w:val="18"/>
                  <w:szCs w:val="18"/>
                  <w:u w:val="single" w:color="auto"/>
                  <w:color w:val="auto"/>
                </w:rPr>
                <w:t>Item 3.</w:t>
              </w:r>
            </w:hyperlink>
          </w:p>
        </w:tc>
        <w:tc>
          <w:tcPr>
            <w:tcW w:w="9400" w:type="dxa"/>
            <w:vAlign w:val="bottom"/>
            <w:gridSpan w:val="10"/>
          </w:tcPr>
          <w:p>
            <w:pPr>
              <w:spacing w:after="0"/>
              <w:rPr>
                <w:rFonts w:ascii="Arial" w:cs="Arial" w:eastAsia="Arial" w:hAnsi="Arial"/>
                <w:sz w:val="18"/>
                <w:szCs w:val="18"/>
                <w:u w:val="single" w:color="auto"/>
                <w:color w:val="auto"/>
              </w:rPr>
            </w:pPr>
            <w:hyperlink w:anchor="page46">
              <w:r>
                <w:rPr>
                  <w:rFonts w:ascii="Arial" w:cs="Arial" w:eastAsia="Arial" w:hAnsi="Arial"/>
                  <w:sz w:val="18"/>
                  <w:szCs w:val="18"/>
                  <w:u w:val="single" w:color="auto"/>
                  <w:color w:val="auto"/>
                </w:rPr>
                <w:t>Quantitative and Qualitative Disclosures about Market Risk</w:t>
              </w:r>
            </w:hyperlink>
          </w:p>
        </w:tc>
        <w:tc>
          <w:tcPr>
            <w:tcW w:w="98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tc>
      </w:tr>
      <w:tr>
        <w:trPr>
          <w:trHeight w:val="270"/>
        </w:trPr>
        <w:tc>
          <w:tcPr>
            <w:tcW w:w="800" w:type="dxa"/>
            <w:vAlign w:val="bottom"/>
            <w:gridSpan w:val="2"/>
          </w:tcPr>
          <w:p>
            <w:pPr>
              <w:spacing w:after="0"/>
              <w:rPr>
                <w:rFonts w:ascii="Arial" w:cs="Arial" w:eastAsia="Arial" w:hAnsi="Arial"/>
                <w:sz w:val="18"/>
                <w:szCs w:val="18"/>
                <w:u w:val="single" w:color="auto"/>
                <w:color w:val="auto"/>
              </w:rPr>
            </w:pPr>
            <w:hyperlink w:anchor="page46">
              <w:r>
                <w:rPr>
                  <w:rFonts w:ascii="Arial" w:cs="Arial" w:eastAsia="Arial" w:hAnsi="Arial"/>
                  <w:sz w:val="18"/>
                  <w:szCs w:val="18"/>
                  <w:u w:val="single" w:color="auto"/>
                  <w:color w:val="auto"/>
                </w:rPr>
                <w:t>Item 4.</w:t>
              </w:r>
            </w:hyperlink>
          </w:p>
        </w:tc>
        <w:tc>
          <w:tcPr>
            <w:tcW w:w="9400" w:type="dxa"/>
            <w:vAlign w:val="bottom"/>
            <w:gridSpan w:val="10"/>
          </w:tcPr>
          <w:p>
            <w:pPr>
              <w:spacing w:after="0"/>
              <w:rPr>
                <w:rFonts w:ascii="Arial" w:cs="Arial" w:eastAsia="Arial" w:hAnsi="Arial"/>
                <w:sz w:val="18"/>
                <w:szCs w:val="18"/>
                <w:u w:val="single" w:color="auto"/>
                <w:color w:val="auto"/>
              </w:rPr>
            </w:pPr>
            <w:hyperlink w:anchor="page46">
              <w:r>
                <w:rPr>
                  <w:rFonts w:ascii="Arial" w:cs="Arial" w:eastAsia="Arial" w:hAnsi="Arial"/>
                  <w:sz w:val="18"/>
                  <w:szCs w:val="18"/>
                  <w:u w:val="single" w:color="auto"/>
                  <w:color w:val="auto"/>
                </w:rPr>
                <w:t>Controls and Procedures</w:t>
              </w:r>
            </w:hyperlink>
          </w:p>
        </w:tc>
        <w:tc>
          <w:tcPr>
            <w:tcW w:w="98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tc>
      </w:tr>
      <w:tr>
        <w:trPr>
          <w:trHeight w:val="608"/>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gridSpan w:val="7"/>
          </w:tcPr>
          <w:p>
            <w:pPr>
              <w:jc w:val="center"/>
              <w:ind w:right="2340"/>
              <w:spacing w:after="0"/>
              <w:rPr>
                <w:rFonts w:ascii="Arial" w:cs="Arial" w:eastAsia="Arial" w:hAnsi="Arial"/>
                <w:sz w:val="18"/>
                <w:szCs w:val="18"/>
                <w:b w:val="1"/>
                <w:bCs w:val="1"/>
                <w:u w:val="single" w:color="auto"/>
                <w:color w:val="auto"/>
              </w:rPr>
            </w:pPr>
            <w:hyperlink w:anchor="page47">
              <w:r>
                <w:rPr>
                  <w:rFonts w:ascii="Arial" w:cs="Arial" w:eastAsia="Arial" w:hAnsi="Arial"/>
                  <w:sz w:val="18"/>
                  <w:szCs w:val="18"/>
                  <w:b w:val="1"/>
                  <w:bCs w:val="1"/>
                  <w:u w:val="single" w:color="auto"/>
                  <w:color w:val="auto"/>
                </w:rPr>
                <w:t>PART II – OTHER INFORMATION</w:t>
              </w:r>
            </w:hyperlink>
          </w:p>
        </w:tc>
        <w:tc>
          <w:tcPr>
            <w:tcW w:w="980" w:type="dxa"/>
            <w:vAlign w:val="bottom"/>
          </w:tcPr>
          <w:p>
            <w:pPr>
              <w:spacing w:after="0"/>
              <w:rPr>
                <w:sz w:val="24"/>
                <w:szCs w:val="24"/>
                <w:color w:val="auto"/>
              </w:rPr>
            </w:pPr>
          </w:p>
        </w:tc>
      </w:tr>
      <w:tr>
        <w:trPr>
          <w:trHeight w:val="486"/>
        </w:trPr>
        <w:tc>
          <w:tcPr>
            <w:tcW w:w="800" w:type="dxa"/>
            <w:vAlign w:val="bottom"/>
            <w:gridSpan w:val="2"/>
          </w:tcPr>
          <w:p>
            <w:pPr>
              <w:spacing w:after="0"/>
              <w:rPr>
                <w:rFonts w:ascii="Arial" w:cs="Arial" w:eastAsia="Arial" w:hAnsi="Arial"/>
                <w:sz w:val="18"/>
                <w:szCs w:val="18"/>
                <w:u w:val="single" w:color="auto"/>
                <w:color w:val="auto"/>
              </w:rPr>
            </w:pPr>
            <w:hyperlink w:anchor="page47">
              <w:r>
                <w:rPr>
                  <w:rFonts w:ascii="Arial" w:cs="Arial" w:eastAsia="Arial" w:hAnsi="Arial"/>
                  <w:sz w:val="18"/>
                  <w:szCs w:val="18"/>
                  <w:u w:val="single" w:color="auto"/>
                  <w:color w:val="auto"/>
                </w:rPr>
                <w:t>Item 1.</w:t>
              </w:r>
            </w:hyperlink>
          </w:p>
        </w:tc>
        <w:tc>
          <w:tcPr>
            <w:tcW w:w="9400" w:type="dxa"/>
            <w:vAlign w:val="bottom"/>
            <w:gridSpan w:val="10"/>
          </w:tcPr>
          <w:p>
            <w:pPr>
              <w:spacing w:after="0"/>
              <w:rPr>
                <w:rFonts w:ascii="Arial" w:cs="Arial" w:eastAsia="Arial" w:hAnsi="Arial"/>
                <w:sz w:val="18"/>
                <w:szCs w:val="18"/>
                <w:u w:val="single" w:color="auto"/>
                <w:color w:val="auto"/>
              </w:rPr>
            </w:pPr>
            <w:hyperlink w:anchor="page47">
              <w:r>
                <w:rPr>
                  <w:rFonts w:ascii="Arial" w:cs="Arial" w:eastAsia="Arial" w:hAnsi="Arial"/>
                  <w:sz w:val="18"/>
                  <w:szCs w:val="18"/>
                  <w:u w:val="single" w:color="auto"/>
                  <w:color w:val="auto"/>
                </w:rPr>
                <w:t>Legal Proceedings</w:t>
              </w:r>
            </w:hyperlink>
          </w:p>
        </w:tc>
        <w:tc>
          <w:tcPr>
            <w:tcW w:w="98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tc>
      </w:tr>
      <w:tr>
        <w:trPr>
          <w:trHeight w:val="270"/>
        </w:trPr>
        <w:tc>
          <w:tcPr>
            <w:tcW w:w="800" w:type="dxa"/>
            <w:vAlign w:val="bottom"/>
            <w:gridSpan w:val="2"/>
          </w:tcPr>
          <w:p>
            <w:pPr>
              <w:spacing w:after="0"/>
              <w:rPr>
                <w:rFonts w:ascii="Arial" w:cs="Arial" w:eastAsia="Arial" w:hAnsi="Arial"/>
                <w:sz w:val="18"/>
                <w:szCs w:val="18"/>
                <w:color w:val="auto"/>
              </w:rPr>
            </w:pPr>
            <w:hyperlink w:anchor="page47">
              <w:r>
                <w:rPr>
                  <w:rFonts w:ascii="Arial" w:cs="Arial" w:eastAsia="Arial" w:hAnsi="Arial"/>
                  <w:sz w:val="18"/>
                  <w:szCs w:val="18"/>
                  <w:u w:val="single" w:color="auto"/>
                  <w:color w:val="auto"/>
                </w:rPr>
                <w:t>Item 1A</w:t>
              </w:r>
              <w:r>
                <w:rPr>
                  <w:rFonts w:ascii="Arial" w:cs="Arial" w:eastAsia="Arial" w:hAnsi="Arial"/>
                  <w:sz w:val="18"/>
                  <w:szCs w:val="18"/>
                  <w:color w:val="auto"/>
                </w:rPr>
                <w:t>.</w:t>
              </w:r>
            </w:hyperlink>
          </w:p>
        </w:tc>
        <w:tc>
          <w:tcPr>
            <w:tcW w:w="9400" w:type="dxa"/>
            <w:vAlign w:val="bottom"/>
            <w:gridSpan w:val="10"/>
          </w:tcPr>
          <w:p>
            <w:pPr>
              <w:spacing w:after="0"/>
              <w:rPr>
                <w:rFonts w:ascii="Arial" w:cs="Arial" w:eastAsia="Arial" w:hAnsi="Arial"/>
                <w:sz w:val="18"/>
                <w:szCs w:val="18"/>
                <w:u w:val="single" w:color="auto"/>
                <w:color w:val="auto"/>
              </w:rPr>
            </w:pPr>
            <w:hyperlink w:anchor="page47">
              <w:r>
                <w:rPr>
                  <w:rFonts w:ascii="Arial" w:cs="Arial" w:eastAsia="Arial" w:hAnsi="Arial"/>
                  <w:sz w:val="18"/>
                  <w:szCs w:val="18"/>
                  <w:u w:val="single" w:color="auto"/>
                  <w:color w:val="auto"/>
                </w:rPr>
                <w:t>Risk Factors</w:t>
              </w:r>
            </w:hyperlink>
          </w:p>
        </w:tc>
        <w:tc>
          <w:tcPr>
            <w:tcW w:w="98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tc>
      </w:tr>
      <w:tr>
        <w:trPr>
          <w:trHeight w:val="270"/>
        </w:trPr>
        <w:tc>
          <w:tcPr>
            <w:tcW w:w="800" w:type="dxa"/>
            <w:vAlign w:val="bottom"/>
            <w:gridSpan w:val="2"/>
          </w:tcPr>
          <w:p>
            <w:pPr>
              <w:spacing w:after="0"/>
              <w:rPr>
                <w:rFonts w:ascii="Arial" w:cs="Arial" w:eastAsia="Arial" w:hAnsi="Arial"/>
                <w:sz w:val="18"/>
                <w:szCs w:val="18"/>
                <w:u w:val="single" w:color="auto"/>
                <w:color w:val="auto"/>
              </w:rPr>
            </w:pPr>
            <w:hyperlink w:anchor="page49">
              <w:r>
                <w:rPr>
                  <w:rFonts w:ascii="Arial" w:cs="Arial" w:eastAsia="Arial" w:hAnsi="Arial"/>
                  <w:sz w:val="18"/>
                  <w:szCs w:val="18"/>
                  <w:u w:val="single" w:color="auto"/>
                  <w:color w:val="auto"/>
                </w:rPr>
                <w:t>Item 2.</w:t>
              </w:r>
            </w:hyperlink>
          </w:p>
        </w:tc>
        <w:tc>
          <w:tcPr>
            <w:tcW w:w="9400" w:type="dxa"/>
            <w:vAlign w:val="bottom"/>
            <w:gridSpan w:val="10"/>
          </w:tcPr>
          <w:p>
            <w:pPr>
              <w:spacing w:after="0"/>
              <w:rPr>
                <w:rFonts w:ascii="Arial" w:cs="Arial" w:eastAsia="Arial" w:hAnsi="Arial"/>
                <w:sz w:val="18"/>
                <w:szCs w:val="18"/>
                <w:u w:val="single" w:color="auto"/>
                <w:color w:val="auto"/>
              </w:rPr>
            </w:pPr>
            <w:hyperlink w:anchor="page49">
              <w:r>
                <w:rPr>
                  <w:rFonts w:ascii="Arial" w:cs="Arial" w:eastAsia="Arial" w:hAnsi="Arial"/>
                  <w:sz w:val="18"/>
                  <w:szCs w:val="18"/>
                  <w:u w:val="single" w:color="auto"/>
                  <w:color w:val="auto"/>
                </w:rPr>
                <w:t>Unregistered Sales of Equity Securities and Use of Proceeds</w:t>
              </w:r>
            </w:hyperlink>
          </w:p>
        </w:tc>
        <w:tc>
          <w:tcPr>
            <w:tcW w:w="98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47</w:t>
              </w:r>
            </w:hyperlink>
          </w:p>
        </w:tc>
      </w:tr>
      <w:tr>
        <w:trPr>
          <w:trHeight w:val="229"/>
        </w:trPr>
        <w:tc>
          <w:tcPr>
            <w:tcW w:w="8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00" w:type="dxa"/>
            <w:vAlign w:val="bottom"/>
            <w:gridSpan w:val="10"/>
          </w:tcPr>
          <w:p>
            <w:pPr>
              <w:spacing w:after="0"/>
              <w:rPr>
                <w:sz w:val="20"/>
                <w:szCs w:val="20"/>
                <w:color w:val="auto"/>
              </w:rPr>
            </w:pPr>
            <w:r>
              <w:rPr>
                <w:rFonts w:ascii="Arial" w:cs="Arial" w:eastAsia="Arial" w:hAnsi="Arial"/>
                <w:sz w:val="18"/>
                <w:szCs w:val="18"/>
                <w:color w:val="auto"/>
              </w:rPr>
              <w:t>Exhibits</w:t>
            </w:r>
          </w:p>
        </w:tc>
        <w:tc>
          <w:tcPr>
            <w:tcW w:w="98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tc>
      </w:tr>
      <w:tr>
        <w:trPr>
          <w:trHeight w:val="20"/>
        </w:trPr>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760" w:type="dxa"/>
            <w:vAlign w:val="bottom"/>
            <w:gridSpan w:val="9"/>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91"/>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0" w:type="dxa"/>
            <w:vAlign w:val="bottom"/>
            <w:gridSpan w:val="10"/>
          </w:tcPr>
          <w:p>
            <w:pPr>
              <w:spacing w:after="0"/>
              <w:rPr>
                <w:rFonts w:ascii="Arial" w:cs="Arial" w:eastAsia="Arial" w:hAnsi="Arial"/>
                <w:sz w:val="18"/>
                <w:szCs w:val="18"/>
                <w:u w:val="single" w:color="auto"/>
                <w:color w:val="auto"/>
              </w:rPr>
            </w:pPr>
            <w:hyperlink w:anchor="page51">
              <w:r>
                <w:rPr>
                  <w:rFonts w:ascii="Arial" w:cs="Arial" w:eastAsia="Arial" w:hAnsi="Arial"/>
                  <w:sz w:val="18"/>
                  <w:szCs w:val="18"/>
                  <w:u w:val="single" w:color="auto"/>
                  <w:color w:val="auto"/>
                </w:rPr>
                <w:t>Signatures</w:t>
              </w:r>
            </w:hyperlink>
          </w:p>
        </w:tc>
        <w:tc>
          <w:tcPr>
            <w:tcW w:w="980" w:type="dxa"/>
            <w:vAlign w:val="bottom"/>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49</w:t>
              </w:r>
            </w:hyperlink>
          </w:p>
        </w:tc>
      </w:tr>
    </w:tbl>
    <w:p>
      <w:pPr>
        <w:sectPr>
          <w:pgSz w:w="11900" w:h="16838" w:orient="portrait"/>
          <w:cols w:equalWidth="0" w:num="1">
            <w:col w:w="11180"/>
          </w:cols>
          <w:pgMar w:left="360" w:top="337"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20" w:type="dxa"/>
            <w:vAlign w:val="bottom"/>
          </w:tcPr>
          <w:p>
            <w:pPr>
              <w:ind w:left="4340"/>
              <w:spacing w:after="0"/>
              <w:rPr>
                <w:sz w:val="20"/>
                <w:szCs w:val="20"/>
                <w:color w:val="auto"/>
              </w:rPr>
            </w:pPr>
            <w:r>
              <w:rPr>
                <w:rFonts w:ascii="Arial" w:cs="Arial" w:eastAsia="Arial" w:hAnsi="Arial"/>
                <w:sz w:val="14"/>
                <w:szCs w:val="14"/>
                <w:b w:val="1"/>
                <w:bCs w:val="1"/>
                <w:color w:val="auto"/>
              </w:rPr>
              <w:t>(In thousands, except per share amounts)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7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ind w:left="220"/>
              <w:spacing w:after="0"/>
              <w:rPr>
                <w:sz w:val="20"/>
                <w:szCs w:val="20"/>
                <w:color w:val="auto"/>
              </w:rPr>
            </w:pPr>
            <w:r>
              <w:rPr>
                <w:rFonts w:ascii="Arial" w:cs="Arial" w:eastAsia="Arial" w:hAnsi="Arial"/>
                <w:sz w:val="15"/>
                <w:szCs w:val="15"/>
                <w:b w:val="1"/>
                <w:bCs w:val="1"/>
                <w:color w:val="auto"/>
              </w:rPr>
              <w:t>(Unaudited)</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2020</w:t>
            </w:r>
          </w:p>
        </w:tc>
        <w:tc>
          <w:tcPr>
            <w:tcW w:w="120" w:type="dxa"/>
            <w:vAlign w:val="bottom"/>
          </w:tcPr>
          <w:p>
            <w:pPr>
              <w:spacing w:after="0"/>
              <w:rPr>
                <w:sz w:val="23"/>
                <w:szCs w:val="23"/>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b w:val="1"/>
                <w:bCs w:val="1"/>
                <w:color w:val="auto"/>
                <w:w w:val="91"/>
              </w:rPr>
              <w:t>December 31, 2019</w:t>
            </w:r>
          </w:p>
        </w:tc>
        <w:tc>
          <w:tcPr>
            <w:tcW w:w="0" w:type="dxa"/>
            <w:vAlign w:val="bottom"/>
          </w:tcPr>
          <w:p>
            <w:pPr>
              <w:spacing w:after="0"/>
              <w:rPr>
                <w:sz w:val="1"/>
                <w:szCs w:val="1"/>
                <w:color w:val="auto"/>
              </w:rPr>
            </w:pPr>
          </w:p>
        </w:tc>
      </w:tr>
      <w:tr>
        <w:trPr>
          <w:trHeight w:val="253"/>
        </w:trPr>
        <w:tc>
          <w:tcPr>
            <w:tcW w:w="782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Land</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1,418,985</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1,414,279</w:t>
            </w:r>
          </w:p>
        </w:tc>
        <w:tc>
          <w:tcPr>
            <w:tcW w:w="0" w:type="dxa"/>
            <w:vAlign w:val="bottom"/>
          </w:tcPr>
          <w:p>
            <w:pPr>
              <w:spacing w:after="0"/>
              <w:rPr>
                <w:sz w:val="1"/>
                <w:szCs w:val="1"/>
                <w:color w:val="auto"/>
              </w:rPr>
            </w:pPr>
          </w:p>
        </w:tc>
      </w:tr>
      <w:tr>
        <w:trPr>
          <w:trHeight w:val="266"/>
        </w:trPr>
        <w:tc>
          <w:tcPr>
            <w:tcW w:w="7820" w:type="dxa"/>
            <w:vAlign w:val="bottom"/>
          </w:tcPr>
          <w:p>
            <w:pPr>
              <w:ind w:left="280"/>
              <w:spacing w:after="0"/>
              <w:rPr>
                <w:sz w:val="20"/>
                <w:szCs w:val="20"/>
                <w:color w:val="auto"/>
              </w:rPr>
            </w:pPr>
            <w:r>
              <w:rPr>
                <w:rFonts w:ascii="Arial" w:cs="Arial" w:eastAsia="Arial" w:hAnsi="Arial"/>
                <w:sz w:val="15"/>
                <w:szCs w:val="15"/>
                <w:color w:val="auto"/>
              </w:rPr>
              <w:t>Land improvements and buildings</w:t>
            </w:r>
          </w:p>
        </w:tc>
        <w:tc>
          <w:tcPr>
            <w:tcW w:w="200" w:type="dxa"/>
            <w:vAlign w:val="bottom"/>
          </w:tcPr>
          <w:p>
            <w:pPr>
              <w:spacing w:after="0"/>
              <w:rPr>
                <w:sz w:val="23"/>
                <w:szCs w:val="23"/>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6,697,376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6,595,272</w:t>
            </w:r>
          </w:p>
        </w:tc>
        <w:tc>
          <w:tcPr>
            <w:tcW w:w="0" w:type="dxa"/>
            <w:vAlign w:val="bottom"/>
          </w:tcPr>
          <w:p>
            <w:pPr>
              <w:spacing w:after="0"/>
              <w:rPr>
                <w:sz w:val="1"/>
                <w:szCs w:val="1"/>
                <w:color w:val="auto"/>
              </w:rPr>
            </w:pPr>
          </w:p>
        </w:tc>
      </w:tr>
      <w:tr>
        <w:trPr>
          <w:trHeight w:val="274"/>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Rental homes and improvements</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640,709</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627,175</w:t>
            </w:r>
          </w:p>
        </w:tc>
        <w:tc>
          <w:tcPr>
            <w:tcW w:w="0" w:type="dxa"/>
            <w:vAlign w:val="bottom"/>
          </w:tcPr>
          <w:p>
            <w:pPr>
              <w:spacing w:after="0"/>
              <w:rPr>
                <w:sz w:val="1"/>
                <w:szCs w:val="1"/>
                <w:color w:val="auto"/>
              </w:rPr>
            </w:pPr>
          </w:p>
        </w:tc>
      </w:tr>
      <w:tr>
        <w:trPr>
          <w:trHeight w:val="266"/>
        </w:trPr>
        <w:tc>
          <w:tcPr>
            <w:tcW w:w="782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Furniture, fixtures and equipment</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285,922</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282,874</w:t>
            </w:r>
          </w:p>
        </w:tc>
        <w:tc>
          <w:tcPr>
            <w:tcW w:w="0" w:type="dxa"/>
            <w:vAlign w:val="bottom"/>
          </w:tcPr>
          <w:p>
            <w:pPr>
              <w:spacing w:after="0"/>
              <w:rPr>
                <w:sz w:val="1"/>
                <w:szCs w:val="1"/>
                <w:color w:val="auto"/>
              </w:rPr>
            </w:pPr>
          </w:p>
        </w:tc>
      </w:tr>
      <w:tr>
        <w:trPr>
          <w:trHeight w:val="254"/>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Investment property</w:t>
            </w: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9,042,992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8,919,600</w:t>
            </w:r>
          </w:p>
        </w:tc>
        <w:tc>
          <w:tcPr>
            <w:tcW w:w="0" w:type="dxa"/>
            <w:vAlign w:val="bottom"/>
          </w:tcPr>
          <w:p>
            <w:pPr>
              <w:spacing w:after="0"/>
              <w:rPr>
                <w:sz w:val="1"/>
                <w:szCs w:val="1"/>
                <w:color w:val="auto"/>
              </w:rPr>
            </w:pPr>
          </w:p>
        </w:tc>
      </w:tr>
      <w:tr>
        <w:trPr>
          <w:trHeight w:val="266"/>
        </w:trPr>
        <w:tc>
          <w:tcPr>
            <w:tcW w:w="782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Accumulated depreciation</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(1,754,591)</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(1,686,980)</w:t>
            </w:r>
          </w:p>
        </w:tc>
        <w:tc>
          <w:tcPr>
            <w:tcW w:w="0" w:type="dxa"/>
            <w:vAlign w:val="bottom"/>
          </w:tcPr>
          <w:p>
            <w:pPr>
              <w:spacing w:after="0"/>
              <w:rPr>
                <w:sz w:val="1"/>
                <w:szCs w:val="1"/>
                <w:color w:val="auto"/>
              </w:rPr>
            </w:pPr>
          </w:p>
        </w:tc>
      </w:tr>
      <w:tr>
        <w:trPr>
          <w:trHeight w:val="160"/>
        </w:trPr>
        <w:tc>
          <w:tcPr>
            <w:tcW w:w="7820" w:type="dxa"/>
            <w:vAlign w:val="bottom"/>
            <w:shd w:val="clear" w:color="auto" w:fill="CCEEFF"/>
          </w:tcPr>
          <w:p>
            <w:pPr>
              <w:ind w:left="280"/>
              <w:spacing w:after="0" w:line="160" w:lineRule="exact"/>
              <w:rPr>
                <w:sz w:val="20"/>
                <w:szCs w:val="20"/>
                <w:color w:val="auto"/>
              </w:rPr>
            </w:pPr>
            <w:r>
              <w:rPr>
                <w:rFonts w:ascii="Arial" w:cs="Arial" w:eastAsia="Arial" w:hAnsi="Arial"/>
                <w:sz w:val="15"/>
                <w:szCs w:val="15"/>
                <w:color w:val="auto"/>
                <w:w w:val="95"/>
              </w:rPr>
              <w:t>Investment property, net (including $350,019 and $344,300 for consolidated VIEs at March 31, 2020 and December 31,</w:t>
            </w: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2019; see Note 7)</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7,288,401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7,232,620</w:t>
            </w:r>
          </w:p>
        </w:tc>
        <w:tc>
          <w:tcPr>
            <w:tcW w:w="0" w:type="dxa"/>
            <w:vAlign w:val="bottom"/>
          </w:tcPr>
          <w:p>
            <w:pPr>
              <w:spacing w:after="0"/>
              <w:rPr>
                <w:sz w:val="1"/>
                <w:szCs w:val="1"/>
                <w:color w:val="auto"/>
              </w:rPr>
            </w:pPr>
          </w:p>
        </w:tc>
      </w:tr>
      <w:tr>
        <w:trPr>
          <w:trHeight w:val="266"/>
        </w:trPr>
        <w:tc>
          <w:tcPr>
            <w:tcW w:w="7820" w:type="dxa"/>
            <w:vAlign w:val="bottom"/>
          </w:tcPr>
          <w:p>
            <w:pPr>
              <w:ind w:left="280"/>
              <w:spacing w:after="0"/>
              <w:rPr>
                <w:sz w:val="20"/>
                <w:szCs w:val="20"/>
                <w:color w:val="auto"/>
              </w:rPr>
            </w:pPr>
            <w:r>
              <w:rPr>
                <w:rFonts w:ascii="Arial" w:cs="Arial" w:eastAsia="Arial" w:hAnsi="Arial"/>
                <w:sz w:val="15"/>
                <w:szCs w:val="15"/>
                <w:color w:val="auto"/>
              </w:rPr>
              <w:t>Cash, cash equivalents and restricted cash</w:t>
            </w:r>
          </w:p>
        </w:tc>
        <w:tc>
          <w:tcPr>
            <w:tcW w:w="200" w:type="dxa"/>
            <w:vAlign w:val="bottom"/>
          </w:tcPr>
          <w:p>
            <w:pPr>
              <w:spacing w:after="0"/>
              <w:rPr>
                <w:sz w:val="23"/>
                <w:szCs w:val="23"/>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394,740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34,830</w:t>
            </w:r>
          </w:p>
        </w:tc>
        <w:tc>
          <w:tcPr>
            <w:tcW w:w="0" w:type="dxa"/>
            <w:vAlign w:val="bottom"/>
          </w:tcPr>
          <w:p>
            <w:pPr>
              <w:spacing w:after="0"/>
              <w:rPr>
                <w:sz w:val="1"/>
                <w:szCs w:val="1"/>
                <w:color w:val="auto"/>
              </w:rPr>
            </w:pPr>
          </w:p>
        </w:tc>
      </w:tr>
      <w:tr>
        <w:trPr>
          <w:trHeight w:val="274"/>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Marketable securities; (see Note 14)</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55,602</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94,727</w:t>
            </w:r>
          </w:p>
        </w:tc>
        <w:tc>
          <w:tcPr>
            <w:tcW w:w="0" w:type="dxa"/>
            <w:vAlign w:val="bottom"/>
          </w:tcPr>
          <w:p>
            <w:pPr>
              <w:spacing w:after="0"/>
              <w:rPr>
                <w:sz w:val="1"/>
                <w:szCs w:val="1"/>
                <w:color w:val="auto"/>
              </w:rPr>
            </w:pPr>
          </w:p>
        </w:tc>
      </w:tr>
      <w:tr>
        <w:trPr>
          <w:trHeight w:val="266"/>
        </w:trPr>
        <w:tc>
          <w:tcPr>
            <w:tcW w:w="7820" w:type="dxa"/>
            <w:vAlign w:val="bottom"/>
          </w:tcPr>
          <w:p>
            <w:pPr>
              <w:ind w:left="280"/>
              <w:spacing w:after="0"/>
              <w:rPr>
                <w:sz w:val="20"/>
                <w:szCs w:val="20"/>
                <w:color w:val="auto"/>
              </w:rPr>
            </w:pPr>
            <w:r>
              <w:rPr>
                <w:rFonts w:ascii="Arial" w:cs="Arial" w:eastAsia="Arial" w:hAnsi="Arial"/>
                <w:sz w:val="15"/>
                <w:szCs w:val="15"/>
                <w:color w:val="auto"/>
              </w:rPr>
              <w:t>Inventory of manufactured homes</w:t>
            </w:r>
          </w:p>
        </w:tc>
        <w:tc>
          <w:tcPr>
            <w:tcW w:w="200" w:type="dxa"/>
            <w:vAlign w:val="bottom"/>
          </w:tcPr>
          <w:p>
            <w:pPr>
              <w:spacing w:after="0"/>
              <w:rPr>
                <w:sz w:val="23"/>
                <w:szCs w:val="23"/>
                <w:color w:val="auto"/>
              </w:rPr>
            </w:pPr>
          </w:p>
        </w:tc>
        <w:tc>
          <w:tcPr>
            <w:tcW w:w="1380" w:type="dxa"/>
            <w:vAlign w:val="bottom"/>
          </w:tcPr>
          <w:p>
            <w:pPr>
              <w:jc w:val="right"/>
              <w:ind w:right="24"/>
              <w:spacing w:after="0"/>
              <w:rPr>
                <w:sz w:val="20"/>
                <w:szCs w:val="20"/>
                <w:color w:val="auto"/>
              </w:rPr>
            </w:pPr>
            <w:r>
              <w:rPr>
                <w:rFonts w:ascii="Arial" w:cs="Arial" w:eastAsia="Arial" w:hAnsi="Arial"/>
                <w:sz w:val="15"/>
                <w:szCs w:val="15"/>
                <w:color w:val="auto"/>
              </w:rPr>
              <w:t>64,436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62,061</w:t>
            </w:r>
          </w:p>
        </w:tc>
        <w:tc>
          <w:tcPr>
            <w:tcW w:w="0" w:type="dxa"/>
            <w:vAlign w:val="bottom"/>
          </w:tcPr>
          <w:p>
            <w:pPr>
              <w:spacing w:after="0"/>
              <w:rPr>
                <w:sz w:val="1"/>
                <w:szCs w:val="1"/>
                <w:color w:val="auto"/>
              </w:rPr>
            </w:pPr>
          </w:p>
        </w:tc>
      </w:tr>
      <w:tr>
        <w:trPr>
          <w:trHeight w:val="274"/>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Notes and other receivables, net</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186,692</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157,926</w:t>
            </w:r>
          </w:p>
        </w:tc>
        <w:tc>
          <w:tcPr>
            <w:tcW w:w="0" w:type="dxa"/>
            <w:vAlign w:val="bottom"/>
          </w:tcPr>
          <w:p>
            <w:pPr>
              <w:spacing w:after="0"/>
              <w:rPr>
                <w:sz w:val="1"/>
                <w:szCs w:val="1"/>
                <w:color w:val="auto"/>
              </w:rPr>
            </w:pPr>
          </w:p>
        </w:tc>
      </w:tr>
      <w:tr>
        <w:trPr>
          <w:trHeight w:val="176"/>
        </w:trPr>
        <w:tc>
          <w:tcPr>
            <w:tcW w:w="7820" w:type="dxa"/>
            <w:vAlign w:val="bottom"/>
          </w:tcPr>
          <w:p>
            <w:pPr>
              <w:ind w:left="280"/>
              <w:spacing w:after="0"/>
              <w:rPr>
                <w:sz w:val="20"/>
                <w:szCs w:val="20"/>
                <w:color w:val="auto"/>
              </w:rPr>
            </w:pPr>
            <w:r>
              <w:rPr>
                <w:rFonts w:ascii="Arial" w:cs="Arial" w:eastAsia="Arial" w:hAnsi="Arial"/>
                <w:sz w:val="15"/>
                <w:szCs w:val="15"/>
                <w:color w:val="auto"/>
                <w:w w:val="94"/>
              </w:rPr>
              <w:t>Other assets, net (including $23,751 and $23,894 for consolidated VIEs at March 31, 2020 and December 31, 2019; see</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Note 7)</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219,176</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219,896</w:t>
            </w:r>
          </w:p>
        </w:tc>
        <w:tc>
          <w:tcPr>
            <w:tcW w:w="0" w:type="dxa"/>
            <w:vAlign w:val="bottom"/>
          </w:tcPr>
          <w:p>
            <w:pPr>
              <w:spacing w:after="0"/>
              <w:rPr>
                <w:sz w:val="1"/>
                <w:szCs w:val="1"/>
                <w:color w:val="auto"/>
              </w:rPr>
            </w:pPr>
          </w:p>
        </w:tc>
      </w:tr>
      <w:tr>
        <w:trPr>
          <w:trHeight w:val="241"/>
        </w:trPr>
        <w:tc>
          <w:tcPr>
            <w:tcW w:w="7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8,209,047</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7,802,060</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7"/>
              </w:rPr>
              <w:t>Mortgage loans payable (including $46,727 and $46,993 for consolidated VIEs at March 31, 2020 and December 31,</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2019; see Note 7)</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3,273,808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3,180,592</w:t>
            </w:r>
          </w:p>
        </w:tc>
        <w:tc>
          <w:tcPr>
            <w:tcW w:w="0" w:type="dxa"/>
            <w:vAlign w:val="bottom"/>
          </w:tcPr>
          <w:p>
            <w:pPr>
              <w:spacing w:after="0"/>
              <w:rPr>
                <w:sz w:val="1"/>
                <w:szCs w:val="1"/>
                <w:color w:val="auto"/>
              </w:rPr>
            </w:pPr>
          </w:p>
        </w:tc>
      </w:tr>
      <w:tr>
        <w:trPr>
          <w:trHeight w:val="176"/>
        </w:trPr>
        <w:tc>
          <w:tcPr>
            <w:tcW w:w="7820" w:type="dxa"/>
            <w:vAlign w:val="bottom"/>
          </w:tcPr>
          <w:p>
            <w:pPr>
              <w:ind w:left="280"/>
              <w:spacing w:after="0"/>
              <w:rPr>
                <w:sz w:val="20"/>
                <w:szCs w:val="20"/>
                <w:color w:val="auto"/>
              </w:rPr>
            </w:pPr>
            <w:r>
              <w:rPr>
                <w:rFonts w:ascii="Arial" w:cs="Arial" w:eastAsia="Arial" w:hAnsi="Arial"/>
                <w:sz w:val="15"/>
                <w:szCs w:val="15"/>
                <w:color w:val="auto"/>
                <w:w w:val="95"/>
              </w:rPr>
              <w:t>Preferred Equity - Sun NG RV Resorts LLC - mandatorily redeemable (fully attributable to consolidated VIEs; see Note</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tcPr>
          <w:p>
            <w:pPr>
              <w:ind w:left="280"/>
              <w:spacing w:after="0"/>
              <w:rPr>
                <w:sz w:val="20"/>
                <w:szCs w:val="20"/>
                <w:color w:val="auto"/>
              </w:rPr>
            </w:pPr>
            <w:r>
              <w:rPr>
                <w:rFonts w:ascii="Arial" w:cs="Arial" w:eastAsia="Arial" w:hAnsi="Arial"/>
                <w:sz w:val="15"/>
                <w:szCs w:val="15"/>
                <w:color w:val="auto"/>
              </w:rPr>
              <w:t>7)</w:t>
            </w:r>
          </w:p>
        </w:tc>
        <w:tc>
          <w:tcPr>
            <w:tcW w:w="200" w:type="dxa"/>
            <w:vAlign w:val="bottom"/>
          </w:tcPr>
          <w:p>
            <w:pPr>
              <w:spacing w:after="0"/>
              <w:rPr>
                <w:sz w:val="17"/>
                <w:szCs w:val="17"/>
                <w:color w:val="auto"/>
              </w:rPr>
            </w:pPr>
          </w:p>
        </w:tc>
        <w:tc>
          <w:tcPr>
            <w:tcW w:w="1380" w:type="dxa"/>
            <w:vAlign w:val="bottom"/>
          </w:tcPr>
          <w:p>
            <w:pPr>
              <w:jc w:val="right"/>
              <w:ind w:right="24"/>
              <w:spacing w:after="0"/>
              <w:rPr>
                <w:sz w:val="20"/>
                <w:szCs w:val="20"/>
                <w:color w:val="auto"/>
              </w:rPr>
            </w:pPr>
            <w:r>
              <w:rPr>
                <w:rFonts w:ascii="Arial" w:cs="Arial" w:eastAsia="Arial" w:hAnsi="Arial"/>
                <w:sz w:val="15"/>
                <w:szCs w:val="15"/>
                <w:color w:val="auto"/>
              </w:rPr>
              <w:t>35,249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35,249</w:t>
            </w:r>
          </w:p>
        </w:tc>
        <w:tc>
          <w:tcPr>
            <w:tcW w:w="0" w:type="dxa"/>
            <w:vAlign w:val="bottom"/>
          </w:tcPr>
          <w:p>
            <w:pPr>
              <w:spacing w:after="0"/>
              <w:rPr>
                <w:sz w:val="1"/>
                <w:szCs w:val="1"/>
                <w:color w:val="auto"/>
              </w:rPr>
            </w:pPr>
          </w:p>
        </w:tc>
      </w:tr>
      <w:tr>
        <w:trPr>
          <w:trHeight w:val="274"/>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Preferred OP units - mandatorily redeemable</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34,663</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34,663</w:t>
            </w:r>
          </w:p>
        </w:tc>
        <w:tc>
          <w:tcPr>
            <w:tcW w:w="0" w:type="dxa"/>
            <w:vAlign w:val="bottom"/>
          </w:tcPr>
          <w:p>
            <w:pPr>
              <w:spacing w:after="0"/>
              <w:rPr>
                <w:sz w:val="1"/>
                <w:szCs w:val="1"/>
                <w:color w:val="auto"/>
              </w:rPr>
            </w:pPr>
          </w:p>
        </w:tc>
      </w:tr>
      <w:tr>
        <w:trPr>
          <w:trHeight w:val="266"/>
        </w:trPr>
        <w:tc>
          <w:tcPr>
            <w:tcW w:w="7820" w:type="dxa"/>
            <w:vAlign w:val="bottom"/>
          </w:tcPr>
          <w:p>
            <w:pPr>
              <w:ind w:left="280"/>
              <w:spacing w:after="0"/>
              <w:rPr>
                <w:sz w:val="20"/>
                <w:szCs w:val="20"/>
                <w:color w:val="auto"/>
              </w:rPr>
            </w:pPr>
            <w:r>
              <w:rPr>
                <w:rFonts w:ascii="Arial" w:cs="Arial" w:eastAsia="Arial" w:hAnsi="Arial"/>
                <w:sz w:val="15"/>
                <w:szCs w:val="15"/>
                <w:color w:val="auto"/>
              </w:rPr>
              <w:t>Lines of credit</w:t>
            </w:r>
          </w:p>
        </w:tc>
        <w:tc>
          <w:tcPr>
            <w:tcW w:w="200" w:type="dxa"/>
            <w:vAlign w:val="bottom"/>
          </w:tcPr>
          <w:p>
            <w:pPr>
              <w:spacing w:after="0"/>
              <w:rPr>
                <w:sz w:val="23"/>
                <w:szCs w:val="23"/>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582,774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183,898</w:t>
            </w:r>
          </w:p>
        </w:tc>
        <w:tc>
          <w:tcPr>
            <w:tcW w:w="0" w:type="dxa"/>
            <w:vAlign w:val="bottom"/>
          </w:tcPr>
          <w:p>
            <w:pPr>
              <w:spacing w:after="0"/>
              <w:rPr>
                <w:sz w:val="1"/>
                <w:szCs w:val="1"/>
                <w:color w:val="auto"/>
              </w:rPr>
            </w:pPr>
          </w:p>
        </w:tc>
      </w:tr>
      <w:tr>
        <w:trPr>
          <w:trHeight w:val="274"/>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Distributions payable</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75,636</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71,704</w:t>
            </w:r>
          </w:p>
        </w:tc>
        <w:tc>
          <w:tcPr>
            <w:tcW w:w="0" w:type="dxa"/>
            <w:vAlign w:val="bottom"/>
          </w:tcPr>
          <w:p>
            <w:pPr>
              <w:spacing w:after="0"/>
              <w:rPr>
                <w:sz w:val="1"/>
                <w:szCs w:val="1"/>
                <w:color w:val="auto"/>
              </w:rPr>
            </w:pPr>
          </w:p>
        </w:tc>
      </w:tr>
      <w:tr>
        <w:trPr>
          <w:trHeight w:val="266"/>
        </w:trPr>
        <w:tc>
          <w:tcPr>
            <w:tcW w:w="7820" w:type="dxa"/>
            <w:vAlign w:val="bottom"/>
          </w:tcPr>
          <w:p>
            <w:pPr>
              <w:ind w:left="280"/>
              <w:spacing w:after="0"/>
              <w:rPr>
                <w:sz w:val="20"/>
                <w:szCs w:val="20"/>
                <w:color w:val="auto"/>
              </w:rPr>
            </w:pPr>
            <w:r>
              <w:rPr>
                <w:rFonts w:ascii="Arial" w:cs="Arial" w:eastAsia="Arial" w:hAnsi="Arial"/>
                <w:sz w:val="15"/>
                <w:szCs w:val="15"/>
                <w:color w:val="auto"/>
              </w:rPr>
              <w:t>Advanced reservation deposits and rent</w:t>
            </w:r>
          </w:p>
        </w:tc>
        <w:tc>
          <w:tcPr>
            <w:tcW w:w="200" w:type="dxa"/>
            <w:vAlign w:val="bottom"/>
          </w:tcPr>
          <w:p>
            <w:pPr>
              <w:spacing w:after="0"/>
              <w:rPr>
                <w:sz w:val="23"/>
                <w:szCs w:val="23"/>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151,144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133,420</w:t>
            </w:r>
          </w:p>
        </w:tc>
        <w:tc>
          <w:tcPr>
            <w:tcW w:w="0" w:type="dxa"/>
            <w:vAlign w:val="bottom"/>
          </w:tcPr>
          <w:p>
            <w:pPr>
              <w:spacing w:after="0"/>
              <w:rPr>
                <w:sz w:val="1"/>
                <w:szCs w:val="1"/>
                <w:color w:val="auto"/>
              </w:rPr>
            </w:pPr>
          </w:p>
        </w:tc>
      </w:tr>
      <w:tr>
        <w:trPr>
          <w:trHeight w:val="274"/>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Accrued expenses and accounts payable</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110,512</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127,289</w:t>
            </w:r>
          </w:p>
        </w:tc>
        <w:tc>
          <w:tcPr>
            <w:tcW w:w="0" w:type="dxa"/>
            <w:vAlign w:val="bottom"/>
          </w:tcPr>
          <w:p>
            <w:pPr>
              <w:spacing w:after="0"/>
              <w:rPr>
                <w:sz w:val="1"/>
                <w:szCs w:val="1"/>
                <w:color w:val="auto"/>
              </w:rPr>
            </w:pPr>
          </w:p>
        </w:tc>
      </w:tr>
      <w:tr>
        <w:trPr>
          <w:trHeight w:val="176"/>
        </w:trPr>
        <w:tc>
          <w:tcPr>
            <w:tcW w:w="7820" w:type="dxa"/>
            <w:vAlign w:val="bottom"/>
          </w:tcPr>
          <w:p>
            <w:pPr>
              <w:ind w:left="280"/>
              <w:spacing w:after="0"/>
              <w:rPr>
                <w:sz w:val="20"/>
                <w:szCs w:val="20"/>
                <w:color w:val="auto"/>
              </w:rPr>
            </w:pPr>
            <w:r>
              <w:rPr>
                <w:rFonts w:ascii="Arial" w:cs="Arial" w:eastAsia="Arial" w:hAnsi="Arial"/>
                <w:sz w:val="15"/>
                <w:szCs w:val="15"/>
                <w:color w:val="auto"/>
                <w:w w:val="96"/>
              </w:rPr>
              <w:t>Other liabilities (including $19,604 and $13,631 for consolidated VIEs at March 31, 2020 and December 31, 2019; see</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Note 7)</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82,341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81,289</w:t>
            </w:r>
          </w:p>
        </w:tc>
        <w:tc>
          <w:tcPr>
            <w:tcW w:w="0" w:type="dxa"/>
            <w:vAlign w:val="bottom"/>
          </w:tcPr>
          <w:p>
            <w:pPr>
              <w:spacing w:after="0"/>
              <w:rPr>
                <w:sz w:val="1"/>
                <w:szCs w:val="1"/>
                <w:color w:val="auto"/>
              </w:rPr>
            </w:pPr>
          </w:p>
        </w:tc>
      </w:tr>
      <w:tr>
        <w:trPr>
          <w:trHeight w:val="254"/>
        </w:trPr>
        <w:tc>
          <w:tcPr>
            <w:tcW w:w="7820" w:type="dxa"/>
            <w:vAlign w:val="bottom"/>
            <w:shd w:val="clear" w:color="auto" w:fill="CCEEFF"/>
          </w:tcPr>
          <w:p>
            <w:pPr>
              <w:ind w:left="48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4,346,127</w:t>
            </w:r>
          </w:p>
        </w:tc>
        <w:tc>
          <w:tcPr>
            <w:tcW w:w="2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3,848,104</w:t>
            </w:r>
          </w:p>
        </w:tc>
        <w:tc>
          <w:tcPr>
            <w:tcW w:w="0" w:type="dxa"/>
            <w:vAlign w:val="bottom"/>
          </w:tcPr>
          <w:p>
            <w:pPr>
              <w:spacing w:after="0"/>
              <w:rPr>
                <w:sz w:val="1"/>
                <w:szCs w:val="1"/>
                <w:color w:val="auto"/>
              </w:rPr>
            </w:pPr>
          </w:p>
        </w:tc>
      </w:tr>
      <w:tr>
        <w:trPr>
          <w:trHeight w:val="260"/>
        </w:trPr>
        <w:tc>
          <w:tcPr>
            <w:tcW w:w="7820" w:type="dxa"/>
            <w:vAlign w:val="bottom"/>
          </w:tcPr>
          <w:p>
            <w:pPr>
              <w:ind w:left="280"/>
              <w:spacing w:after="0"/>
              <w:rPr>
                <w:sz w:val="20"/>
                <w:szCs w:val="20"/>
                <w:color w:val="auto"/>
              </w:rPr>
            </w:pPr>
            <w:r>
              <w:rPr>
                <w:rFonts w:ascii="Arial" w:cs="Arial" w:eastAsia="Arial" w:hAnsi="Arial"/>
                <w:sz w:val="15"/>
                <w:szCs w:val="15"/>
                <w:color w:val="auto"/>
              </w:rPr>
              <w:t>Commitments and contingencies (see Note 15)</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Series D preferred OP units</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50,387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50,913</w:t>
            </w:r>
          </w:p>
        </w:tc>
        <w:tc>
          <w:tcPr>
            <w:tcW w:w="0" w:type="dxa"/>
            <w:vAlign w:val="bottom"/>
          </w:tcPr>
          <w:p>
            <w:pPr>
              <w:spacing w:after="0"/>
              <w:rPr>
                <w:sz w:val="1"/>
                <w:szCs w:val="1"/>
                <w:color w:val="auto"/>
              </w:rPr>
            </w:pPr>
          </w:p>
        </w:tc>
      </w:tr>
      <w:tr>
        <w:trPr>
          <w:trHeight w:val="266"/>
        </w:trPr>
        <w:tc>
          <w:tcPr>
            <w:tcW w:w="7820" w:type="dxa"/>
            <w:vAlign w:val="bottom"/>
          </w:tcPr>
          <w:p>
            <w:pPr>
              <w:ind w:left="280"/>
              <w:spacing w:after="0"/>
              <w:rPr>
                <w:sz w:val="20"/>
                <w:szCs w:val="20"/>
                <w:color w:val="auto"/>
              </w:rPr>
            </w:pPr>
            <w:r>
              <w:rPr>
                <w:rFonts w:ascii="Arial" w:cs="Arial" w:eastAsia="Arial" w:hAnsi="Arial"/>
                <w:sz w:val="15"/>
                <w:szCs w:val="15"/>
                <w:color w:val="auto"/>
              </w:rPr>
              <w:t>Equity interests - NG Sun LLC and NG Whitewater (fully attributable to consolidated VIEs; see Note 7)</w:t>
            </w:r>
          </w:p>
        </w:tc>
        <w:tc>
          <w:tcPr>
            <w:tcW w:w="200" w:type="dxa"/>
            <w:vAlign w:val="bottom"/>
          </w:tcPr>
          <w:p>
            <w:pPr>
              <w:spacing w:after="0"/>
              <w:rPr>
                <w:sz w:val="23"/>
                <w:szCs w:val="23"/>
                <w:color w:val="auto"/>
              </w:rPr>
            </w:pPr>
          </w:p>
        </w:tc>
        <w:tc>
          <w:tcPr>
            <w:tcW w:w="1380" w:type="dxa"/>
            <w:vAlign w:val="bottom"/>
          </w:tcPr>
          <w:p>
            <w:pPr>
              <w:jc w:val="right"/>
              <w:ind w:right="24"/>
              <w:spacing w:after="0"/>
              <w:rPr>
                <w:sz w:val="20"/>
                <w:szCs w:val="20"/>
                <w:color w:val="auto"/>
              </w:rPr>
            </w:pPr>
            <w:r>
              <w:rPr>
                <w:rFonts w:ascii="Arial" w:cs="Arial" w:eastAsia="Arial" w:hAnsi="Arial"/>
                <w:sz w:val="15"/>
                <w:szCs w:val="15"/>
                <w:color w:val="auto"/>
              </w:rPr>
              <w:t>26,063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27,091</w:t>
            </w:r>
          </w:p>
        </w:tc>
        <w:tc>
          <w:tcPr>
            <w:tcW w:w="0" w:type="dxa"/>
            <w:vAlign w:val="bottom"/>
          </w:tcPr>
          <w:p>
            <w:pPr>
              <w:spacing w:after="0"/>
              <w:rPr>
                <w:sz w:val="1"/>
                <w:szCs w:val="1"/>
                <w:color w:val="auto"/>
              </w:rPr>
            </w:pPr>
          </w:p>
        </w:tc>
      </w:tr>
      <w:tr>
        <w:trPr>
          <w:trHeight w:val="274"/>
        </w:trPr>
        <w:tc>
          <w:tcPr>
            <w:tcW w:w="78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7820" w:type="dxa"/>
            <w:vAlign w:val="bottom"/>
          </w:tcPr>
          <w:p>
            <w:pPr>
              <w:ind w:left="280"/>
              <w:spacing w:after="0"/>
              <w:rPr>
                <w:sz w:val="20"/>
                <w:szCs w:val="20"/>
                <w:color w:val="auto"/>
              </w:rPr>
            </w:pPr>
            <w:r>
              <w:rPr>
                <w:rFonts w:ascii="Arial" w:cs="Arial" w:eastAsia="Arial" w:hAnsi="Arial"/>
                <w:sz w:val="15"/>
                <w:szCs w:val="15"/>
                <w:color w:val="auto"/>
                <w:w w:val="92"/>
              </w:rPr>
              <w:t>Common stock, $0.01 par value. Authorized: 180,000 shares; Issued and outstanding: 93,327 March 31, 2020 and 93,180</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tcPr>
          <w:p>
            <w:pPr>
              <w:ind w:left="280"/>
              <w:spacing w:after="0"/>
              <w:rPr>
                <w:sz w:val="20"/>
                <w:szCs w:val="20"/>
                <w:color w:val="auto"/>
              </w:rPr>
            </w:pPr>
            <w:r>
              <w:rPr>
                <w:rFonts w:ascii="Arial" w:cs="Arial" w:eastAsia="Arial" w:hAnsi="Arial"/>
                <w:sz w:val="15"/>
                <w:szCs w:val="15"/>
                <w:color w:val="auto"/>
              </w:rPr>
              <w:t>December 31, 2019</w:t>
            </w:r>
          </w:p>
        </w:tc>
        <w:tc>
          <w:tcPr>
            <w:tcW w:w="200" w:type="dxa"/>
            <w:vAlign w:val="bottom"/>
          </w:tcPr>
          <w:p>
            <w:pPr>
              <w:spacing w:after="0"/>
              <w:rPr>
                <w:sz w:val="17"/>
                <w:szCs w:val="17"/>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933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932</w:t>
            </w:r>
          </w:p>
        </w:tc>
        <w:tc>
          <w:tcPr>
            <w:tcW w:w="0" w:type="dxa"/>
            <w:vAlign w:val="bottom"/>
          </w:tcPr>
          <w:p>
            <w:pPr>
              <w:spacing w:after="0"/>
              <w:rPr>
                <w:sz w:val="1"/>
                <w:szCs w:val="1"/>
                <w:color w:val="auto"/>
              </w:rPr>
            </w:pPr>
          </w:p>
        </w:tc>
      </w:tr>
      <w:tr>
        <w:trPr>
          <w:trHeight w:val="274"/>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5,211,678</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5,213,264</w:t>
            </w:r>
          </w:p>
        </w:tc>
        <w:tc>
          <w:tcPr>
            <w:tcW w:w="0" w:type="dxa"/>
            <w:vAlign w:val="bottom"/>
          </w:tcPr>
          <w:p>
            <w:pPr>
              <w:spacing w:after="0"/>
              <w:rPr>
                <w:sz w:val="1"/>
                <w:szCs w:val="1"/>
                <w:color w:val="auto"/>
              </w:rPr>
            </w:pPr>
          </w:p>
        </w:tc>
      </w:tr>
      <w:tr>
        <w:trPr>
          <w:trHeight w:val="266"/>
        </w:trPr>
        <w:tc>
          <w:tcPr>
            <w:tcW w:w="7820" w:type="dxa"/>
            <w:vAlign w:val="bottom"/>
          </w:tcPr>
          <w:p>
            <w:pPr>
              <w:ind w:left="280"/>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(8,325)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(1,331)</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Distributions in excess of accumulated earnings</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(1,479,424)</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(1,393,141)</w:t>
            </w:r>
          </w:p>
        </w:tc>
        <w:tc>
          <w:tcPr>
            <w:tcW w:w="0" w:type="dxa"/>
            <w:vAlign w:val="bottom"/>
          </w:tcPr>
          <w:p>
            <w:pPr>
              <w:spacing w:after="0"/>
              <w:rPr>
                <w:sz w:val="1"/>
                <w:szCs w:val="1"/>
                <w:color w:val="auto"/>
              </w:rPr>
            </w:pPr>
          </w:p>
        </w:tc>
      </w:tr>
      <w:tr>
        <w:trPr>
          <w:trHeight w:val="250"/>
        </w:trPr>
        <w:tc>
          <w:tcPr>
            <w:tcW w:w="7820" w:type="dxa"/>
            <w:vAlign w:val="bottom"/>
          </w:tcPr>
          <w:p>
            <w:pPr>
              <w:ind w:left="380"/>
              <w:spacing w:after="0"/>
              <w:rPr>
                <w:sz w:val="20"/>
                <w:szCs w:val="20"/>
                <w:color w:val="auto"/>
              </w:rPr>
            </w:pPr>
            <w:r>
              <w:rPr>
                <w:rFonts w:ascii="Arial" w:cs="Arial" w:eastAsia="Arial" w:hAnsi="Arial"/>
                <w:sz w:val="15"/>
                <w:szCs w:val="15"/>
                <w:color w:val="auto"/>
              </w:rPr>
              <w:t>Total Sun Communities, Inc. stockholders' equity</w:t>
            </w:r>
          </w:p>
        </w:tc>
        <w:tc>
          <w:tcPr>
            <w:tcW w:w="200" w:type="dxa"/>
            <w:vAlign w:val="bottom"/>
          </w:tcPr>
          <w:p>
            <w:pPr>
              <w:spacing w:after="0"/>
              <w:rPr>
                <w:sz w:val="21"/>
                <w:szCs w:val="21"/>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3,724,862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3,819,724</w:t>
            </w:r>
          </w:p>
        </w:tc>
        <w:tc>
          <w:tcPr>
            <w:tcW w:w="0" w:type="dxa"/>
            <w:vAlign w:val="bottom"/>
          </w:tcPr>
          <w:p>
            <w:pPr>
              <w:spacing w:after="0"/>
              <w:rPr>
                <w:sz w:val="1"/>
                <w:szCs w:val="1"/>
                <w:color w:val="auto"/>
              </w:rPr>
            </w:pPr>
          </w:p>
        </w:tc>
      </w:tr>
      <w:tr>
        <w:trPr>
          <w:trHeight w:val="274"/>
        </w:trPr>
        <w:tc>
          <w:tcPr>
            <w:tcW w:w="7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Noncontrolling interests</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820" w:type="dxa"/>
            <w:vAlign w:val="bottom"/>
          </w:tcPr>
          <w:p>
            <w:pPr>
              <w:ind w:left="380"/>
              <w:spacing w:after="0"/>
              <w:rPr>
                <w:sz w:val="20"/>
                <w:szCs w:val="20"/>
                <w:color w:val="auto"/>
              </w:rPr>
            </w:pPr>
            <w:r>
              <w:rPr>
                <w:rFonts w:ascii="Arial" w:cs="Arial" w:eastAsia="Arial" w:hAnsi="Arial"/>
                <w:sz w:val="15"/>
                <w:szCs w:val="15"/>
                <w:color w:val="auto"/>
              </w:rPr>
              <w:t>Common and preferred OP units</w:t>
            </w:r>
          </w:p>
        </w:tc>
        <w:tc>
          <w:tcPr>
            <w:tcW w:w="200" w:type="dxa"/>
            <w:vAlign w:val="bottom"/>
          </w:tcPr>
          <w:p>
            <w:pPr>
              <w:spacing w:after="0"/>
              <w:rPr>
                <w:sz w:val="23"/>
                <w:szCs w:val="23"/>
                <w:color w:val="auto"/>
              </w:rPr>
            </w:pPr>
          </w:p>
        </w:tc>
        <w:tc>
          <w:tcPr>
            <w:tcW w:w="1380" w:type="dxa"/>
            <w:vAlign w:val="bottom"/>
          </w:tcPr>
          <w:p>
            <w:pPr>
              <w:jc w:val="right"/>
              <w:ind w:right="24"/>
              <w:spacing w:after="0"/>
              <w:rPr>
                <w:sz w:val="20"/>
                <w:szCs w:val="20"/>
                <w:color w:val="auto"/>
              </w:rPr>
            </w:pPr>
            <w:r>
              <w:rPr>
                <w:rFonts w:ascii="Arial" w:cs="Arial" w:eastAsia="Arial" w:hAnsi="Arial"/>
                <w:sz w:val="15"/>
                <w:szCs w:val="15"/>
                <w:color w:val="auto"/>
              </w:rPr>
              <w:t>52,234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47,686</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Consolidated VIEs</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9,374</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8,542</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Total noncontrolling interests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61,608</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56,228</w:t>
            </w:r>
          </w:p>
        </w:tc>
        <w:tc>
          <w:tcPr>
            <w:tcW w:w="0" w:type="dxa"/>
            <w:vAlign w:val="bottom"/>
          </w:tcPr>
          <w:p>
            <w:pPr>
              <w:spacing w:after="0"/>
              <w:rPr>
                <w:sz w:val="1"/>
                <w:szCs w:val="1"/>
                <w:color w:val="auto"/>
              </w:rPr>
            </w:pPr>
          </w:p>
        </w:tc>
      </w:tr>
      <w:tr>
        <w:trPr>
          <w:trHeight w:val="250"/>
        </w:trPr>
        <w:tc>
          <w:tcPr>
            <w:tcW w:w="7820" w:type="dxa"/>
            <w:vAlign w:val="bottom"/>
            <w:shd w:val="clear" w:color="auto" w:fill="CCEEFF"/>
          </w:tcPr>
          <w:p>
            <w:pPr>
              <w:ind w:left="480"/>
              <w:spacing w:after="0"/>
              <w:rPr>
                <w:sz w:val="20"/>
                <w:szCs w:val="20"/>
                <w:color w:val="auto"/>
              </w:rPr>
            </w:pPr>
            <w:r>
              <w:rPr>
                <w:rFonts w:ascii="Arial" w:cs="Arial" w:eastAsia="Arial" w:hAnsi="Arial"/>
                <w:sz w:val="15"/>
                <w:szCs w:val="15"/>
                <w:b w:val="1"/>
                <w:bCs w:val="1"/>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3,786,470</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3,875,952</w:t>
            </w:r>
          </w:p>
        </w:tc>
        <w:tc>
          <w:tcPr>
            <w:tcW w:w="0" w:type="dxa"/>
            <w:vAlign w:val="bottom"/>
          </w:tcPr>
          <w:p>
            <w:pPr>
              <w:spacing w:after="0"/>
              <w:rPr>
                <w:sz w:val="1"/>
                <w:szCs w:val="1"/>
                <w:color w:val="auto"/>
              </w:rPr>
            </w:pPr>
          </w:p>
        </w:tc>
      </w:tr>
      <w:tr>
        <w:trPr>
          <w:trHeight w:val="240"/>
        </w:trPr>
        <w:tc>
          <w:tcPr>
            <w:tcW w:w="7820" w:type="dxa"/>
            <w:vAlign w:val="bottom"/>
          </w:tcPr>
          <w:p>
            <w:pPr>
              <w:ind w:left="280"/>
              <w:spacing w:after="0"/>
              <w:rPr>
                <w:sz w:val="20"/>
                <w:szCs w:val="20"/>
                <w:color w:val="auto"/>
              </w:rPr>
            </w:pPr>
            <w:r>
              <w:rPr>
                <w:rFonts w:ascii="Arial" w:cs="Arial" w:eastAsia="Arial" w:hAnsi="Arial"/>
                <w:sz w:val="15"/>
                <w:szCs w:val="15"/>
                <w:b w:val="1"/>
                <w:bCs w:val="1"/>
                <w:color w:val="auto"/>
              </w:rPr>
              <w:t>Total Liabilities, Temporary Equity and Stockholders' Equity</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8,209,047</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7,802,060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20"/>
          </w:cols>
          <w:pgMar w:left="320" w:top="337" w:right="3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20"/>
          </w:cols>
          <w:pgMar w:left="320" w:top="337" w:right="35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5"/>
                <w:szCs w:val="15"/>
                <w:b w:val="1"/>
                <w:bCs w:val="1"/>
                <w:color w:val="auto"/>
              </w:rPr>
              <w:t>Three Months Ended</w:t>
            </w:r>
          </w:p>
        </w:tc>
      </w:tr>
      <w:tr>
        <w:trPr>
          <w:trHeight w:val="261"/>
        </w:trPr>
        <w:tc>
          <w:tcPr>
            <w:tcW w:w="8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2020</w:t>
            </w:r>
          </w:p>
        </w:tc>
        <w:tc>
          <w:tcPr>
            <w:tcW w:w="140" w:type="dxa"/>
            <w:vAlign w:val="bottom"/>
          </w:tcPr>
          <w:p>
            <w:pPr>
              <w:spacing w:after="0"/>
              <w:rPr>
                <w:sz w:val="22"/>
                <w:szCs w:val="22"/>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March 31, 2019</w:t>
            </w:r>
          </w:p>
        </w:tc>
      </w:tr>
      <w:tr>
        <w:trPr>
          <w:trHeight w:val="266"/>
        </w:trPr>
        <w:tc>
          <w:tcPr>
            <w:tcW w:w="8440" w:type="dxa"/>
            <w:vAlign w:val="bottom"/>
          </w:tcPr>
          <w:p>
            <w:pPr>
              <w:ind w:left="40"/>
              <w:spacing w:after="0"/>
              <w:rPr>
                <w:sz w:val="20"/>
                <w:szCs w:val="20"/>
                <w:color w:val="auto"/>
              </w:rPr>
            </w:pPr>
            <w:r>
              <w:rPr>
                <w:rFonts w:ascii="Arial" w:cs="Arial" w:eastAsia="Arial" w:hAnsi="Arial"/>
                <w:sz w:val="15"/>
                <w:szCs w:val="15"/>
                <w:b w:val="1"/>
                <w:bCs w:val="1"/>
                <w:color w:val="auto"/>
              </w:rPr>
              <w:t>Revenues</w:t>
            </w: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real property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237,785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215,083</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Revenue from home sales</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40,587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39,618</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Rental home revenue</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15,472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13,971</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Ancillary revenue</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10,195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10,178</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 income</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4,800</w:t>
            </w:r>
          </w:p>
        </w:tc>
      </w:tr>
      <w:tr>
        <w:trPr>
          <w:trHeight w:val="266"/>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Brokerage commissions and other revenues, net</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3,913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3,680</w:t>
            </w:r>
          </w:p>
        </w:tc>
      </w:tr>
      <w:tr>
        <w:trPr>
          <w:trHeight w:val="254"/>
        </w:trPr>
        <w:tc>
          <w:tcPr>
            <w:tcW w:w="8440" w:type="dxa"/>
            <w:vAlign w:val="bottom"/>
            <w:shd w:val="clear" w:color="auto" w:fill="CCEEFF"/>
          </w:tcPr>
          <w:p>
            <w:pPr>
              <w:ind w:left="380"/>
              <w:spacing w:after="0"/>
              <w:rPr>
                <w:sz w:val="20"/>
                <w:szCs w:val="20"/>
                <w:color w:val="auto"/>
              </w:rPr>
            </w:pPr>
            <w:r>
              <w:rPr>
                <w:rFonts w:ascii="Arial" w:cs="Arial" w:eastAsia="Arial" w:hAnsi="Arial"/>
                <w:sz w:val="15"/>
                <w:szCs w:val="15"/>
                <w:b w:val="1"/>
                <w:bCs w:val="1"/>
                <w:color w:val="auto"/>
              </w:rPr>
              <w:t>Total Revenues</w:t>
            </w: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310,302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287,330</w:t>
            </w:r>
          </w:p>
        </w:tc>
      </w:tr>
      <w:tr>
        <w:trPr>
          <w:trHeight w:val="259"/>
        </w:trPr>
        <w:tc>
          <w:tcPr>
            <w:tcW w:w="8440" w:type="dxa"/>
            <w:vAlign w:val="bottom"/>
          </w:tcPr>
          <w:p>
            <w:pPr>
              <w:ind w:left="40"/>
              <w:spacing w:after="0"/>
              <w:rPr>
                <w:sz w:val="20"/>
                <w:szCs w:val="20"/>
                <w:color w:val="auto"/>
              </w:rPr>
            </w:pPr>
            <w:r>
              <w:rPr>
                <w:rFonts w:ascii="Arial" w:cs="Arial" w:eastAsia="Arial" w:hAnsi="Arial"/>
                <w:sz w:val="15"/>
                <w:szCs w:val="15"/>
                <w:b w:val="1"/>
                <w:bCs w:val="1"/>
                <w:color w:val="auto"/>
              </w:rPr>
              <w:t>Expenses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Property operating and maintenance</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64,057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57,909</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Real estate taxes</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17,176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15,330</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Cost of home sales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30,032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29,277</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Rental home operating and maintenance</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5,494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4,832</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Ancillary expenses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7,482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7,101</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Home selling expenses</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3,992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3,324</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25,517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21,887</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Catastrophic weather-related charges, net</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606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782</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83,689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76,556</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3,279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653</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 expense</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32,416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34,014</w:t>
            </w:r>
          </w:p>
        </w:tc>
      </w:tr>
      <w:tr>
        <w:trPr>
          <w:trHeight w:val="266"/>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Interest on mandatorily redeemable preferred OP units / equity</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1,041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1,094</w:t>
            </w:r>
          </w:p>
        </w:tc>
      </w:tr>
      <w:tr>
        <w:trPr>
          <w:trHeight w:val="254"/>
        </w:trPr>
        <w:tc>
          <w:tcPr>
            <w:tcW w:w="8440" w:type="dxa"/>
            <w:vAlign w:val="bottom"/>
            <w:shd w:val="clear" w:color="auto" w:fill="CCEEFF"/>
          </w:tcPr>
          <w:p>
            <w:pPr>
              <w:ind w:left="380"/>
              <w:spacing w:after="0"/>
              <w:rPr>
                <w:sz w:val="20"/>
                <w:szCs w:val="20"/>
                <w:color w:val="auto"/>
              </w:rPr>
            </w:pPr>
            <w:r>
              <w:rPr>
                <w:rFonts w:ascii="Arial" w:cs="Arial" w:eastAsia="Arial" w:hAnsi="Arial"/>
                <w:sz w:val="15"/>
                <w:szCs w:val="15"/>
                <w:b w:val="1"/>
                <w:bCs w:val="1"/>
                <w:color w:val="auto"/>
              </w:rPr>
              <w:t>Total Expenses</w:t>
            </w: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274,781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252,759</w:t>
            </w:r>
          </w:p>
        </w:tc>
      </w:tr>
      <w:tr>
        <w:trPr>
          <w:trHeight w:val="246"/>
        </w:trPr>
        <w:tc>
          <w:tcPr>
            <w:tcW w:w="8440" w:type="dxa"/>
            <w:vAlign w:val="bottom"/>
          </w:tcPr>
          <w:p>
            <w:pPr>
              <w:ind w:left="40"/>
              <w:spacing w:after="0"/>
              <w:rPr>
                <w:sz w:val="20"/>
                <w:szCs w:val="20"/>
                <w:color w:val="auto"/>
              </w:rPr>
            </w:pPr>
            <w:r>
              <w:rPr>
                <w:rFonts w:ascii="Arial" w:cs="Arial" w:eastAsia="Arial" w:hAnsi="Arial"/>
                <w:sz w:val="15"/>
                <w:szCs w:val="15"/>
                <w:b w:val="1"/>
                <w:bCs w:val="1"/>
                <w:color w:val="auto"/>
              </w:rPr>
              <w:t>Income Before Other Items</w:t>
            </w:r>
          </w:p>
        </w:tc>
        <w:tc>
          <w:tcPr>
            <w:tcW w:w="140" w:type="dxa"/>
            <w:vAlign w:val="bottom"/>
          </w:tcPr>
          <w:p>
            <w:pPr>
              <w:spacing w:after="0"/>
              <w:rPr>
                <w:sz w:val="21"/>
                <w:szCs w:val="21"/>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35,521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34,571</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Gain / (loss) on remeasurement of marketable securities (see Note 14)</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267</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Gain / (loss) on foreign currency translation</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(17,479)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1,965</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expense, net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Loss on remeasurement of notes receivable (see Note 4)</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nonconsolidated affiliates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388</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Loss on remeasurement of investment in nonconsolidated affiliates (see Note 6)</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Current tax expense</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r>
      <w:tr>
        <w:trPr>
          <w:trHeight w:val="266"/>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Deferred tax benefit</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217</w:t>
            </w:r>
          </w:p>
        </w:tc>
      </w:tr>
      <w:tr>
        <w:trPr>
          <w:trHeight w:val="213"/>
        </w:trPr>
        <w:tc>
          <w:tcPr>
            <w:tcW w:w="84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 (Loss)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37,127</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Less: Preferred return to preferred OP units / equity</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1,570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1,323</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Less: Income / (loss) attributable to noncontrolling interests</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1,041</w:t>
            </w:r>
          </w:p>
        </w:tc>
      </w:tr>
      <w:tr>
        <w:trPr>
          <w:trHeight w:val="206"/>
        </w:trPr>
        <w:tc>
          <w:tcPr>
            <w:tcW w:w="8440" w:type="dxa"/>
            <w:vAlign w:val="bottom"/>
          </w:tcPr>
          <w:p>
            <w:pPr>
              <w:ind w:left="40"/>
              <w:spacing w:after="0"/>
              <w:rPr>
                <w:sz w:val="20"/>
                <w:szCs w:val="20"/>
                <w:color w:val="auto"/>
              </w:rPr>
            </w:pPr>
            <w:r>
              <w:rPr>
                <w:rFonts w:ascii="Arial" w:cs="Arial" w:eastAsia="Arial" w:hAnsi="Arial"/>
                <w:sz w:val="15"/>
                <w:szCs w:val="15"/>
                <w:b w:val="1"/>
                <w:bCs w:val="1"/>
                <w:color w:val="auto"/>
              </w:rPr>
              <w:t>Net Income / (Loss) Attributable to Sun Communities, Inc.</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(16,086)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34,763</w:t>
            </w:r>
          </w:p>
        </w:tc>
      </w:tr>
      <w:tr>
        <w:trPr>
          <w:trHeight w:val="270"/>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Less: Preferred stock distribution</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432</w:t>
            </w:r>
          </w:p>
        </w:tc>
      </w:tr>
      <w:tr>
        <w:trPr>
          <w:trHeight w:val="25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Net Income / (Loss) Attributable to Sun Communities, Inc.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(16,086)</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34,331</w:t>
            </w:r>
          </w:p>
        </w:tc>
      </w:tr>
      <w:tr>
        <w:trPr>
          <w:trHeight w:val="304"/>
        </w:trPr>
        <w:tc>
          <w:tcPr>
            <w:tcW w:w="8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6"/>
        </w:trPr>
        <w:tc>
          <w:tcPr>
            <w:tcW w:w="8440" w:type="dxa"/>
            <w:vAlign w:val="bottom"/>
          </w:tcPr>
          <w:p>
            <w:pPr>
              <w:ind w:left="40"/>
              <w:spacing w:after="0"/>
              <w:rPr>
                <w:sz w:val="20"/>
                <w:szCs w:val="20"/>
                <w:color w:val="auto"/>
              </w:rPr>
            </w:pPr>
            <w:r>
              <w:rPr>
                <w:rFonts w:ascii="Arial" w:cs="Arial" w:eastAsia="Arial" w:hAnsi="Arial"/>
                <w:sz w:val="15"/>
                <w:szCs w:val="15"/>
                <w:color w:val="auto"/>
              </w:rPr>
              <w:t>Weighted average common shares outstanding - basic</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92,410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85,520</w:t>
            </w:r>
          </w:p>
        </w:tc>
      </w:tr>
      <w:tr>
        <w:trPr>
          <w:trHeight w:val="274"/>
        </w:trPr>
        <w:tc>
          <w:tcPr>
            <w:tcW w:w="8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Weighted average common shares outstanding - diluted</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92,935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86,033</w:t>
            </w:r>
          </w:p>
        </w:tc>
      </w:tr>
      <w:tr>
        <w:trPr>
          <w:trHeight w:val="324"/>
        </w:trPr>
        <w:tc>
          <w:tcPr>
            <w:tcW w:w="8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Basic earnings / (loss) per share (see Note 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0.40</w:t>
            </w:r>
          </w:p>
        </w:tc>
      </w:tr>
      <w:tr>
        <w:trPr>
          <w:trHeight w:val="262"/>
        </w:trPr>
        <w:tc>
          <w:tcPr>
            <w:tcW w:w="8440" w:type="dxa"/>
            <w:vAlign w:val="bottom"/>
          </w:tcPr>
          <w:p>
            <w:pPr>
              <w:ind w:left="40"/>
              <w:spacing w:after="0"/>
              <w:rPr>
                <w:sz w:val="20"/>
                <w:szCs w:val="20"/>
                <w:color w:val="auto"/>
              </w:rPr>
            </w:pPr>
            <w:r>
              <w:rPr>
                <w:rFonts w:ascii="Arial" w:cs="Arial" w:eastAsia="Arial" w:hAnsi="Arial"/>
                <w:sz w:val="15"/>
                <w:szCs w:val="15"/>
                <w:color w:val="auto"/>
              </w:rPr>
              <w:t>Diluted earnings / (loss) per share (see Note 13)</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(0.17)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0.40</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337"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thousands) (Unaudited)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5"/>
                <w:szCs w:val="15"/>
                <w:b w:val="1"/>
                <w:bCs w:val="1"/>
                <w:color w:val="auto"/>
              </w:rPr>
              <w:t>Three Months Ended</w:t>
            </w:r>
          </w:p>
        </w:tc>
      </w:tr>
      <w:tr>
        <w:trPr>
          <w:trHeight w:val="263"/>
        </w:trPr>
        <w:tc>
          <w:tcPr>
            <w:tcW w:w="8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2020</w:t>
            </w:r>
          </w:p>
        </w:tc>
        <w:tc>
          <w:tcPr>
            <w:tcW w:w="140" w:type="dxa"/>
            <w:vAlign w:val="bottom"/>
          </w:tcPr>
          <w:p>
            <w:pPr>
              <w:spacing w:after="0"/>
              <w:rPr>
                <w:sz w:val="22"/>
                <w:szCs w:val="22"/>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March 31, 2019</w:t>
            </w:r>
          </w:p>
        </w:tc>
      </w:tr>
      <w:tr>
        <w:trPr>
          <w:trHeight w:val="254"/>
        </w:trPr>
        <w:tc>
          <w:tcPr>
            <w:tcW w:w="8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 /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(15,478)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37,127</w:t>
            </w:r>
          </w:p>
        </w:tc>
      </w:tr>
      <w:tr>
        <w:trPr>
          <w:trHeight w:val="266"/>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Foreign currency translation gain / (loss) adjustment</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1,575</w:t>
            </w:r>
          </w:p>
        </w:tc>
      </w:tr>
      <w:tr>
        <w:trPr>
          <w:trHeight w:val="254"/>
        </w:trPr>
        <w:tc>
          <w:tcPr>
            <w:tcW w:w="8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Comprehensive Income / (Loss)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38,702</w:t>
            </w:r>
          </w:p>
        </w:tc>
      </w:tr>
      <w:tr>
        <w:trPr>
          <w:trHeight w:val="266"/>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Less: Comprehensive Income / (Loss) attributable to noncontrolling interests</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1,268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(1,118)</w:t>
            </w:r>
          </w:p>
        </w:tc>
      </w:tr>
      <w:tr>
        <w:trPr>
          <w:trHeight w:val="241"/>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Comprehensive Income / (Loss) attributable to Sun Communities,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37,584</w:t>
            </w: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0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61"/>
        </w:trPr>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2020</w:t>
            </w:r>
          </w:p>
        </w:tc>
        <w:tc>
          <w:tcPr>
            <w:tcW w:w="200" w:type="dxa"/>
            <w:vAlign w:val="bottom"/>
          </w:tcPr>
          <w:p>
            <w:pPr>
              <w:spacing w:after="0"/>
              <w:rPr>
                <w:sz w:val="22"/>
                <w:szCs w:val="22"/>
                <w:color w:val="auto"/>
              </w:rPr>
            </w:pPr>
          </w:p>
        </w:tc>
        <w:tc>
          <w:tcPr>
            <w:tcW w:w="1360" w:type="dxa"/>
            <w:vAlign w:val="bottom"/>
          </w:tcPr>
          <w:p>
            <w:pPr>
              <w:jc w:val="right"/>
              <w:ind w:right="204"/>
              <w:spacing w:after="0"/>
              <w:rPr>
                <w:sz w:val="20"/>
                <w:szCs w:val="20"/>
                <w:color w:val="auto"/>
              </w:rPr>
            </w:pPr>
            <w:r>
              <w:rPr>
                <w:rFonts w:ascii="Arial" w:cs="Arial" w:eastAsia="Arial" w:hAnsi="Arial"/>
                <w:sz w:val="15"/>
                <w:szCs w:val="15"/>
                <w:b w:val="1"/>
                <w:bCs w:val="1"/>
                <w:color w:val="auto"/>
                <w:w w:val="99"/>
              </w:rPr>
              <w:t>March 31, 2019</w:t>
            </w:r>
          </w:p>
        </w:tc>
        <w:tc>
          <w:tcPr>
            <w:tcW w:w="0" w:type="dxa"/>
            <w:vAlign w:val="bottom"/>
          </w:tcPr>
          <w:p>
            <w:pPr>
              <w:spacing w:after="0"/>
              <w:rPr>
                <w:sz w:val="1"/>
                <w:szCs w:val="1"/>
                <w:color w:val="auto"/>
              </w:rPr>
            </w:pPr>
          </w:p>
        </w:tc>
      </w:tr>
      <w:tr>
        <w:trPr>
          <w:trHeight w:val="253"/>
        </w:trPr>
        <w:tc>
          <w:tcPr>
            <w:tcW w:w="7880" w:type="dxa"/>
            <w:vAlign w:val="bottom"/>
            <w:gridSpan w:val="3"/>
          </w:tcPr>
          <w:p>
            <w:pPr>
              <w:ind w:left="40"/>
              <w:spacing w:after="0"/>
              <w:rPr>
                <w:sz w:val="20"/>
                <w:szCs w:val="20"/>
                <w:color w:val="auto"/>
              </w:rPr>
            </w:pPr>
            <w:r>
              <w:rPr>
                <w:rFonts w:ascii="Arial" w:cs="Arial" w:eastAsia="Arial" w:hAnsi="Arial"/>
                <w:sz w:val="15"/>
                <w:szCs w:val="15"/>
                <w:b w:val="1"/>
                <w:bCs w:val="1"/>
                <w:color w:val="auto"/>
              </w:rPr>
              <w:t>Operating Activities</w:t>
            </w: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118,513</w:t>
            </w:r>
          </w:p>
        </w:tc>
        <w:tc>
          <w:tcPr>
            <w:tcW w:w="2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103,141</w:t>
            </w:r>
          </w:p>
        </w:tc>
        <w:tc>
          <w:tcPr>
            <w:tcW w:w="0" w:type="dxa"/>
            <w:vAlign w:val="bottom"/>
          </w:tcPr>
          <w:p>
            <w:pPr>
              <w:spacing w:after="0"/>
              <w:rPr>
                <w:sz w:val="1"/>
                <w:szCs w:val="1"/>
                <w:color w:val="auto"/>
              </w:rPr>
            </w:pPr>
          </w:p>
        </w:tc>
      </w:tr>
      <w:tr>
        <w:trPr>
          <w:trHeight w:val="246"/>
        </w:trPr>
        <w:tc>
          <w:tcPr>
            <w:tcW w:w="7880" w:type="dxa"/>
            <w:vAlign w:val="bottom"/>
            <w:gridSpan w:val="3"/>
          </w:tcPr>
          <w:p>
            <w:pPr>
              <w:ind w:left="40"/>
              <w:spacing w:after="0"/>
              <w:rPr>
                <w:sz w:val="20"/>
                <w:szCs w:val="20"/>
                <w:color w:val="auto"/>
              </w:rPr>
            </w:pPr>
            <w:r>
              <w:rPr>
                <w:rFonts w:ascii="Arial" w:cs="Arial" w:eastAsia="Arial" w:hAnsi="Arial"/>
                <w:sz w:val="15"/>
                <w:szCs w:val="15"/>
                <w:b w:val="1"/>
                <w:bCs w:val="1"/>
                <w:color w:val="auto"/>
              </w:rPr>
              <w:t>Investing Activities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2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6120" w:type="dxa"/>
            <w:vAlign w:val="bottom"/>
            <w:vMerge w:val="restart"/>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(132,759)</w:t>
            </w: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(114,804)</w:t>
            </w:r>
          </w:p>
        </w:tc>
        <w:tc>
          <w:tcPr>
            <w:tcW w:w="0" w:type="dxa"/>
            <w:vAlign w:val="bottom"/>
          </w:tcPr>
          <w:p>
            <w:pPr>
              <w:spacing w:after="0"/>
              <w:rPr>
                <w:sz w:val="1"/>
                <w:szCs w:val="1"/>
                <w:color w:val="auto"/>
              </w:rPr>
            </w:pPr>
          </w:p>
        </w:tc>
      </w:tr>
      <w:tr>
        <w:trPr>
          <w:trHeight w:val="169"/>
        </w:trPr>
        <w:tc>
          <w:tcPr>
            <w:tcW w:w="2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D2F0FF"/>
          </w:tcPr>
          <w:p>
            <w:pPr>
              <w:spacing w:after="0" w:line="162" w:lineRule="exact"/>
              <w:rPr>
                <w:sz w:val="20"/>
                <w:szCs w:val="20"/>
                <w:color w:val="auto"/>
              </w:rPr>
            </w:pPr>
            <w:r>
              <w:rPr>
                <w:rFonts w:ascii="Arial" w:cs="Arial" w:eastAsia="Arial" w:hAnsi="Arial"/>
                <w:sz w:val="15"/>
                <w:szCs w:val="15"/>
                <w:color w:val="auto"/>
                <w:w w:val="91"/>
                <w:shd w:val="clear" w:color="auto" w:fill="D2F0FF"/>
              </w:rPr>
              <w:t>Investment in properties</w:t>
            </w:r>
          </w:p>
        </w:tc>
        <w:tc>
          <w:tcPr>
            <w:tcW w:w="612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600" w:type="dxa"/>
            <w:vAlign w:val="bottom"/>
            <w:gridSpan w:val="2"/>
          </w:tcPr>
          <w:p>
            <w:pPr>
              <w:spacing w:after="0"/>
              <w:rPr>
                <w:sz w:val="20"/>
                <w:szCs w:val="20"/>
                <w:color w:val="auto"/>
              </w:rPr>
            </w:pPr>
            <w:r>
              <w:rPr>
                <w:rFonts w:ascii="Arial" w:cs="Arial" w:eastAsia="Arial" w:hAnsi="Arial"/>
                <w:sz w:val="15"/>
                <w:szCs w:val="15"/>
                <w:color w:val="auto"/>
              </w:rPr>
              <w:t>Acquisitions of properties, net of cash acquired</w:t>
            </w:r>
          </w:p>
        </w:tc>
        <w:tc>
          <w:tcPr>
            <w:tcW w:w="200" w:type="dxa"/>
            <w:vAlign w:val="bottom"/>
          </w:tcPr>
          <w:p>
            <w:pPr>
              <w:spacing w:after="0"/>
              <w:rPr>
                <w:sz w:val="23"/>
                <w:szCs w:val="23"/>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(24,439)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(279,302)</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Proceeds from dispositions of assets and depreciated homes, net</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12,612</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11,788</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600" w:type="dxa"/>
            <w:vAlign w:val="bottom"/>
            <w:gridSpan w:val="2"/>
          </w:tcPr>
          <w:p>
            <w:pPr>
              <w:spacing w:after="0"/>
              <w:rPr>
                <w:sz w:val="20"/>
                <w:szCs w:val="20"/>
                <w:color w:val="auto"/>
              </w:rPr>
            </w:pPr>
            <w:r>
              <w:rPr>
                <w:rFonts w:ascii="Arial" w:cs="Arial" w:eastAsia="Arial" w:hAnsi="Arial"/>
                <w:sz w:val="15"/>
                <w:szCs w:val="15"/>
                <w:color w:val="auto"/>
              </w:rPr>
              <w:t>Issuance of notes and other receivables</w:t>
            </w:r>
          </w:p>
        </w:tc>
        <w:tc>
          <w:tcPr>
            <w:tcW w:w="200" w:type="dxa"/>
            <w:vAlign w:val="bottom"/>
          </w:tcPr>
          <w:p>
            <w:pPr>
              <w:spacing w:after="0"/>
              <w:rPr>
                <w:sz w:val="23"/>
                <w:szCs w:val="23"/>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(19,903)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Repayments of notes and other receivables</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854</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1,030</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600" w:type="dxa"/>
            <w:vAlign w:val="bottom"/>
            <w:gridSpan w:val="2"/>
          </w:tcPr>
          <w:p>
            <w:pPr>
              <w:spacing w:after="0"/>
              <w:rPr>
                <w:sz w:val="20"/>
                <w:szCs w:val="20"/>
                <w:color w:val="auto"/>
              </w:rPr>
            </w:pPr>
            <w:r>
              <w:rPr>
                <w:rFonts w:ascii="Arial" w:cs="Arial" w:eastAsia="Arial" w:hAnsi="Arial"/>
                <w:sz w:val="15"/>
                <w:szCs w:val="15"/>
                <w:color w:val="auto"/>
              </w:rPr>
              <w:t>Investments in nonconsolidated affiliates</w:t>
            </w:r>
          </w:p>
        </w:tc>
        <w:tc>
          <w:tcPr>
            <w:tcW w:w="200" w:type="dxa"/>
            <w:vAlign w:val="bottom"/>
          </w:tcPr>
          <w:p>
            <w:pPr>
              <w:spacing w:after="0"/>
              <w:rPr>
                <w:sz w:val="23"/>
                <w:szCs w:val="23"/>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(6,970)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(11,416)</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Distributions from nonconsolidated affiliates</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1,275</w:t>
            </w:r>
          </w:p>
        </w:tc>
        <w:tc>
          <w:tcPr>
            <w:tcW w:w="2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246"/>
        </w:trPr>
        <w:tc>
          <w:tcPr>
            <w:tcW w:w="280" w:type="dxa"/>
            <w:vAlign w:val="bottom"/>
            <w:tcBorders>
              <w:bottom w:val="single" w:sz="8" w:color="CCEEFF"/>
            </w:tcBorders>
          </w:tcPr>
          <w:p>
            <w:pPr>
              <w:spacing w:after="0"/>
              <w:rPr>
                <w:sz w:val="21"/>
                <w:szCs w:val="21"/>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b w:val="1"/>
                <w:bCs w:val="1"/>
                <w:color w:val="auto"/>
              </w:rPr>
              <w:t>Net Cash Used For Investing Activities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(169,330)</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(392,483)</w:t>
            </w:r>
          </w:p>
        </w:tc>
        <w:tc>
          <w:tcPr>
            <w:tcW w:w="0" w:type="dxa"/>
            <w:vAlign w:val="bottom"/>
          </w:tcPr>
          <w:p>
            <w:pPr>
              <w:spacing w:after="0"/>
              <w:rPr>
                <w:sz w:val="1"/>
                <w:szCs w:val="1"/>
                <w:color w:val="auto"/>
              </w:rPr>
            </w:pPr>
          </w:p>
        </w:tc>
      </w:tr>
      <w:tr>
        <w:trPr>
          <w:trHeight w:val="254"/>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5"/>
                <w:szCs w:val="15"/>
                <w:b w:val="1"/>
                <w:bCs w:val="1"/>
                <w:color w:val="auto"/>
              </w:rPr>
              <w:t>Financing Activities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600" w:type="dxa"/>
            <w:vAlign w:val="bottom"/>
            <w:gridSpan w:val="2"/>
          </w:tcPr>
          <w:p>
            <w:pPr>
              <w:spacing w:after="0"/>
              <w:rPr>
                <w:sz w:val="20"/>
                <w:szCs w:val="20"/>
                <w:color w:val="auto"/>
              </w:rPr>
            </w:pPr>
            <w:r>
              <w:rPr>
                <w:rFonts w:ascii="Arial" w:cs="Arial" w:eastAsia="Arial" w:hAnsi="Arial"/>
                <w:sz w:val="15"/>
                <w:szCs w:val="15"/>
                <w:color w:val="auto"/>
              </w:rPr>
              <w:t>Issuance of common stock, OP units, and preferred OP units, net</w:t>
            </w:r>
          </w:p>
        </w:tc>
        <w:tc>
          <w:tcPr>
            <w:tcW w:w="200" w:type="dxa"/>
            <w:vAlign w:val="bottom"/>
          </w:tcPr>
          <w:p>
            <w:pPr>
              <w:spacing w:after="0"/>
              <w:rPr>
                <w:sz w:val="23"/>
                <w:szCs w:val="23"/>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(7,140)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(4,321)</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Redemption of Series B-3 preferred OP units</w:t>
            </w:r>
          </w:p>
        </w:tc>
        <w:tc>
          <w:tcPr>
            <w:tcW w:w="20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(2,675)</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600" w:type="dxa"/>
            <w:vAlign w:val="bottom"/>
            <w:gridSpan w:val="2"/>
          </w:tcPr>
          <w:p>
            <w:pPr>
              <w:spacing w:after="0"/>
              <w:rPr>
                <w:sz w:val="20"/>
                <w:szCs w:val="20"/>
                <w:color w:val="auto"/>
              </w:rPr>
            </w:pPr>
            <w:r>
              <w:rPr>
                <w:rFonts w:ascii="Arial" w:cs="Arial" w:eastAsia="Arial" w:hAnsi="Arial"/>
                <w:sz w:val="15"/>
                <w:szCs w:val="15"/>
                <w:color w:val="auto"/>
              </w:rPr>
              <w:t>Borrowings on lines of credit</w:t>
            </w:r>
          </w:p>
        </w:tc>
        <w:tc>
          <w:tcPr>
            <w:tcW w:w="200" w:type="dxa"/>
            <w:vAlign w:val="bottom"/>
          </w:tcPr>
          <w:p>
            <w:pPr>
              <w:spacing w:after="0"/>
              <w:rPr>
                <w:sz w:val="23"/>
                <w:szCs w:val="23"/>
                <w:color w:val="auto"/>
              </w:rPr>
            </w:pPr>
          </w:p>
        </w:tc>
        <w:tc>
          <w:tcPr>
            <w:tcW w:w="1400" w:type="dxa"/>
            <w:vAlign w:val="bottom"/>
          </w:tcPr>
          <w:p>
            <w:pPr>
              <w:jc w:val="right"/>
              <w:ind w:right="44"/>
              <w:spacing w:after="0"/>
              <w:rPr>
                <w:sz w:val="20"/>
                <w:szCs w:val="20"/>
                <w:color w:val="auto"/>
              </w:rPr>
            </w:pPr>
            <w:r>
              <w:rPr>
                <w:rFonts w:ascii="Arial" w:cs="Arial" w:eastAsia="Arial" w:hAnsi="Arial"/>
                <w:sz w:val="15"/>
                <w:szCs w:val="15"/>
                <w:color w:val="auto"/>
              </w:rPr>
              <w:t>1,163,965</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1,428,948</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Payments on lines of credit</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(763,076)</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(1,160,436)</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600" w:type="dxa"/>
            <w:vAlign w:val="bottom"/>
            <w:gridSpan w:val="2"/>
          </w:tcPr>
          <w:p>
            <w:pPr>
              <w:spacing w:after="0"/>
              <w:rPr>
                <w:sz w:val="20"/>
                <w:szCs w:val="20"/>
                <w:color w:val="auto"/>
              </w:rPr>
            </w:pPr>
            <w:r>
              <w:rPr>
                <w:rFonts w:ascii="Arial" w:cs="Arial" w:eastAsia="Arial" w:hAnsi="Arial"/>
                <w:sz w:val="15"/>
                <w:szCs w:val="15"/>
                <w:color w:val="auto"/>
              </w:rPr>
              <w:t>Proceeds from issuance of other debt</w:t>
            </w:r>
          </w:p>
        </w:tc>
        <w:tc>
          <w:tcPr>
            <w:tcW w:w="200" w:type="dxa"/>
            <w:vAlign w:val="bottom"/>
          </w:tcPr>
          <w:p>
            <w:pPr>
              <w:spacing w:after="0"/>
              <w:rPr>
                <w:sz w:val="23"/>
                <w:szCs w:val="23"/>
                <w:color w:val="auto"/>
              </w:rPr>
            </w:pPr>
          </w:p>
        </w:tc>
        <w:tc>
          <w:tcPr>
            <w:tcW w:w="1400" w:type="dxa"/>
            <w:vAlign w:val="bottom"/>
          </w:tcPr>
          <w:p>
            <w:pPr>
              <w:jc w:val="right"/>
              <w:ind w:right="44"/>
              <w:spacing w:after="0"/>
              <w:rPr>
                <w:sz w:val="20"/>
                <w:szCs w:val="20"/>
                <w:color w:val="auto"/>
              </w:rPr>
            </w:pPr>
            <w:r>
              <w:rPr>
                <w:rFonts w:ascii="Arial" w:cs="Arial" w:eastAsia="Arial" w:hAnsi="Arial"/>
                <w:sz w:val="15"/>
                <w:szCs w:val="15"/>
                <w:color w:val="auto"/>
              </w:rPr>
              <w:t>230,000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265,000</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Payments on other debt</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(134,203)</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(200,892)</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600" w:type="dxa"/>
            <w:vAlign w:val="bottom"/>
            <w:gridSpan w:val="2"/>
          </w:tcPr>
          <w:p>
            <w:pPr>
              <w:spacing w:after="0"/>
              <w:rPr>
                <w:sz w:val="20"/>
                <w:szCs w:val="20"/>
                <w:color w:val="auto"/>
              </w:rPr>
            </w:pPr>
            <w:r>
              <w:rPr>
                <w:rFonts w:ascii="Arial" w:cs="Arial" w:eastAsia="Arial" w:hAnsi="Arial"/>
                <w:sz w:val="15"/>
                <w:szCs w:val="15"/>
                <w:color w:val="auto"/>
              </w:rPr>
              <w:t>Prepayment penalty on collateralized term loans</w:t>
            </w:r>
          </w:p>
        </w:tc>
        <w:tc>
          <w:tcPr>
            <w:tcW w:w="200" w:type="dxa"/>
            <w:vAlign w:val="bottom"/>
          </w:tcPr>
          <w:p>
            <w:pPr>
              <w:spacing w:after="0"/>
              <w:rPr>
                <w:sz w:val="23"/>
                <w:szCs w:val="23"/>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(3,250)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Proceeds received from return of prepaid deferred financing costs</w:t>
            </w:r>
          </w:p>
        </w:tc>
        <w:tc>
          <w:tcPr>
            <w:tcW w:w="20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1,618</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600" w:type="dxa"/>
            <w:vAlign w:val="bottom"/>
            <w:gridSpan w:val="2"/>
          </w:tcPr>
          <w:p>
            <w:pPr>
              <w:spacing w:after="0"/>
              <w:rPr>
                <w:sz w:val="20"/>
                <w:szCs w:val="20"/>
                <w:color w:val="auto"/>
              </w:rPr>
            </w:pPr>
            <w:r>
              <w:rPr>
                <w:rFonts w:ascii="Arial" w:cs="Arial" w:eastAsia="Arial" w:hAnsi="Arial"/>
                <w:sz w:val="15"/>
                <w:szCs w:val="15"/>
                <w:color w:val="auto"/>
              </w:rPr>
              <w:t>Distributions to stockholders, OP unit holders, and preferred OP unit holders</w:t>
            </w:r>
          </w:p>
        </w:tc>
        <w:tc>
          <w:tcPr>
            <w:tcW w:w="200" w:type="dxa"/>
            <w:vAlign w:val="bottom"/>
          </w:tcPr>
          <w:p>
            <w:pPr>
              <w:spacing w:after="0"/>
              <w:rPr>
                <w:sz w:val="23"/>
                <w:szCs w:val="23"/>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(71,859)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(65,145)</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Payments for deferred financing costs</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(3,328)</w:t>
            </w:r>
          </w:p>
        </w:tc>
        <w:tc>
          <w:tcPr>
            <w:tcW w:w="2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46"/>
        </w:trPr>
        <w:tc>
          <w:tcPr>
            <w:tcW w:w="280" w:type="dxa"/>
            <w:vAlign w:val="bottom"/>
            <w:tcBorders>
              <w:bottom w:val="single" w:sz="8" w:color="CCEEFF"/>
            </w:tcBorders>
          </w:tcPr>
          <w:p>
            <w:pPr>
              <w:spacing w:after="0"/>
              <w:rPr>
                <w:sz w:val="21"/>
                <w:szCs w:val="21"/>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411,109</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261,097</w:t>
            </w:r>
          </w:p>
        </w:tc>
        <w:tc>
          <w:tcPr>
            <w:tcW w:w="0" w:type="dxa"/>
            <w:vAlign w:val="bottom"/>
          </w:tcPr>
          <w:p>
            <w:pPr>
              <w:spacing w:after="0"/>
              <w:rPr>
                <w:sz w:val="1"/>
                <w:szCs w:val="1"/>
                <w:color w:val="auto"/>
              </w:rPr>
            </w:pPr>
          </w:p>
        </w:tc>
      </w:tr>
      <w:tr>
        <w:trPr>
          <w:trHeight w:val="25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(382)</w:t>
            </w:r>
          </w:p>
        </w:tc>
        <w:tc>
          <w:tcPr>
            <w:tcW w:w="2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250"/>
        </w:trPr>
        <w:tc>
          <w:tcPr>
            <w:tcW w:w="7880" w:type="dxa"/>
            <w:vAlign w:val="bottom"/>
            <w:gridSpan w:val="3"/>
          </w:tcPr>
          <w:p>
            <w:pPr>
              <w:ind w:left="40"/>
              <w:spacing w:after="0"/>
              <w:rPr>
                <w:sz w:val="20"/>
                <w:szCs w:val="20"/>
                <w:color w:val="auto"/>
              </w:rPr>
            </w:pPr>
            <w:r>
              <w:rPr>
                <w:rFonts w:ascii="Arial" w:cs="Arial" w:eastAsia="Arial" w:hAnsi="Arial"/>
                <w:sz w:val="15"/>
                <w:szCs w:val="15"/>
                <w:color w:val="auto"/>
              </w:rPr>
              <w:t>Net change in cash, cash equivalents and restricted cash</w:t>
            </w:r>
          </w:p>
        </w:tc>
        <w:tc>
          <w:tcPr>
            <w:tcW w:w="200" w:type="dxa"/>
            <w:vAlign w:val="bottom"/>
          </w:tcPr>
          <w:p>
            <w:pPr>
              <w:spacing w:after="0"/>
              <w:rPr>
                <w:sz w:val="21"/>
                <w:szCs w:val="21"/>
                <w:color w:val="auto"/>
              </w:rPr>
            </w:pPr>
          </w:p>
        </w:tc>
        <w:tc>
          <w:tcPr>
            <w:tcW w:w="1400" w:type="dxa"/>
            <w:vAlign w:val="bottom"/>
          </w:tcPr>
          <w:p>
            <w:pPr>
              <w:jc w:val="right"/>
              <w:ind w:right="44"/>
              <w:spacing w:after="0"/>
              <w:rPr>
                <w:sz w:val="20"/>
                <w:szCs w:val="20"/>
                <w:color w:val="auto"/>
              </w:rPr>
            </w:pPr>
            <w:r>
              <w:rPr>
                <w:rFonts w:ascii="Arial" w:cs="Arial" w:eastAsia="Arial" w:hAnsi="Arial"/>
                <w:sz w:val="15"/>
                <w:szCs w:val="15"/>
                <w:color w:val="auto"/>
              </w:rPr>
              <w:t>359,910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(28,087)</w:t>
            </w:r>
          </w:p>
        </w:tc>
        <w:tc>
          <w:tcPr>
            <w:tcW w:w="0" w:type="dxa"/>
            <w:vAlign w:val="bottom"/>
          </w:tcPr>
          <w:p>
            <w:pPr>
              <w:spacing w:after="0"/>
              <w:rPr>
                <w:sz w:val="1"/>
                <w:szCs w:val="1"/>
                <w:color w:val="auto"/>
              </w:rPr>
            </w:pPr>
          </w:p>
        </w:tc>
      </w:tr>
      <w:tr>
        <w:trPr>
          <w:trHeight w:val="27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Cash, cash equivalents and restricted cash, beginning of period</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34,830</w:t>
            </w:r>
          </w:p>
        </w:tc>
        <w:tc>
          <w:tcPr>
            <w:tcW w:w="2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62,262</w:t>
            </w:r>
          </w:p>
        </w:tc>
        <w:tc>
          <w:tcPr>
            <w:tcW w:w="0" w:type="dxa"/>
            <w:vAlign w:val="bottom"/>
          </w:tcPr>
          <w:p>
            <w:pPr>
              <w:spacing w:after="0"/>
              <w:rPr>
                <w:sz w:val="1"/>
                <w:szCs w:val="1"/>
                <w:color w:val="auto"/>
              </w:rPr>
            </w:pPr>
          </w:p>
        </w:tc>
      </w:tr>
      <w:tr>
        <w:trPr>
          <w:trHeight w:val="241"/>
        </w:trPr>
        <w:tc>
          <w:tcPr>
            <w:tcW w:w="7880" w:type="dxa"/>
            <w:vAlign w:val="bottom"/>
            <w:gridSpan w:val="3"/>
          </w:tcPr>
          <w:p>
            <w:pPr>
              <w:ind w:left="40"/>
              <w:spacing w:after="0"/>
              <w:rPr>
                <w:sz w:val="20"/>
                <w:szCs w:val="20"/>
                <w:color w:val="auto"/>
              </w:rPr>
            </w:pPr>
            <w:r>
              <w:rPr>
                <w:rFonts w:ascii="Arial" w:cs="Arial" w:eastAsia="Arial" w:hAnsi="Arial"/>
                <w:sz w:val="15"/>
                <w:szCs w:val="15"/>
                <w:b w:val="1"/>
                <w:bCs w:val="1"/>
                <w:color w:val="auto"/>
              </w:rPr>
              <w:t>Cash, Cash Equivalents and Restricted Cash, End of Period</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394,740</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34,175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04"/>
              <w:spacing w:after="0"/>
              <w:rPr>
                <w:sz w:val="20"/>
                <w:szCs w:val="20"/>
                <w:color w:val="auto"/>
              </w:rPr>
            </w:pPr>
            <w:r>
              <w:rPr>
                <w:rFonts w:ascii="Arial" w:cs="Arial" w:eastAsia="Arial" w:hAnsi="Arial"/>
                <w:sz w:val="15"/>
                <w:szCs w:val="15"/>
                <w:b w:val="1"/>
                <w:bCs w:val="1"/>
                <w:color w:val="auto"/>
              </w:rPr>
              <w:t>Three Months Ended</w:t>
            </w:r>
          </w:p>
        </w:tc>
      </w:tr>
      <w:tr>
        <w:trPr>
          <w:trHeight w:val="261"/>
        </w:trPr>
        <w:tc>
          <w:tcPr>
            <w:tcW w:w="7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2020</w:t>
            </w:r>
          </w:p>
        </w:tc>
        <w:tc>
          <w:tcPr>
            <w:tcW w:w="200" w:type="dxa"/>
            <w:vAlign w:val="bottom"/>
          </w:tcPr>
          <w:p>
            <w:pPr>
              <w:spacing w:after="0"/>
              <w:rPr>
                <w:sz w:val="22"/>
                <w:szCs w:val="22"/>
                <w:color w:val="auto"/>
              </w:rPr>
            </w:pPr>
          </w:p>
        </w:tc>
        <w:tc>
          <w:tcPr>
            <w:tcW w:w="1360" w:type="dxa"/>
            <w:vAlign w:val="bottom"/>
          </w:tcPr>
          <w:p>
            <w:pPr>
              <w:jc w:val="right"/>
              <w:ind w:right="204"/>
              <w:spacing w:after="0"/>
              <w:rPr>
                <w:sz w:val="20"/>
                <w:szCs w:val="20"/>
                <w:color w:val="auto"/>
              </w:rPr>
            </w:pPr>
            <w:r>
              <w:rPr>
                <w:rFonts w:ascii="Arial" w:cs="Arial" w:eastAsia="Arial" w:hAnsi="Arial"/>
                <w:sz w:val="15"/>
                <w:szCs w:val="15"/>
                <w:b w:val="1"/>
                <w:bCs w:val="1"/>
                <w:color w:val="auto"/>
                <w:w w:val="99"/>
              </w:rPr>
              <w:t>March 31, 2019</w:t>
            </w:r>
          </w:p>
        </w:tc>
      </w:tr>
      <w:tr>
        <w:trPr>
          <w:trHeight w:val="252"/>
        </w:trPr>
        <w:tc>
          <w:tcPr>
            <w:tcW w:w="7880" w:type="dxa"/>
            <w:vAlign w:val="bottom"/>
          </w:tcPr>
          <w:p>
            <w:pPr>
              <w:ind w:left="40"/>
              <w:spacing w:after="0"/>
              <w:rPr>
                <w:sz w:val="20"/>
                <w:szCs w:val="20"/>
                <w:color w:val="auto"/>
              </w:rPr>
            </w:pPr>
            <w:r>
              <w:rPr>
                <w:rFonts w:ascii="Arial" w:cs="Arial" w:eastAsia="Arial" w:hAnsi="Arial"/>
                <w:sz w:val="15"/>
                <w:szCs w:val="15"/>
                <w:b w:val="1"/>
                <w:bCs w:val="1"/>
                <w:color w:val="auto"/>
              </w:rPr>
              <w:t>Supplemental Information</w:t>
            </w: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74"/>
        </w:trPr>
        <w:tc>
          <w:tcPr>
            <w:tcW w:w="7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paid for interest (net of capitalized interest of $2,258, $1,357 respectively)</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32,464</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32,711</w:t>
            </w:r>
          </w:p>
        </w:tc>
      </w:tr>
      <w:tr>
        <w:trPr>
          <w:trHeight w:val="266"/>
        </w:trPr>
        <w:tc>
          <w:tcPr>
            <w:tcW w:w="7880" w:type="dxa"/>
            <w:vAlign w:val="bottom"/>
          </w:tcPr>
          <w:p>
            <w:pPr>
              <w:ind w:left="40"/>
              <w:spacing w:after="0"/>
              <w:rPr>
                <w:sz w:val="20"/>
                <w:szCs w:val="20"/>
                <w:color w:val="auto"/>
              </w:rPr>
            </w:pPr>
            <w:r>
              <w:rPr>
                <w:rFonts w:ascii="Arial" w:cs="Arial" w:eastAsia="Arial" w:hAnsi="Arial"/>
                <w:sz w:val="15"/>
                <w:szCs w:val="15"/>
                <w:color w:val="auto"/>
              </w:rPr>
              <w:t>Cash paid for interest on mandatorily redeemable debt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44"/>
              <w:spacing w:after="0"/>
              <w:rPr>
                <w:sz w:val="20"/>
                <w:szCs w:val="20"/>
                <w:color w:val="auto"/>
              </w:rPr>
            </w:pPr>
            <w:r>
              <w:rPr>
                <w:rFonts w:ascii="Arial" w:cs="Arial" w:eastAsia="Arial" w:hAnsi="Arial"/>
                <w:sz w:val="15"/>
                <w:szCs w:val="15"/>
                <w:color w:val="auto"/>
              </w:rPr>
              <w:t>1,041</w:t>
            </w:r>
          </w:p>
        </w:tc>
        <w:tc>
          <w:tcPr>
            <w:tcW w:w="200" w:type="dxa"/>
            <w:vAlign w:val="bottom"/>
          </w:tcPr>
          <w:p>
            <w:pPr>
              <w:spacing w:after="0"/>
              <w:rPr>
                <w:sz w:val="23"/>
                <w:szCs w:val="23"/>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1,094</w:t>
            </w:r>
          </w:p>
        </w:tc>
      </w:tr>
      <w:tr>
        <w:trPr>
          <w:trHeight w:val="274"/>
        </w:trPr>
        <w:tc>
          <w:tcPr>
            <w:tcW w:w="7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paid (refunds) for income taxes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75</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266"/>
        </w:trPr>
        <w:tc>
          <w:tcPr>
            <w:tcW w:w="7880" w:type="dxa"/>
            <w:vAlign w:val="bottom"/>
          </w:tcPr>
          <w:p>
            <w:pPr>
              <w:ind w:left="40"/>
              <w:spacing w:after="0"/>
              <w:rPr>
                <w:sz w:val="20"/>
                <w:szCs w:val="20"/>
                <w:color w:val="auto"/>
              </w:rPr>
            </w:pPr>
            <w:r>
              <w:rPr>
                <w:rFonts w:ascii="Arial" w:cs="Arial" w:eastAsia="Arial" w:hAnsi="Arial"/>
                <w:sz w:val="15"/>
                <w:szCs w:val="15"/>
                <w:color w:val="auto"/>
              </w:rPr>
              <w:t>Noncash investing and financing activities</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4"/>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shd w:val="clear" w:color="auto" w:fill="CCEEFF"/>
              </w:rPr>
              <w:t>Reduction in secured borrowing balance</w:t>
            </w: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5,055</w:t>
            </w:r>
          </w:p>
        </w:tc>
      </w:tr>
      <w:tr>
        <w:trPr>
          <w:trHeight w:val="266"/>
        </w:trPr>
        <w:tc>
          <w:tcPr>
            <w:tcW w:w="7880" w:type="dxa"/>
            <w:vAlign w:val="bottom"/>
          </w:tcPr>
          <w:p>
            <w:pPr>
              <w:ind w:left="280"/>
              <w:spacing w:after="0"/>
              <w:rPr>
                <w:sz w:val="20"/>
                <w:szCs w:val="20"/>
                <w:color w:val="auto"/>
              </w:rPr>
            </w:pPr>
            <w:r>
              <w:rPr>
                <w:rFonts w:ascii="Arial" w:cs="Arial" w:eastAsia="Arial" w:hAnsi="Arial"/>
                <w:sz w:val="15"/>
                <w:szCs w:val="15"/>
                <w:color w:val="auto"/>
              </w:rPr>
              <w:t>Change in distributions declared and outstanding</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44"/>
              <w:spacing w:after="0"/>
              <w:rPr>
                <w:sz w:val="20"/>
                <w:szCs w:val="20"/>
                <w:color w:val="auto"/>
              </w:rPr>
            </w:pPr>
            <w:r>
              <w:rPr>
                <w:rFonts w:ascii="Arial" w:cs="Arial" w:eastAsia="Arial" w:hAnsi="Arial"/>
                <w:sz w:val="15"/>
                <w:szCs w:val="15"/>
                <w:color w:val="auto"/>
              </w:rPr>
              <w:t>4,787</w:t>
            </w:r>
          </w:p>
        </w:tc>
        <w:tc>
          <w:tcPr>
            <w:tcW w:w="200" w:type="dxa"/>
            <w:vAlign w:val="bottom"/>
          </w:tcPr>
          <w:p>
            <w:pPr>
              <w:spacing w:after="0"/>
              <w:rPr>
                <w:sz w:val="23"/>
                <w:szCs w:val="23"/>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3,536</w:t>
            </w:r>
          </w:p>
        </w:tc>
      </w:tr>
      <w:tr>
        <w:trPr>
          <w:trHeight w:val="274"/>
        </w:trPr>
        <w:tc>
          <w:tcPr>
            <w:tcW w:w="78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Conversion of common and preferred OP units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446</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280</w:t>
            </w:r>
          </w:p>
        </w:tc>
      </w:tr>
      <w:tr>
        <w:trPr>
          <w:trHeight w:val="266"/>
        </w:trPr>
        <w:tc>
          <w:tcPr>
            <w:tcW w:w="7880" w:type="dxa"/>
            <w:vAlign w:val="bottom"/>
          </w:tcPr>
          <w:p>
            <w:pPr>
              <w:ind w:left="280"/>
              <w:spacing w:after="0"/>
              <w:rPr>
                <w:sz w:val="20"/>
                <w:szCs w:val="20"/>
                <w:color w:val="auto"/>
              </w:rPr>
            </w:pPr>
            <w:r>
              <w:rPr>
                <w:rFonts w:ascii="Arial" w:cs="Arial" w:eastAsia="Arial" w:hAnsi="Arial"/>
                <w:sz w:val="15"/>
                <w:szCs w:val="15"/>
                <w:color w:val="auto"/>
              </w:rPr>
              <w:t>Acquisitions - Series D preferred interest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51,930</w:t>
            </w:r>
          </w:p>
        </w:tc>
      </w:tr>
      <w:tr>
        <w:trPr>
          <w:trHeight w:val="274"/>
        </w:trPr>
        <w:tc>
          <w:tcPr>
            <w:tcW w:w="78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Acquisitions - Series E preferred interest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9,000</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2"/>
        </w:trPr>
        <w:tc>
          <w:tcPr>
            <w:tcW w:w="7880" w:type="dxa"/>
            <w:vAlign w:val="bottom"/>
          </w:tcPr>
          <w:p>
            <w:pPr>
              <w:ind w:left="280"/>
              <w:spacing w:after="0"/>
              <w:rPr>
                <w:sz w:val="20"/>
                <w:szCs w:val="20"/>
                <w:color w:val="auto"/>
              </w:rPr>
            </w:pPr>
            <w:r>
              <w:rPr>
                <w:rFonts w:ascii="Arial" w:cs="Arial" w:eastAsia="Arial" w:hAnsi="Arial"/>
                <w:sz w:val="15"/>
                <w:szCs w:val="15"/>
                <w:color w:val="auto"/>
              </w:rPr>
              <w:t>Acquisitions - Escrow</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4,035</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33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3"/>
              </w:rPr>
              <w:t>Additional</w:t>
            </w: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Distributions in</w:t>
            </w:r>
          </w:p>
        </w:tc>
        <w:tc>
          <w:tcPr>
            <w:tcW w:w="140" w:type="dxa"/>
            <w:vAlign w:val="bottom"/>
          </w:tcPr>
          <w:p>
            <w:pPr>
              <w:spacing w:after="0"/>
              <w:rPr>
                <w:sz w:val="13"/>
                <w:szCs w:val="13"/>
                <w:color w:val="auto"/>
              </w:rPr>
            </w:pPr>
          </w:p>
        </w:tc>
        <w:tc>
          <w:tcPr>
            <w:tcW w:w="1080" w:type="dxa"/>
            <w:vAlign w:val="bottom"/>
          </w:tcPr>
          <w:p>
            <w:pPr>
              <w:jc w:val="center"/>
              <w:ind w:right="25"/>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76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Temporary</w:t>
            </w:r>
          </w:p>
        </w:tc>
        <w:tc>
          <w:tcPr>
            <w:tcW w:w="1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5"/>
              </w:rPr>
              <w:t>Excess of</w:t>
            </w:r>
          </w:p>
        </w:tc>
        <w:tc>
          <w:tcPr>
            <w:tcW w:w="140" w:type="dxa"/>
            <w:vAlign w:val="bottom"/>
          </w:tcPr>
          <w:p>
            <w:pPr>
              <w:spacing w:after="0"/>
              <w:rPr>
                <w:sz w:val="12"/>
                <w:szCs w:val="12"/>
                <w:color w:val="auto"/>
              </w:rPr>
            </w:pPr>
          </w:p>
        </w:tc>
        <w:tc>
          <w:tcPr>
            <w:tcW w:w="10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9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7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66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780" w:type="dxa"/>
            <w:vAlign w:val="bottom"/>
          </w:tcPr>
          <w:p>
            <w:pPr>
              <w:jc w:val="center"/>
              <w:ind w:right="25"/>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980" w:type="dxa"/>
            <w:vAlign w:val="bottom"/>
          </w:tcPr>
          <w:p>
            <w:pPr>
              <w:jc w:val="center"/>
              <w:ind w:right="65"/>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080" w:type="dxa"/>
            <w:vAlign w:val="bottom"/>
          </w:tcPr>
          <w:p>
            <w:pPr>
              <w:jc w:val="center"/>
              <w:ind w:right="45"/>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60" w:type="dxa"/>
            <w:vAlign w:val="bottom"/>
          </w:tcPr>
          <w:p>
            <w:pPr>
              <w:jc w:val="center"/>
              <w:ind w:right="25"/>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3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78,004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932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8"/>
              </w:rPr>
              <w:t>5,213,264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(1,393,141)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56,228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3,875,952</w:t>
            </w:r>
          </w:p>
        </w:tc>
        <w:tc>
          <w:tcPr>
            <w:tcW w:w="10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$ 3,953,956</w:t>
            </w:r>
          </w:p>
        </w:tc>
        <w:tc>
          <w:tcPr>
            <w:tcW w:w="0" w:type="dxa"/>
            <w:vAlign w:val="bottom"/>
          </w:tcPr>
          <w:p>
            <w:pPr>
              <w:spacing w:after="0"/>
              <w:rPr>
                <w:sz w:val="1"/>
                <w:szCs w:val="1"/>
                <w:color w:val="auto"/>
              </w:rPr>
            </w:pPr>
          </w:p>
        </w:tc>
      </w:tr>
      <w:tr>
        <w:trPr>
          <w:trHeight w:val="176"/>
        </w:trPr>
        <w:tc>
          <w:tcPr>
            <w:tcW w:w="3160" w:type="dxa"/>
            <w:vAlign w:val="bottom"/>
          </w:tcPr>
          <w:p>
            <w:pPr>
              <w:ind w:left="40"/>
              <w:spacing w:after="0"/>
              <w:rPr>
                <w:sz w:val="20"/>
                <w:szCs w:val="20"/>
                <w:color w:val="auto"/>
              </w:rPr>
            </w:pPr>
            <w:r>
              <w:rPr>
                <w:rFonts w:ascii="Arial" w:cs="Arial" w:eastAsia="Arial" w:hAnsi="Arial"/>
                <w:sz w:val="15"/>
                <w:szCs w:val="15"/>
                <w:color w:val="auto"/>
                <w:w w:val="92"/>
              </w:rPr>
              <w:t>Issuance of common stock and common OP units,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40"/>
              <w:spacing w:after="0"/>
              <w:rPr>
                <w:sz w:val="20"/>
                <w:szCs w:val="20"/>
                <w:color w:val="auto"/>
              </w:rPr>
            </w:pPr>
            <w:r>
              <w:rPr>
                <w:rFonts w:ascii="Arial" w:cs="Arial" w:eastAsia="Arial" w:hAnsi="Arial"/>
                <w:sz w:val="15"/>
                <w:szCs w:val="15"/>
                <w:color w:val="auto"/>
              </w:rPr>
              <w:t>net</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(7,141)</w:t>
            </w:r>
          </w:p>
        </w:tc>
        <w:tc>
          <w:tcPr>
            <w:tcW w:w="160" w:type="dxa"/>
            <w:vAlign w:val="bottom"/>
          </w:tcPr>
          <w:p>
            <w:pPr>
              <w:spacing w:after="0"/>
              <w:rPr>
                <w:sz w:val="17"/>
                <w:szCs w:val="17"/>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(7,140)</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(7,140)</w:t>
            </w:r>
          </w:p>
        </w:tc>
        <w:tc>
          <w:tcPr>
            <w:tcW w:w="0" w:type="dxa"/>
            <w:vAlign w:val="bottom"/>
          </w:tcPr>
          <w:p>
            <w:pPr>
              <w:spacing w:after="0"/>
              <w:rPr>
                <w:sz w:val="1"/>
                <w:szCs w:val="1"/>
                <w:color w:val="auto"/>
              </w:rPr>
            </w:pPr>
          </w:p>
        </w:tc>
      </w:tr>
      <w:tr>
        <w:trPr>
          <w:trHeight w:val="274"/>
        </w:trPr>
        <w:tc>
          <w:tcPr>
            <w:tcW w:w="3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446</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160" w:type="dxa"/>
            <w:vAlign w:val="bottom"/>
          </w:tcPr>
          <w:p>
            <w:pPr>
              <w:ind w:left="40"/>
              <w:spacing w:after="0"/>
              <w:rPr>
                <w:sz w:val="20"/>
                <w:szCs w:val="20"/>
                <w:color w:val="auto"/>
              </w:rPr>
            </w:pPr>
            <w:r>
              <w:rPr>
                <w:rFonts w:ascii="Arial" w:cs="Arial" w:eastAsia="Arial" w:hAnsi="Arial"/>
                <w:sz w:val="15"/>
                <w:szCs w:val="15"/>
                <w:color w:val="auto"/>
              </w:rPr>
              <w:t>Equity Interests - NG Sun LLC &amp; NG Sun</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40"/>
              <w:spacing w:after="0"/>
              <w:rPr>
                <w:sz w:val="20"/>
                <w:szCs w:val="20"/>
                <w:color w:val="auto"/>
              </w:rPr>
            </w:pPr>
            <w:r>
              <w:rPr>
                <w:rFonts w:ascii="Arial" w:cs="Arial" w:eastAsia="Arial" w:hAnsi="Arial"/>
                <w:sz w:val="15"/>
                <w:szCs w:val="15"/>
                <w:color w:val="auto"/>
              </w:rPr>
              <w:t>Whitewater RV LLC</w:t>
            </w:r>
          </w:p>
        </w:tc>
        <w:tc>
          <w:tcPr>
            <w:tcW w:w="100" w:type="dxa"/>
            <w:vAlign w:val="bottom"/>
          </w:tcPr>
          <w:p>
            <w:pPr>
              <w:spacing w:after="0"/>
              <w:rPr>
                <w:sz w:val="17"/>
                <w:szCs w:val="17"/>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7"/>
                <w:szCs w:val="17"/>
                <w:color w:val="auto"/>
              </w:rPr>
            </w:pP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17"/>
                <w:szCs w:val="17"/>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Share-based compensation - amortization and</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4,928</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93</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5,021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5,021</w:t>
            </w:r>
          </w:p>
        </w:tc>
        <w:tc>
          <w:tcPr>
            <w:tcW w:w="0" w:type="dxa"/>
            <w:vAlign w:val="bottom"/>
          </w:tcPr>
          <w:p>
            <w:pPr>
              <w:spacing w:after="0"/>
              <w:rPr>
                <w:sz w:val="1"/>
                <w:szCs w:val="1"/>
                <w:color w:val="auto"/>
              </w:rPr>
            </w:pPr>
          </w:p>
        </w:tc>
      </w:tr>
      <w:tr>
        <w:trPr>
          <w:trHeight w:val="266"/>
        </w:trPr>
        <w:tc>
          <w:tcPr>
            <w:tcW w:w="3160" w:type="dxa"/>
            <w:vAlign w:val="bottom"/>
          </w:tcPr>
          <w:p>
            <w:pPr>
              <w:ind w:left="40"/>
              <w:spacing w:after="0"/>
              <w:rPr>
                <w:sz w:val="20"/>
                <w:szCs w:val="20"/>
                <w:color w:val="auto"/>
              </w:rPr>
            </w:pPr>
            <w:r>
              <w:rPr>
                <w:rFonts w:ascii="Arial" w:cs="Arial" w:eastAsia="Arial" w:hAnsi="Arial"/>
                <w:sz w:val="15"/>
                <w:szCs w:val="15"/>
                <w:color w:val="auto"/>
              </w:rPr>
              <w:t>Issuance of Series E OP units</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181</w:t>
            </w:r>
          </w:p>
        </w:tc>
        <w:tc>
          <w:tcPr>
            <w:tcW w:w="160" w:type="dxa"/>
            <w:vAlign w:val="bottom"/>
          </w:tcPr>
          <w:p>
            <w:pPr>
              <w:spacing w:after="0"/>
              <w:rPr>
                <w:sz w:val="23"/>
                <w:szCs w:val="23"/>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8,819</w:t>
            </w:r>
          </w:p>
        </w:tc>
        <w:tc>
          <w:tcPr>
            <w:tcW w:w="120" w:type="dxa"/>
            <w:vAlign w:val="bottom"/>
          </w:tcPr>
          <w:p>
            <w:pPr>
              <w:spacing w:after="0"/>
              <w:rPr>
                <w:sz w:val="23"/>
                <w:szCs w:val="23"/>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9,000</w:t>
            </w:r>
          </w:p>
        </w:tc>
        <w:tc>
          <w:tcPr>
            <w:tcW w:w="10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9,000</w:t>
            </w:r>
          </w:p>
        </w:tc>
        <w:tc>
          <w:tcPr>
            <w:tcW w:w="0" w:type="dxa"/>
            <w:vAlign w:val="bottom"/>
          </w:tcPr>
          <w:p>
            <w:pPr>
              <w:spacing w:after="0"/>
              <w:rPr>
                <w:sz w:val="1"/>
                <w:szCs w:val="1"/>
                <w:color w:val="auto"/>
              </w:rPr>
            </w:pPr>
          </w:p>
        </w:tc>
      </w:tr>
      <w:tr>
        <w:trPr>
          <w:trHeight w:val="274"/>
        </w:trPr>
        <w:tc>
          <w:tcPr>
            <w:tcW w:w="3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(6,994)</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w:t>
            </w:r>
          </w:p>
        </w:tc>
        <w:tc>
          <w:tcPr>
            <w:tcW w:w="0" w:type="dxa"/>
            <w:vAlign w:val="bottom"/>
          </w:tcPr>
          <w:p>
            <w:pPr>
              <w:spacing w:after="0"/>
              <w:rPr>
                <w:sz w:val="1"/>
                <w:szCs w:val="1"/>
                <w:color w:val="auto"/>
              </w:rPr>
            </w:pPr>
          </w:p>
        </w:tc>
      </w:tr>
      <w:tr>
        <w:trPr>
          <w:trHeight w:val="176"/>
        </w:trPr>
        <w:tc>
          <w:tcPr>
            <w:tcW w:w="3160" w:type="dxa"/>
            <w:vAlign w:val="bottom"/>
          </w:tcPr>
          <w:p>
            <w:pPr>
              <w:ind w:left="40"/>
              <w:spacing w:after="0"/>
              <w:rPr>
                <w:sz w:val="20"/>
                <w:szCs w:val="20"/>
                <w:color w:val="auto"/>
              </w:rPr>
            </w:pPr>
            <w:r>
              <w:rPr>
                <w:rFonts w:ascii="Arial" w:cs="Arial" w:eastAsia="Arial" w:hAnsi="Arial"/>
                <w:sz w:val="15"/>
                <w:szCs w:val="15"/>
                <w:color w:val="auto"/>
                <w:w w:val="98"/>
              </w:rPr>
              <w:t>Remeasurement of notes receivable and equity</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40"/>
              <w:spacing w:after="0"/>
              <w:rPr>
                <w:sz w:val="20"/>
                <w:szCs w:val="20"/>
                <w:color w:val="auto"/>
              </w:rPr>
            </w:pPr>
            <w:r>
              <w:rPr>
                <w:rFonts w:ascii="Arial" w:cs="Arial" w:eastAsia="Arial" w:hAnsi="Arial"/>
                <w:sz w:val="15"/>
                <w:szCs w:val="15"/>
                <w:color w:val="auto"/>
              </w:rPr>
              <w:t>method investment (see Note 17)</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1,953</w:t>
            </w:r>
          </w:p>
        </w:tc>
        <w:tc>
          <w:tcPr>
            <w:tcW w:w="140" w:type="dxa"/>
            <w:vAlign w:val="bottom"/>
          </w:tcPr>
          <w:p>
            <w:pPr>
              <w:spacing w:after="0"/>
              <w:rPr>
                <w:sz w:val="17"/>
                <w:szCs w:val="17"/>
                <w:color w:val="auto"/>
              </w:rPr>
            </w:pP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1,953</w:t>
            </w:r>
          </w:p>
        </w:tc>
        <w:tc>
          <w:tcPr>
            <w:tcW w:w="100" w:type="dxa"/>
            <w:vAlign w:val="bottom"/>
          </w:tcPr>
          <w:p>
            <w:pPr>
              <w:spacing w:after="0"/>
              <w:rPr>
                <w:sz w:val="17"/>
                <w:szCs w:val="17"/>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1,953</w:t>
            </w:r>
          </w:p>
        </w:tc>
        <w:tc>
          <w:tcPr>
            <w:tcW w:w="0" w:type="dxa"/>
            <w:vAlign w:val="bottom"/>
          </w:tcPr>
          <w:p>
            <w:pPr>
              <w:spacing w:after="0"/>
              <w:rPr>
                <w:sz w:val="1"/>
                <w:szCs w:val="1"/>
                <w:color w:val="auto"/>
              </w:rPr>
            </w:pPr>
          </w:p>
        </w:tc>
      </w:tr>
      <w:tr>
        <w:trPr>
          <w:trHeight w:val="274"/>
        </w:trPr>
        <w:tc>
          <w:tcPr>
            <w:tcW w:w="3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(1,195)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(14,514)</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231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(14,283)</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(15,478)</w:t>
            </w:r>
          </w:p>
        </w:tc>
        <w:tc>
          <w:tcPr>
            <w:tcW w:w="0" w:type="dxa"/>
            <w:vAlign w:val="bottom"/>
          </w:tcPr>
          <w:p>
            <w:pPr>
              <w:spacing w:after="0"/>
              <w:rPr>
                <w:sz w:val="1"/>
                <w:szCs w:val="1"/>
                <w:color w:val="auto"/>
              </w:rPr>
            </w:pPr>
          </w:p>
        </w:tc>
      </w:tr>
      <w:tr>
        <w:trPr>
          <w:trHeight w:val="266"/>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(457)</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(73,730)</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(2,918)</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(76,648)</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(77,105)</w:t>
            </w:r>
          </w:p>
        </w:tc>
        <w:tc>
          <w:tcPr>
            <w:tcW w:w="0" w:type="dxa"/>
            <w:vAlign w:val="bottom"/>
          </w:tcPr>
          <w:p>
            <w:pPr>
              <w:spacing w:after="0"/>
              <w:rPr>
                <w:sz w:val="1"/>
                <w:szCs w:val="1"/>
                <w:color w:val="auto"/>
              </w:rPr>
            </w:pPr>
          </w:p>
        </w:tc>
      </w:tr>
      <w:tr>
        <w:trPr>
          <w:trHeight w:val="241"/>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March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76,450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8"/>
              </w:rPr>
              <w:t>5,211,678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(1,479,424)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61,608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3,786,470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$ 3,862,920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3"/>
              </w:rPr>
              <w:t>Additional</w:t>
            </w: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Distributions in</w:t>
            </w:r>
          </w:p>
        </w:tc>
        <w:tc>
          <w:tcPr>
            <w:tcW w:w="140" w:type="dxa"/>
            <w:vAlign w:val="bottom"/>
          </w:tcPr>
          <w:p>
            <w:pPr>
              <w:spacing w:after="0"/>
              <w:rPr>
                <w:sz w:val="13"/>
                <w:szCs w:val="13"/>
                <w:color w:val="auto"/>
              </w:rPr>
            </w:pPr>
          </w:p>
        </w:tc>
        <w:tc>
          <w:tcPr>
            <w:tcW w:w="1080" w:type="dxa"/>
            <w:vAlign w:val="bottom"/>
          </w:tcPr>
          <w:p>
            <w:pPr>
              <w:jc w:val="center"/>
              <w:ind w:right="25"/>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76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Temporary</w:t>
            </w:r>
          </w:p>
        </w:tc>
        <w:tc>
          <w:tcPr>
            <w:tcW w:w="1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5"/>
              </w:rPr>
              <w:t>Excess of</w:t>
            </w:r>
          </w:p>
        </w:tc>
        <w:tc>
          <w:tcPr>
            <w:tcW w:w="140" w:type="dxa"/>
            <w:vAlign w:val="bottom"/>
          </w:tcPr>
          <w:p>
            <w:pPr>
              <w:spacing w:after="0"/>
              <w:rPr>
                <w:sz w:val="12"/>
                <w:szCs w:val="12"/>
                <w:color w:val="auto"/>
              </w:rPr>
            </w:pPr>
          </w:p>
        </w:tc>
        <w:tc>
          <w:tcPr>
            <w:tcW w:w="10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9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7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66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780" w:type="dxa"/>
            <w:vAlign w:val="bottom"/>
          </w:tcPr>
          <w:p>
            <w:pPr>
              <w:jc w:val="center"/>
              <w:ind w:right="25"/>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980" w:type="dxa"/>
            <w:vAlign w:val="bottom"/>
          </w:tcPr>
          <w:p>
            <w:pPr>
              <w:jc w:val="center"/>
              <w:ind w:right="65"/>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080" w:type="dxa"/>
            <w:vAlign w:val="bottom"/>
          </w:tcPr>
          <w:p>
            <w:pPr>
              <w:jc w:val="center"/>
              <w:ind w:right="25"/>
              <w:spacing w:after="0"/>
              <w:rPr>
                <w:sz w:val="20"/>
                <w:szCs w:val="20"/>
                <w:color w:val="auto"/>
              </w:rPr>
            </w:pPr>
            <w:r>
              <w:rPr>
                <w:rFonts w:ascii="Arial" w:cs="Arial" w:eastAsia="Arial" w:hAnsi="Arial"/>
                <w:sz w:val="14"/>
                <w:szCs w:val="14"/>
                <w:b w:val="1"/>
                <w:bCs w:val="1"/>
                <w:color w:val="auto"/>
                <w:w w:val="91"/>
              </w:rPr>
              <w:t>Income / (Loss)</w:t>
            </w:r>
          </w:p>
        </w:tc>
        <w:tc>
          <w:tcPr>
            <w:tcW w:w="120" w:type="dxa"/>
            <w:vAlign w:val="bottom"/>
          </w:tcPr>
          <w:p>
            <w:pPr>
              <w:spacing w:after="0"/>
              <w:rPr>
                <w:sz w:val="16"/>
                <w:szCs w:val="16"/>
                <w:color w:val="auto"/>
              </w:rPr>
            </w:pPr>
          </w:p>
        </w:tc>
        <w:tc>
          <w:tcPr>
            <w:tcW w:w="760" w:type="dxa"/>
            <w:vAlign w:val="bottom"/>
          </w:tcPr>
          <w:p>
            <w:pPr>
              <w:jc w:val="center"/>
              <w:ind w:right="25"/>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63,592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864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8"/>
              </w:rPr>
              <w:t>4,398,949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(1,288,486)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60,499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3,167,322</w:t>
            </w:r>
          </w:p>
        </w:tc>
        <w:tc>
          <w:tcPr>
            <w:tcW w:w="10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$ 3,230,914</w:t>
            </w:r>
          </w:p>
        </w:tc>
        <w:tc>
          <w:tcPr>
            <w:tcW w:w="0" w:type="dxa"/>
            <w:vAlign w:val="bottom"/>
          </w:tcPr>
          <w:p>
            <w:pPr>
              <w:spacing w:after="0"/>
              <w:rPr>
                <w:sz w:val="1"/>
                <w:szCs w:val="1"/>
                <w:color w:val="auto"/>
              </w:rPr>
            </w:pPr>
          </w:p>
        </w:tc>
      </w:tr>
      <w:tr>
        <w:trPr>
          <w:trHeight w:val="176"/>
        </w:trPr>
        <w:tc>
          <w:tcPr>
            <w:tcW w:w="3160" w:type="dxa"/>
            <w:vAlign w:val="bottom"/>
          </w:tcPr>
          <w:p>
            <w:pPr>
              <w:ind w:left="40"/>
              <w:spacing w:after="0"/>
              <w:rPr>
                <w:sz w:val="20"/>
                <w:szCs w:val="20"/>
                <w:color w:val="auto"/>
              </w:rPr>
            </w:pPr>
            <w:r>
              <w:rPr>
                <w:rFonts w:ascii="Arial" w:cs="Arial" w:eastAsia="Arial" w:hAnsi="Arial"/>
                <w:sz w:val="15"/>
                <w:szCs w:val="15"/>
                <w:color w:val="auto"/>
                <w:w w:val="92"/>
              </w:rPr>
              <w:t>Issuance of common stock and common OP units,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40"/>
              <w:spacing w:after="0"/>
              <w:rPr>
                <w:sz w:val="20"/>
                <w:szCs w:val="20"/>
                <w:color w:val="auto"/>
              </w:rPr>
            </w:pPr>
            <w:r>
              <w:rPr>
                <w:rFonts w:ascii="Arial" w:cs="Arial" w:eastAsia="Arial" w:hAnsi="Arial"/>
                <w:sz w:val="15"/>
                <w:szCs w:val="15"/>
                <w:color w:val="auto"/>
              </w:rPr>
              <w:t>net</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(4,322)</w:t>
            </w:r>
          </w:p>
        </w:tc>
        <w:tc>
          <w:tcPr>
            <w:tcW w:w="160" w:type="dxa"/>
            <w:vAlign w:val="bottom"/>
          </w:tcPr>
          <w:p>
            <w:pPr>
              <w:spacing w:after="0"/>
              <w:rPr>
                <w:sz w:val="17"/>
                <w:szCs w:val="17"/>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(4,321)</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(4,321)</w:t>
            </w:r>
          </w:p>
        </w:tc>
        <w:tc>
          <w:tcPr>
            <w:tcW w:w="0" w:type="dxa"/>
            <w:vAlign w:val="bottom"/>
          </w:tcPr>
          <w:p>
            <w:pPr>
              <w:spacing w:after="0"/>
              <w:rPr>
                <w:sz w:val="1"/>
                <w:szCs w:val="1"/>
                <w:color w:val="auto"/>
              </w:rPr>
            </w:pPr>
          </w:p>
        </w:tc>
      </w:tr>
      <w:tr>
        <w:trPr>
          <w:trHeight w:val="274"/>
        </w:trPr>
        <w:tc>
          <w:tcPr>
            <w:tcW w:w="3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280</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3160" w:type="dxa"/>
            <w:vAlign w:val="bottom"/>
          </w:tcPr>
          <w:p>
            <w:pPr>
              <w:ind w:left="40"/>
              <w:spacing w:after="0"/>
              <w:rPr>
                <w:sz w:val="20"/>
                <w:szCs w:val="20"/>
                <w:color w:val="auto"/>
              </w:rPr>
            </w:pPr>
            <w:r>
              <w:rPr>
                <w:rFonts w:ascii="Arial" w:cs="Arial" w:eastAsia="Arial" w:hAnsi="Arial"/>
                <w:sz w:val="15"/>
                <w:szCs w:val="15"/>
                <w:color w:val="auto"/>
              </w:rPr>
              <w:t>Equity Interests - NG Sun LLC</w:t>
            </w:r>
          </w:p>
        </w:tc>
        <w:tc>
          <w:tcPr>
            <w:tcW w:w="10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256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(65)</w:t>
            </w:r>
          </w:p>
        </w:tc>
        <w:tc>
          <w:tcPr>
            <w:tcW w:w="140" w:type="dxa"/>
            <w:vAlign w:val="bottom"/>
          </w:tcPr>
          <w:p>
            <w:pPr>
              <w:spacing w:after="0"/>
              <w:rPr>
                <w:sz w:val="23"/>
                <w:szCs w:val="23"/>
                <w:color w:val="auto"/>
              </w:rPr>
            </w:pP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(191)</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(256)</w:t>
            </w:r>
          </w:p>
        </w:tc>
        <w:tc>
          <w:tcPr>
            <w:tcW w:w="10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Share-based compensation - amortization and</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3,719</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74</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3,793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3,793</w:t>
            </w:r>
          </w:p>
        </w:tc>
        <w:tc>
          <w:tcPr>
            <w:tcW w:w="0" w:type="dxa"/>
            <w:vAlign w:val="bottom"/>
          </w:tcPr>
          <w:p>
            <w:pPr>
              <w:spacing w:after="0"/>
              <w:rPr>
                <w:sz w:val="1"/>
                <w:szCs w:val="1"/>
                <w:color w:val="auto"/>
              </w:rPr>
            </w:pPr>
          </w:p>
        </w:tc>
      </w:tr>
      <w:tr>
        <w:trPr>
          <w:trHeight w:val="266"/>
        </w:trPr>
        <w:tc>
          <w:tcPr>
            <w:tcW w:w="3160" w:type="dxa"/>
            <w:vAlign w:val="bottom"/>
          </w:tcPr>
          <w:p>
            <w:pPr>
              <w:ind w:left="40"/>
              <w:spacing w:after="0"/>
              <w:rPr>
                <w:sz w:val="20"/>
                <w:szCs w:val="20"/>
                <w:color w:val="auto"/>
              </w:rPr>
            </w:pPr>
            <w:r>
              <w:rPr>
                <w:rFonts w:ascii="Arial" w:cs="Arial" w:eastAsia="Arial" w:hAnsi="Arial"/>
                <w:sz w:val="15"/>
                <w:szCs w:val="15"/>
                <w:color w:val="auto"/>
              </w:rPr>
              <w:t>Issuance of Series D OP units</w:t>
            </w:r>
          </w:p>
        </w:tc>
        <w:tc>
          <w:tcPr>
            <w:tcW w:w="10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51,930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51,930</w:t>
            </w:r>
          </w:p>
        </w:tc>
        <w:tc>
          <w:tcPr>
            <w:tcW w:w="0" w:type="dxa"/>
            <w:vAlign w:val="bottom"/>
          </w:tcPr>
          <w:p>
            <w:pPr>
              <w:spacing w:after="0"/>
              <w:rPr>
                <w:sz w:val="1"/>
                <w:szCs w:val="1"/>
                <w:color w:val="auto"/>
              </w:rPr>
            </w:pPr>
          </w:p>
        </w:tc>
      </w:tr>
      <w:tr>
        <w:trPr>
          <w:trHeight w:val="274"/>
        </w:trPr>
        <w:tc>
          <w:tcPr>
            <w:tcW w:w="3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1,498</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77</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1,575</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1,575</w:t>
            </w:r>
          </w:p>
        </w:tc>
        <w:tc>
          <w:tcPr>
            <w:tcW w:w="0" w:type="dxa"/>
            <w:vAlign w:val="bottom"/>
          </w:tcPr>
          <w:p>
            <w:pPr>
              <w:spacing w:after="0"/>
              <w:rPr>
                <w:sz w:val="1"/>
                <w:szCs w:val="1"/>
                <w:color w:val="auto"/>
              </w:rPr>
            </w:pPr>
          </w:p>
        </w:tc>
      </w:tr>
      <w:tr>
        <w:trPr>
          <w:trHeight w:val="266"/>
        </w:trPr>
        <w:tc>
          <w:tcPr>
            <w:tcW w:w="316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178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36,086</w:t>
            </w:r>
          </w:p>
        </w:tc>
        <w:tc>
          <w:tcPr>
            <w:tcW w:w="140" w:type="dxa"/>
            <w:vAlign w:val="bottom"/>
          </w:tcPr>
          <w:p>
            <w:pPr>
              <w:spacing w:after="0"/>
              <w:rPr>
                <w:sz w:val="23"/>
                <w:szCs w:val="23"/>
                <w:color w:val="auto"/>
              </w:rPr>
            </w:pP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863</w:t>
            </w:r>
          </w:p>
        </w:tc>
        <w:tc>
          <w:tcPr>
            <w:tcW w:w="120" w:type="dxa"/>
            <w:vAlign w:val="bottom"/>
          </w:tcPr>
          <w:p>
            <w:pPr>
              <w:spacing w:after="0"/>
              <w:rPr>
                <w:sz w:val="23"/>
                <w:szCs w:val="23"/>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36,949</w:t>
            </w:r>
          </w:p>
        </w:tc>
        <w:tc>
          <w:tcPr>
            <w:tcW w:w="10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37,127</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15</w:t>
            </w: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(65,214)</w:t>
            </w: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(2,954)</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(68,153)</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(68,681)</w:t>
            </w:r>
          </w:p>
        </w:tc>
        <w:tc>
          <w:tcPr>
            <w:tcW w:w="0" w:type="dxa"/>
            <w:vAlign w:val="bottom"/>
          </w:tcPr>
          <w:p>
            <w:pPr>
              <w:spacing w:after="0"/>
              <w:rPr>
                <w:sz w:val="1"/>
                <w:szCs w:val="1"/>
                <w:color w:val="auto"/>
              </w:rPr>
            </w:pPr>
          </w:p>
        </w:tc>
      </w:tr>
      <w:tr>
        <w:trPr>
          <w:trHeight w:val="240"/>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Balance at March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115,428</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8"/>
              </w:rPr>
              <w:t>4,398,641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(1,317,605)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58,014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3,136,909</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$ 3,252,337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Sun Communities, Inc., a Maryland corporation, and all wholly-owned or majority-owned and controlled subsidiaries, including Sun Communities Operating Limited Partnership (the “Operating Partnership”) and Sun Home Services, Inc. (“SHS”) are referred to herein as the “Company,” “us,” “we,” and “our.”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follow accounting standards set by the Financial Accounting Standards Board (“FASB”). FASB sets generally accepted accounting principles (“GAAP”), which we follow to ensure that we consistently report our financial condition, results of operations, and cash flows. References to GAAP issued by the FASB in these footnotes are to the FASB Accounting Standards Codification (“ASC”).</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intercompany transactions have been eliminated in consolidation. Certain reclassifications have been made to prior period financial statements in order to conform to current period presentation.</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Estimates inherent in the current financial reporting process inevitably involve assumptions about future events. Since December 2019, a novel strain of coronavirus, referred to as the COVID-19 virus, has spread to countries in which we operate. COVID-19 has become a global pandemic. Commencing in March 2020, authorities in jurisdictions where our properties are located have issued stay-at-home orders and restrictions on travel and the types of businesses that may continue to operate. Our property site count consists of 66 percent manufactured housing (“MH”) for residents and 34 percent recreational vehicle (“RV”) for guests. As many RV resorts remain closed and unable to generate revenue and as the pandemic may adversely affect our revenues in our MH communities, the extent and duration of the stay-at-home order will have an effect on estimates used in the preparation of financial statements. This includes the net operating income (“NOI”) assumptions in our long-lived asset impairment testing, the ultimate collectability of rent payments from residents and guests due to the effects of COVID-19 on their financial position, and fair value measurement changes for financial assets that the Company has elected to measure at fair value.</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2019 as filed with the SEC on February 20, 2020 (the “2019 Annual Report”). These statements have been prepared on a basis that is substantially consistent with the accounting principles applied in our 2019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details our revenue by major source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ind w:left="36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63"/>
        </w:trPr>
        <w:tc>
          <w:tcPr>
            <w:tcW w:w="36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March 31, 2020</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March 31, 2019</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169"/>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280" w:type="dxa"/>
            <w:vAlign w:val="bottom"/>
            <w:gridSpan w:val="3"/>
          </w:tcPr>
          <w:p>
            <w:pPr>
              <w:jc w:val="center"/>
              <w:ind w:right="120"/>
              <w:spacing w:after="0" w:line="169" w:lineRule="exact"/>
              <w:rPr>
                <w:sz w:val="20"/>
                <w:szCs w:val="20"/>
                <w:color w:val="auto"/>
              </w:rPr>
            </w:pPr>
            <w:r>
              <w:rPr>
                <w:rFonts w:ascii="Arial" w:cs="Arial" w:eastAsia="Arial" w:hAnsi="Arial"/>
                <w:sz w:val="15"/>
                <w:szCs w:val="15"/>
                <w:b w:val="1"/>
                <w:bCs w:val="1"/>
                <w:color w:val="auto"/>
                <w:w w:val="89"/>
              </w:rPr>
              <w:t>Home Sales and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220" w:type="dxa"/>
            <w:vAlign w:val="bottom"/>
            <w:gridSpan w:val="3"/>
          </w:tcPr>
          <w:p>
            <w:pPr>
              <w:jc w:val="center"/>
              <w:ind w:right="120"/>
              <w:spacing w:after="0" w:line="169" w:lineRule="exact"/>
              <w:rPr>
                <w:sz w:val="20"/>
                <w:szCs w:val="20"/>
                <w:color w:val="auto"/>
              </w:rPr>
            </w:pPr>
            <w:r>
              <w:rPr>
                <w:rFonts w:ascii="Arial" w:cs="Arial" w:eastAsia="Arial" w:hAnsi="Arial"/>
                <w:sz w:val="15"/>
                <w:szCs w:val="15"/>
                <w:b w:val="1"/>
                <w:bCs w:val="1"/>
                <w:color w:val="auto"/>
                <w:w w:val="91"/>
              </w:rPr>
              <w:t>Home Sales and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0"/>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Operations</w:t>
            </w:r>
          </w:p>
        </w:tc>
        <w:tc>
          <w:tcPr>
            <w:tcW w:w="2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Rentals</w:t>
            </w:r>
          </w:p>
        </w:tc>
        <w:tc>
          <w:tcPr>
            <w:tcW w:w="1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5"/>
                <w:szCs w:val="15"/>
                <w:b w:val="1"/>
                <w:bCs w:val="1"/>
                <w:color w:val="auto"/>
              </w:rPr>
              <w:t>Consolidated</w:t>
            </w: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Operations</w:t>
            </w: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2"/>
              </w:rPr>
              <w:t>Rentals</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r>
      <w:tr>
        <w:trPr>
          <w:trHeight w:val="266"/>
        </w:trPr>
        <w:tc>
          <w:tcPr>
            <w:tcW w:w="3620" w:type="dxa"/>
            <w:vAlign w:val="bottom"/>
          </w:tcPr>
          <w:p>
            <w:pPr>
              <w:ind w:left="40"/>
              <w:spacing w:after="0"/>
              <w:rPr>
                <w:sz w:val="20"/>
                <w:szCs w:val="20"/>
                <w:color w:val="auto"/>
              </w:rPr>
            </w:pPr>
            <w:r>
              <w:rPr>
                <w:rFonts w:ascii="Arial" w:cs="Arial" w:eastAsia="Arial" w:hAnsi="Arial"/>
                <w:sz w:val="15"/>
                <w:szCs w:val="15"/>
                <w:b w:val="1"/>
                <w:bCs w:val="1"/>
                <w:color w:val="auto"/>
              </w:rPr>
              <w:t>Revenues</w:t>
            </w:r>
          </w:p>
        </w:tc>
        <w:tc>
          <w:tcPr>
            <w:tcW w:w="1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r>
      <w:tr>
        <w:trPr>
          <w:trHeight w:val="274"/>
        </w:trPr>
        <w:tc>
          <w:tcPr>
            <w:tcW w:w="36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real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237,785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237,785</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215,083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215,083</w:t>
            </w:r>
          </w:p>
        </w:tc>
      </w:tr>
      <w:tr>
        <w:trPr>
          <w:trHeight w:val="266"/>
        </w:trPr>
        <w:tc>
          <w:tcPr>
            <w:tcW w:w="3620" w:type="dxa"/>
            <w:vAlign w:val="bottom"/>
          </w:tcPr>
          <w:p>
            <w:pPr>
              <w:ind w:left="280"/>
              <w:spacing w:after="0"/>
              <w:rPr>
                <w:sz w:val="20"/>
                <w:szCs w:val="20"/>
                <w:color w:val="auto"/>
              </w:rPr>
            </w:pPr>
            <w:r>
              <w:rPr>
                <w:rFonts w:ascii="Arial" w:cs="Arial" w:eastAsia="Arial" w:hAnsi="Arial"/>
                <w:sz w:val="15"/>
                <w:szCs w:val="15"/>
                <w:color w:val="auto"/>
              </w:rPr>
              <w:t>Revenue from home sales</w:t>
            </w:r>
          </w:p>
        </w:tc>
        <w:tc>
          <w:tcPr>
            <w:tcW w:w="12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40,587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40,587</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39,618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39,618</w:t>
            </w:r>
          </w:p>
        </w:tc>
      </w:tr>
      <w:tr>
        <w:trPr>
          <w:trHeight w:val="274"/>
        </w:trPr>
        <w:tc>
          <w:tcPr>
            <w:tcW w:w="36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Rental home revenue</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15,472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15,472</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13,971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13,971</w:t>
            </w:r>
          </w:p>
        </w:tc>
      </w:tr>
      <w:tr>
        <w:trPr>
          <w:trHeight w:val="266"/>
        </w:trPr>
        <w:tc>
          <w:tcPr>
            <w:tcW w:w="3620" w:type="dxa"/>
            <w:vAlign w:val="bottom"/>
          </w:tcPr>
          <w:p>
            <w:pPr>
              <w:ind w:left="280"/>
              <w:spacing w:after="0"/>
              <w:rPr>
                <w:sz w:val="20"/>
                <w:szCs w:val="20"/>
                <w:color w:val="auto"/>
              </w:rPr>
            </w:pPr>
            <w:r>
              <w:rPr>
                <w:rFonts w:ascii="Arial" w:cs="Arial" w:eastAsia="Arial" w:hAnsi="Arial"/>
                <w:sz w:val="15"/>
                <w:szCs w:val="15"/>
                <w:color w:val="auto"/>
              </w:rPr>
              <w:t>Ancillary revenue</w:t>
            </w:r>
          </w:p>
        </w:tc>
        <w:tc>
          <w:tcPr>
            <w:tcW w:w="120" w:type="dxa"/>
            <w:vAlign w:val="bottom"/>
          </w:tcPr>
          <w:p>
            <w:pPr>
              <w:spacing w:after="0"/>
              <w:rPr>
                <w:sz w:val="23"/>
                <w:szCs w:val="23"/>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10,195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10,195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10,178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10,178</w:t>
            </w:r>
          </w:p>
        </w:tc>
      </w:tr>
      <w:tr>
        <w:trPr>
          <w:trHeight w:val="274"/>
        </w:trPr>
        <w:tc>
          <w:tcPr>
            <w:tcW w:w="36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 income</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2,350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2,350</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4,800</w:t>
            </w:r>
          </w:p>
        </w:tc>
      </w:tr>
      <w:tr>
        <w:trPr>
          <w:trHeight w:val="266"/>
        </w:trPr>
        <w:tc>
          <w:tcPr>
            <w:tcW w:w="3620" w:type="dxa"/>
            <w:vAlign w:val="bottom"/>
          </w:tcPr>
          <w:p>
            <w:pPr>
              <w:ind w:left="280"/>
              <w:spacing w:after="0"/>
              <w:rPr>
                <w:sz w:val="20"/>
                <w:szCs w:val="20"/>
                <w:color w:val="auto"/>
              </w:rPr>
            </w:pPr>
            <w:r>
              <w:rPr>
                <w:rFonts w:ascii="Arial" w:cs="Arial" w:eastAsia="Arial" w:hAnsi="Arial"/>
                <w:sz w:val="15"/>
                <w:szCs w:val="15"/>
                <w:color w:val="auto"/>
              </w:rPr>
              <w:t>Brokerage commissions and other revenues, net</w:t>
            </w:r>
          </w:p>
        </w:tc>
        <w:tc>
          <w:tcPr>
            <w:tcW w:w="120" w:type="dxa"/>
            <w:vAlign w:val="bottom"/>
          </w:tcPr>
          <w:p>
            <w:pPr>
              <w:spacing w:after="0"/>
              <w:rPr>
                <w:sz w:val="23"/>
                <w:szCs w:val="23"/>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3,913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3,913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3,680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3,680</w:t>
            </w:r>
          </w:p>
        </w:tc>
      </w:tr>
      <w:tr>
        <w:trPr>
          <w:trHeight w:val="241"/>
        </w:trPr>
        <w:tc>
          <w:tcPr>
            <w:tcW w:w="3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5"/>
                <w:szCs w:val="15"/>
                <w:b w:val="1"/>
                <w:bCs w:val="1"/>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254,243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56,059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310,302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233,741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53,589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287,330</w:t>
            </w: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 and Performance Obligations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1, 2018, we adopted FASB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the other related ASUs and amendments to the codification (collectively “ASC 606”). The core principle of ASC 606 is that an entity should recognize revenue to depict the transfer of promised goods or services to customers in an amount that reflects the consideration to which the entity expects to be entitled in exchange for those goods or services. A five-step transactional analysis is required to determine how and when to recognize revenue. ASC 606 applies to all contracts with customers, except those that are within the scope of other topics in the FASB accounting standards codification.</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real estate owner and operator, the majority of our revenue is derived from site and home leases that are accounted for pursuant to ASC 842 “</w:t>
      </w:r>
      <w:r>
        <w:rPr>
          <w:rFonts w:ascii="Arial" w:cs="Arial" w:eastAsia="Arial" w:hAnsi="Arial"/>
          <w:sz w:val="17"/>
          <w:szCs w:val="17"/>
          <w:i w:val="1"/>
          <w:iCs w:val="1"/>
          <w:color w:val="auto"/>
        </w:rPr>
        <w:t>Leases</w:t>
      </w:r>
      <w:r>
        <w:rPr>
          <w:rFonts w:ascii="Arial" w:cs="Arial" w:eastAsia="Arial" w:hAnsi="Arial"/>
          <w:sz w:val="17"/>
          <w:szCs w:val="17"/>
          <w:color w:val="auto"/>
        </w:rPr>
        <w:t>.” For transactions in the scope of ASC 606, we recognize revenue when control of goods or services transfers to the customer, in the amount that we expect to receive for the transfer of goods or provision of services. The adoption of ASC 606 did not result in any change to the timing and pattern of revenue recognition. Accordingly, retrospective application to prior periods or a cumulative catch-up adjustment was unnecessary.</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Income from real property </w:t>
      </w:r>
      <w:r>
        <w:rPr>
          <w:rFonts w:ascii="Arial" w:cs="Arial" w:eastAsia="Arial" w:hAnsi="Arial"/>
          <w:sz w:val="16"/>
          <w:szCs w:val="16"/>
          <w:color w:val="auto"/>
        </w:rPr>
        <w:t>- Residents in our communities lease the site on which their home is located, and either own or lease their home. Resident leases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for one-year or month-to-month terms and are renewable by mutual agreement between us and the resident, or in some cases, as provided by jurisdictional statute. Lease revenues for sites and homes fall under the scope of ASC 842, and are accounted for as operating leases with straight-line recognition. Income from real property includes income from site leases for annual MH residents, site leases for annual RV residents and site rentals to transient RV residents. Non-lease components of our site lease contracts, which are primarily provision of utility services, are accounted for with the site lease as a single lease under ASC 842. Additionally, we include collections of real estate taxes from residents within Income from real property.</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Revenue from home sales </w:t>
      </w:r>
      <w:r>
        <w:rPr>
          <w:rFonts w:ascii="Arial" w:cs="Arial" w:eastAsia="Arial" w:hAnsi="Arial"/>
          <w:sz w:val="17"/>
          <w:szCs w:val="17"/>
          <w:color w:val="auto"/>
        </w:rPr>
        <w:t>- Our taxable REIT subsidiary, SHS, sells manufactured homes to current and prospective residents in our communities.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of ASC 606, we recognized revenue for home sales pursuant to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 manufactured homes are tangible personal property that can be located on any land parcel. Manufactured homes are not permanent fixtures or improvements to the underlying real estate and were therefore not considered to be subject to the guidance in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by the Company. In accordance with the core principle of ASC 606, we recognize revenue from home sales at the time of closing when control of the home transfers to the customer. After closing of the sale transaction, we have no remaining performance obligation. As of March 31, 2020, and December 31, 2019, we had $27.6 million and $20.9 million, respectively, of receivables from contracts with customers, which consists of home sales proceeds, and are presented as a component of Notes and other receivables, net on our Consolidated Balance Sheets. These receivables represent balances owed to us for previously completed performance obligations for sales of manufactured homes.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Rental home revenue </w:t>
      </w:r>
      <w:r>
        <w:rPr>
          <w:rFonts w:ascii="Arial" w:cs="Arial" w:eastAsia="Arial" w:hAnsi="Arial"/>
          <w:sz w:val="18"/>
          <w:szCs w:val="18"/>
          <w:color w:val="auto"/>
        </w:rPr>
        <w:t>- is comprised of rental agreements whereby we lease homes to residents in our communities. We account for these revenues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ASC 842.</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Ancillary revenue </w:t>
      </w:r>
      <w:r>
        <w:rPr>
          <w:rFonts w:ascii="Arial" w:cs="Arial" w:eastAsia="Arial" w:hAnsi="Arial"/>
          <w:sz w:val="17"/>
          <w:szCs w:val="17"/>
          <w:color w:val="auto"/>
        </w:rPr>
        <w:t>- is primarily composed of proceeds from restaurant, golf, merchandise and other activities at our RV communities and is included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of ASC 606. Revenues are recognized at point of sale when control of the good or service transfers to the customer and our performance obligation is satisfied. In addition, leasing of short-term vacation home rentals is included within Ancillary revenue and falls within the scope of ASC 842. Sales and other taxes that we collect concurrent with revenue-producing activities are excluded from the transaction price.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 is earned primarily on our notes receivable, which include installment notes receivables on manufactured homes purchased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from loan originators. Interest income on these receivables is accrued based on the unpaid principal balances of the underlying loans on a level yield basis over the life of the loans. Interest income is not in the scope of ASC 606. Refer to Note 4, “Notes and Other Receivables” for additional information.</w:t>
      </w:r>
    </w:p>
    <w:p>
      <w:pPr>
        <w:spacing w:after="0" w:line="10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Broker commissions and other revenues, net </w:t>
      </w:r>
      <w:r>
        <w:rPr>
          <w:rFonts w:ascii="Arial" w:cs="Arial" w:eastAsia="Arial" w:hAnsi="Arial"/>
          <w:sz w:val="16"/>
          <w:szCs w:val="16"/>
          <w:color w:val="auto"/>
        </w:rPr>
        <w:t>- is primarily comprised of brokerage commissions for sales of manufactured homes, where we act as agent</w:t>
      </w:r>
      <w:r>
        <w:rPr>
          <w:rFonts w:ascii="Arial" w:cs="Arial" w:eastAsia="Arial" w:hAnsi="Arial"/>
          <w:sz w:val="16"/>
          <w:szCs w:val="16"/>
          <w:i w:val="1"/>
          <w:iCs w:val="1"/>
          <w:color w:val="auto"/>
        </w:rPr>
        <w:t xml:space="preserve"> </w:t>
      </w:r>
      <w:r>
        <w:rPr>
          <w:rFonts w:ascii="Arial" w:cs="Arial" w:eastAsia="Arial" w:hAnsi="Arial"/>
          <w:sz w:val="16"/>
          <w:szCs w:val="16"/>
          <w:color w:val="auto"/>
        </w:rPr>
        <w:t>and arrange for a third party to transfer a manufactured home to a customer within one of our communities. Brokerage commission revenues are recognized on a net basis at closing, when the transaction is completed and our performance obligations have been fulfilled. Loan loss reserve expenses for our notes receivable are also included herein. Refer to Note 4, “Notes and Other Receivables” for additional information regarding our loan loss reserves.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we acquired the following communities: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40" w:type="dxa"/>
            <w:vAlign w:val="bottom"/>
            <w:tcBorders>
              <w:bottom w:val="single" w:sz="8" w:color="auto"/>
            </w:tcBorders>
          </w:tcPr>
          <w:p>
            <w:pPr>
              <w:ind w:left="88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Type</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Sites</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Development Sites</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State</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Month Acquired</w:t>
            </w:r>
          </w:p>
        </w:tc>
      </w:tr>
      <w:tr>
        <w:trPr>
          <w:trHeight w:val="254"/>
        </w:trPr>
        <w:tc>
          <w:tcPr>
            <w:tcW w:w="3060" w:type="dxa"/>
            <w:vAlign w:val="bottom"/>
            <w:gridSpan w:val="2"/>
            <w:shd w:val="clear" w:color="auto" w:fill="CCEEFF"/>
          </w:tcPr>
          <w:p>
            <w:pPr>
              <w:ind w:left="40"/>
              <w:spacing w:after="0" w:line="254" w:lineRule="exact"/>
              <w:rPr>
                <w:sz w:val="20"/>
                <w:szCs w:val="20"/>
                <w:color w:val="auto"/>
              </w:rPr>
            </w:pPr>
            <w:r>
              <w:rPr>
                <w:rFonts w:ascii="Arial" w:cs="Arial" w:eastAsia="Arial" w:hAnsi="Arial"/>
                <w:sz w:val="15"/>
                <w:szCs w:val="15"/>
                <w:color w:val="auto"/>
              </w:rPr>
              <w:t xml:space="preserve">Cape Cod </w:t>
            </w:r>
            <w:r>
              <w:rPr>
                <w:rFonts w:ascii="Arial" w:cs="Arial" w:eastAsia="Arial" w:hAnsi="Arial"/>
                <w:sz w:val="25"/>
                <w:szCs w:val="25"/>
                <w:color w:val="auto"/>
                <w:vertAlign w:val="superscript"/>
              </w:rPr>
              <w:t>(1)</w:t>
            </w:r>
          </w:p>
        </w:tc>
        <w:tc>
          <w:tcPr>
            <w:tcW w:w="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ind w:left="13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w:t>
            </w:r>
          </w:p>
        </w:tc>
        <w:tc>
          <w:tcPr>
            <w:tcW w:w="1680" w:type="dxa"/>
            <w:vAlign w:val="bottom"/>
            <w:shd w:val="clear" w:color="auto" w:fill="CCEEFF"/>
          </w:tcPr>
          <w:p>
            <w:pPr>
              <w:ind w:left="40"/>
              <w:spacing w:after="0"/>
              <w:rPr>
                <w:sz w:val="20"/>
                <w:szCs w:val="20"/>
                <w:color w:val="auto"/>
              </w:rPr>
            </w:pPr>
            <w:r>
              <w:rPr>
                <w:rFonts w:ascii="Arial" w:cs="Arial" w:eastAsia="Arial" w:hAnsi="Arial"/>
                <w:sz w:val="15"/>
                <w:szCs w:val="15"/>
                <w:color w:val="auto"/>
              </w:rPr>
              <w:t>January</w:t>
            </w:r>
          </w:p>
        </w:tc>
      </w:tr>
      <w:tr>
        <w:trPr>
          <w:trHeight w:val="266"/>
        </w:trPr>
        <w:tc>
          <w:tcPr>
            <w:tcW w:w="30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Jellystone Natural Bridge</w:t>
            </w:r>
          </w:p>
        </w:tc>
        <w:tc>
          <w:tcPr>
            <w:tcW w:w="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RV</w:t>
            </w:r>
          </w:p>
        </w:tc>
        <w:tc>
          <w:tcPr>
            <w:tcW w:w="16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299</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ind w:left="13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VA</w:t>
            </w:r>
          </w:p>
        </w:tc>
        <w:tc>
          <w:tcPr>
            <w:tcW w:w="16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February</w:t>
            </w:r>
          </w:p>
        </w:tc>
      </w:tr>
      <w:tr>
        <w:trPr>
          <w:trHeight w:val="240"/>
        </w:trPr>
        <w:tc>
          <w:tcPr>
            <w:tcW w:w="2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529</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bl>
    <w:p>
      <w:pPr>
        <w:spacing w:after="0" w:line="8"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In conjunction with the acquisition, we issued Series E Preferred Operating Partnership (“OP”) Units. As of March 31, 2020, 90,000 Series E Preferred OP Units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-98425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for the three months ended March 31, 2020 (in thousands):</w:t>
      </w:r>
    </w:p>
    <w:p>
      <w:pPr>
        <w:spacing w:after="0" w:line="329"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2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5"/>
          </w:tcPr>
          <w:p>
            <w:pPr>
              <w:ind w:left="860"/>
              <w:spacing w:after="0"/>
              <w:rPr>
                <w:sz w:val="20"/>
                <w:szCs w:val="20"/>
                <w:color w:val="auto"/>
              </w:rPr>
            </w:pPr>
            <w:r>
              <w:rPr>
                <w:rFonts w:ascii="Arial" w:cs="Arial" w:eastAsia="Arial" w:hAnsi="Arial"/>
                <w:sz w:val="15"/>
                <w:szCs w:val="15"/>
                <w:b w:val="1"/>
                <w:bCs w:val="1"/>
                <w:color w:val="auto"/>
              </w:rPr>
              <w:t>At Acquisition Date</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w w:val="99"/>
              </w:rPr>
              <w:t>Consideration</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69"/>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20"/>
              <w:spacing w:after="0" w:line="169" w:lineRule="exact"/>
              <w:rPr>
                <w:sz w:val="20"/>
                <w:szCs w:val="20"/>
                <w:color w:val="auto"/>
              </w:rPr>
            </w:pPr>
            <w:r>
              <w:rPr>
                <w:rFonts w:ascii="Arial" w:cs="Arial" w:eastAsia="Arial" w:hAnsi="Arial"/>
                <w:sz w:val="15"/>
                <w:szCs w:val="15"/>
                <w:color w:val="auto"/>
                <w:w w:val="89"/>
              </w:rPr>
              <w:t>In-place leases and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right="140"/>
              <w:spacing w:after="0" w:line="169" w:lineRule="exact"/>
              <w:rPr>
                <w:sz w:val="20"/>
                <w:szCs w:val="20"/>
                <w:color w:val="auto"/>
              </w:rPr>
            </w:pPr>
            <w:r>
              <w:rPr>
                <w:rFonts w:ascii="Arial" w:cs="Arial" w:eastAsia="Arial" w:hAnsi="Arial"/>
                <w:sz w:val="15"/>
                <w:szCs w:val="15"/>
                <w:b w:val="1"/>
                <w:bCs w:val="1"/>
                <w:color w:val="auto"/>
                <w:w w:val="89"/>
              </w:rPr>
              <w:t>Total identifiable assets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1140" w:type="dxa"/>
            <w:vAlign w:val="bottom"/>
            <w:gridSpan w:val="3"/>
          </w:tcPr>
          <w:p>
            <w:pPr>
              <w:jc w:val="center"/>
              <w:ind w:right="140"/>
              <w:spacing w:after="0" w:line="162" w:lineRule="exact"/>
              <w:rPr>
                <w:sz w:val="20"/>
                <w:szCs w:val="20"/>
                <w:color w:val="auto"/>
              </w:rPr>
            </w:pPr>
            <w:r>
              <w:rPr>
                <w:rFonts w:ascii="Arial" w:cs="Arial" w:eastAsia="Arial" w:hAnsi="Arial"/>
                <w:sz w:val="15"/>
                <w:szCs w:val="15"/>
                <w:color w:val="auto"/>
                <w:w w:val="94"/>
              </w:rPr>
              <w:t>Investment in</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93"/>
              </w:rPr>
              <w:t>other intangible</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Other assets</w:t>
            </w:r>
          </w:p>
        </w:tc>
        <w:tc>
          <w:tcPr>
            <w:tcW w:w="160" w:type="dxa"/>
            <w:vAlign w:val="bottom"/>
          </w:tcPr>
          <w:p>
            <w:pPr>
              <w:spacing w:after="0"/>
              <w:rPr>
                <w:sz w:val="14"/>
                <w:szCs w:val="14"/>
                <w:color w:val="auto"/>
              </w:rPr>
            </w:pPr>
          </w:p>
        </w:tc>
        <w:tc>
          <w:tcPr>
            <w:tcW w:w="162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1"/>
              </w:rPr>
              <w:t>acquired net of</w:t>
            </w:r>
          </w:p>
        </w:tc>
        <w:tc>
          <w:tcPr>
            <w:tcW w:w="80" w:type="dxa"/>
            <w:vAlign w:val="bottom"/>
          </w:tcPr>
          <w:p>
            <w:pPr>
              <w:spacing w:after="0"/>
              <w:rPr>
                <w:sz w:val="14"/>
                <w:szCs w:val="14"/>
                <w:color w:val="auto"/>
              </w:rPr>
            </w:pPr>
          </w:p>
        </w:tc>
        <w:tc>
          <w:tcPr>
            <w:tcW w:w="780" w:type="dxa"/>
            <w:vAlign w:val="bottom"/>
            <w:gridSpan w:val="2"/>
          </w:tcPr>
          <w:p>
            <w:pPr>
              <w:jc w:val="center"/>
              <w:ind w:right="200"/>
              <w:spacing w:after="0" w:line="162" w:lineRule="exact"/>
              <w:rPr>
                <w:sz w:val="20"/>
                <w:szCs w:val="20"/>
                <w:color w:val="auto"/>
              </w:rPr>
            </w:pPr>
            <w:r>
              <w:rPr>
                <w:rFonts w:ascii="Arial" w:cs="Arial" w:eastAsia="Arial" w:hAnsi="Arial"/>
                <w:sz w:val="15"/>
                <w:szCs w:val="15"/>
                <w:color w:val="auto"/>
                <w:w w:val="90"/>
              </w:rPr>
              <w:t>Cash and</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2"/>
              </w:rPr>
              <w:t>Temporary and</w:t>
            </w:r>
          </w:p>
        </w:tc>
        <w:tc>
          <w:tcPr>
            <w:tcW w:w="100" w:type="dxa"/>
            <w:vAlign w:val="bottom"/>
          </w:tcPr>
          <w:p>
            <w:pPr>
              <w:spacing w:after="0"/>
              <w:rPr>
                <w:sz w:val="14"/>
                <w:szCs w:val="14"/>
                <w:color w:val="auto"/>
              </w:rPr>
            </w:pPr>
          </w:p>
        </w:tc>
        <w:tc>
          <w:tcPr>
            <w:tcW w:w="1000" w:type="dxa"/>
            <w:vAlign w:val="bottom"/>
          </w:tcPr>
          <w:p>
            <w:pPr>
              <w:jc w:val="right"/>
              <w:ind w:right="324"/>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5"/>
                <w:szCs w:val="15"/>
                <w:color w:val="auto"/>
                <w:w w:val="94"/>
              </w:rPr>
              <w:t>property</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color w:val="auto"/>
                <w:w w:val="82"/>
              </w:rPr>
              <w:t>assets</w:t>
            </w: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color w:val="auto"/>
                <w:w w:val="95"/>
              </w:rPr>
              <w:t>(liabilities), net</w:t>
            </w:r>
          </w:p>
        </w:tc>
        <w:tc>
          <w:tcPr>
            <w:tcW w:w="16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liabilities assumed</w:t>
            </w:r>
          </w:p>
        </w:tc>
        <w:tc>
          <w:tcPr>
            <w:tcW w:w="8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5"/>
                <w:szCs w:val="15"/>
                <w:color w:val="auto"/>
                <w:w w:val="88"/>
              </w:rPr>
              <w:t>escrow</w:t>
            </w:r>
          </w:p>
        </w:tc>
        <w:tc>
          <w:tcPr>
            <w:tcW w:w="1340" w:type="dxa"/>
            <w:vAlign w:val="bottom"/>
            <w:gridSpan w:val="3"/>
          </w:tcPr>
          <w:p>
            <w:pPr>
              <w:jc w:val="center"/>
              <w:ind w:right="120"/>
              <w:spacing w:after="0"/>
              <w:rPr>
                <w:sz w:val="20"/>
                <w:szCs w:val="20"/>
                <w:color w:val="auto"/>
              </w:rPr>
            </w:pPr>
            <w:r>
              <w:rPr>
                <w:rFonts w:ascii="Arial" w:cs="Arial" w:eastAsia="Arial" w:hAnsi="Arial"/>
                <w:sz w:val="15"/>
                <w:szCs w:val="15"/>
                <w:color w:val="auto"/>
                <w:w w:val="91"/>
              </w:rPr>
              <w:t>permanent equity</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87"/>
              </w:rPr>
              <w:t>consideration</w:t>
            </w:r>
          </w:p>
        </w:tc>
      </w:tr>
      <w:tr>
        <w:trPr>
          <w:trHeight w:val="254"/>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Cape Cod</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13,350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150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13,205</w:t>
            </w: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4,205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9,000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13,205</w:t>
            </w:r>
          </w:p>
        </w:tc>
      </w:tr>
      <w:tr>
        <w:trPr>
          <w:trHeight w:val="266"/>
        </w:trPr>
        <w:tc>
          <w:tcPr>
            <w:tcW w:w="2120" w:type="dxa"/>
            <w:vAlign w:val="bottom"/>
          </w:tcPr>
          <w:p>
            <w:pPr>
              <w:ind w:left="20"/>
              <w:spacing w:after="0"/>
              <w:rPr>
                <w:sz w:val="20"/>
                <w:szCs w:val="20"/>
                <w:color w:val="auto"/>
              </w:rPr>
            </w:pPr>
            <w:r>
              <w:rPr>
                <w:rFonts w:ascii="Arial" w:cs="Arial" w:eastAsia="Arial" w:hAnsi="Arial"/>
                <w:sz w:val="15"/>
                <w:szCs w:val="15"/>
                <w:color w:val="auto"/>
              </w:rPr>
              <w:t>Jellystone Natural Bridge</w:t>
            </w:r>
          </w:p>
        </w:tc>
        <w:tc>
          <w:tcPr>
            <w:tcW w:w="180" w:type="dxa"/>
            <w:vAlign w:val="bottom"/>
          </w:tcPr>
          <w:p>
            <w:pPr>
              <w:spacing w:after="0"/>
              <w:rPr>
                <w:sz w:val="23"/>
                <w:szCs w:val="23"/>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11,364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44"/>
              <w:spacing w:after="0"/>
              <w:rPr>
                <w:sz w:val="20"/>
                <w:szCs w:val="20"/>
                <w:color w:val="auto"/>
              </w:rPr>
            </w:pPr>
            <w:r>
              <w:rPr>
                <w:rFonts w:ascii="Arial" w:cs="Arial" w:eastAsia="Arial" w:hAnsi="Arial"/>
                <w:sz w:val="15"/>
                <w:szCs w:val="15"/>
                <w:color w:val="auto"/>
              </w:rPr>
              <w:t>11,053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11,053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11,053</w:t>
            </w:r>
          </w:p>
        </w:tc>
      </w:tr>
      <w:tr>
        <w:trPr>
          <w:trHeight w:val="240"/>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24,714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24,258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15,258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24,258</w:t>
            </w:r>
          </w:p>
        </w:tc>
      </w:tr>
      <w:tr>
        <w:trPr>
          <w:trHeight w:val="20"/>
        </w:trPr>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we have incurred $0.9 million of additional capitalized transaction costs which have been allocated among the various categories above.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amount of revenues and net income included in the Consolidated Statements of Operations for the three months ended March 31, 2020 related to the acquisitions completed in 2020 are set forth in the following table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jc w:val="right"/>
              <w:ind w:right="404"/>
              <w:spacing w:after="0"/>
              <w:rPr>
                <w:sz w:val="20"/>
                <w:szCs w:val="20"/>
                <w:color w:val="auto"/>
              </w:rPr>
            </w:pPr>
            <w:r>
              <w:rPr>
                <w:rFonts w:ascii="Arial" w:cs="Arial" w:eastAsia="Arial" w:hAnsi="Arial"/>
                <w:sz w:val="15"/>
                <w:szCs w:val="15"/>
                <w:b w:val="1"/>
                <w:bCs w:val="1"/>
                <w:color w:val="auto"/>
              </w:rPr>
              <w:t>Three Months Ended</w:t>
            </w:r>
          </w:p>
        </w:tc>
      </w:tr>
      <w:tr>
        <w:trPr>
          <w:trHeight w:val="274"/>
        </w:trPr>
        <w:tc>
          <w:tcPr>
            <w:tcW w:w="89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March 31, 2020</w:t>
            </w:r>
          </w:p>
        </w:tc>
      </w:tr>
      <w:tr>
        <w:trPr>
          <w:trHeight w:val="254"/>
        </w:trPr>
        <w:tc>
          <w:tcPr>
            <w:tcW w:w="8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20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92</w:t>
            </w:r>
          </w:p>
        </w:tc>
      </w:tr>
      <w:tr>
        <w:trPr>
          <w:trHeight w:val="262"/>
        </w:trPr>
        <w:tc>
          <w:tcPr>
            <w:tcW w:w="8900" w:type="dxa"/>
            <w:vAlign w:val="bottom"/>
          </w:tcPr>
          <w:p>
            <w:pPr>
              <w:ind w:left="40"/>
              <w:spacing w:after="0"/>
              <w:rPr>
                <w:sz w:val="20"/>
                <w:szCs w:val="20"/>
                <w:color w:val="auto"/>
              </w:rPr>
            </w:pPr>
            <w:r>
              <w:rPr>
                <w:rFonts w:ascii="Arial" w:cs="Arial" w:eastAsia="Arial" w:hAnsi="Arial"/>
                <w:sz w:val="15"/>
                <w:szCs w:val="15"/>
                <w:color w:val="auto"/>
              </w:rPr>
              <w:t>Net loss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2060" w:type="dxa"/>
            <w:vAlign w:val="bottom"/>
          </w:tcPr>
          <w:p>
            <w:pPr>
              <w:jc w:val="right"/>
              <w:spacing w:after="0"/>
              <w:rPr>
                <w:sz w:val="20"/>
                <w:szCs w:val="20"/>
                <w:color w:val="auto"/>
              </w:rPr>
            </w:pPr>
            <w:r>
              <w:rPr>
                <w:rFonts w:ascii="Arial" w:cs="Arial" w:eastAsia="Arial" w:hAnsi="Arial"/>
                <w:sz w:val="15"/>
                <w:szCs w:val="15"/>
                <w:color w:val="auto"/>
              </w:rPr>
              <w:t>(106)</w:t>
            </w:r>
          </w:p>
        </w:tc>
      </w:tr>
    </w:tbl>
    <w:p>
      <w:pPr>
        <w:spacing w:after="0" w:line="200" w:lineRule="exact"/>
        <w:rPr>
          <w:sz w:val="20"/>
          <w:szCs w:val="20"/>
          <w:color w:val="auto"/>
        </w:rPr>
      </w:pP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unaudited pro forma financial information presents the results of our operations for the three months ended March 31, 2020 and 2019, as if the properties acquired in 2020 had been acquired on January 1, 2019. The unaudited pro forma results reflect certain adjustments for items that are not expected to have a continuing impact, such as adjustments for transaction costs incurred, management fees, and purchase accounting.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presented below has been prepared for comparative purposes only and does not purport to be indicative of either future results of operations or the results of operations that would have actually occurred had the acquisition been consummated on January 1, 2019 (in thousands, except per-share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5"/>
                <w:szCs w:val="15"/>
                <w:b w:val="1"/>
                <w:bCs w:val="1"/>
                <w:color w:val="auto"/>
              </w:rPr>
              <w:t>Three Months Ended</w:t>
            </w:r>
          </w:p>
        </w:tc>
      </w:tr>
      <w:tr>
        <w:trPr>
          <w:trHeight w:val="263"/>
        </w:trPr>
        <w:tc>
          <w:tcPr>
            <w:tcW w:w="8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2020</w:t>
            </w:r>
          </w:p>
        </w:tc>
        <w:tc>
          <w:tcPr>
            <w:tcW w:w="140" w:type="dxa"/>
            <w:vAlign w:val="bottom"/>
          </w:tcPr>
          <w:p>
            <w:pPr>
              <w:spacing w:after="0"/>
              <w:rPr>
                <w:sz w:val="22"/>
                <w:szCs w:val="22"/>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March 31, 2019</w:t>
            </w:r>
          </w:p>
        </w:tc>
      </w:tr>
      <w:tr>
        <w:trPr>
          <w:trHeight w:val="254"/>
        </w:trPr>
        <w:tc>
          <w:tcPr>
            <w:tcW w:w="8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310,711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288,136</w:t>
            </w:r>
          </w:p>
        </w:tc>
      </w:tr>
      <w:tr>
        <w:trPr>
          <w:trHeight w:val="266"/>
        </w:trPr>
        <w:tc>
          <w:tcPr>
            <w:tcW w:w="8440" w:type="dxa"/>
            <w:vAlign w:val="bottom"/>
          </w:tcPr>
          <w:p>
            <w:pPr>
              <w:ind w:left="40"/>
              <w:spacing w:after="0"/>
              <w:rPr>
                <w:sz w:val="20"/>
                <w:szCs w:val="20"/>
                <w:color w:val="auto"/>
              </w:rPr>
            </w:pPr>
            <w:r>
              <w:rPr>
                <w:rFonts w:ascii="Arial" w:cs="Arial" w:eastAsia="Arial" w:hAnsi="Arial"/>
                <w:sz w:val="15"/>
                <w:szCs w:val="15"/>
                <w:color w:val="auto"/>
              </w:rPr>
              <w:t>Net income / (loss) attributable to Sun Communities, Inc. common stockholders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(14,776)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40,078</w:t>
            </w:r>
          </w:p>
        </w:tc>
      </w:tr>
      <w:tr>
        <w:trPr>
          <w:trHeight w:val="274"/>
        </w:trPr>
        <w:tc>
          <w:tcPr>
            <w:tcW w:w="8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 (loss) per share attributable to Sun Communities, Inc. common stockholders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0.47</w:t>
            </w:r>
          </w:p>
        </w:tc>
      </w:tr>
      <w:tr>
        <w:trPr>
          <w:trHeight w:val="262"/>
        </w:trPr>
        <w:tc>
          <w:tcPr>
            <w:tcW w:w="8440" w:type="dxa"/>
            <w:vAlign w:val="bottom"/>
          </w:tcPr>
          <w:p>
            <w:pPr>
              <w:ind w:left="40"/>
              <w:spacing w:after="0"/>
              <w:rPr>
                <w:sz w:val="20"/>
                <w:szCs w:val="20"/>
                <w:color w:val="auto"/>
              </w:rPr>
            </w:pPr>
            <w:r>
              <w:rPr>
                <w:rFonts w:ascii="Arial" w:cs="Arial" w:eastAsia="Arial" w:hAnsi="Arial"/>
                <w:sz w:val="15"/>
                <w:szCs w:val="15"/>
                <w:color w:val="auto"/>
              </w:rPr>
              <w:t>Net income / (loss) per share attributable to Sun Communities, Inc. common stockholders -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0.47</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we acquired the following communities: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40" w:type="dxa"/>
            <w:vAlign w:val="bottom"/>
            <w:tcBorders>
              <w:bottom w:val="single" w:sz="8" w:color="auto"/>
            </w:tcBorders>
          </w:tcPr>
          <w:p>
            <w:pPr>
              <w:ind w:left="92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tcBorders>
              <w:bottom w:val="single" w:sz="8" w:color="CCEEFF"/>
            </w:tcBorders>
          </w:tcPr>
          <w:p>
            <w:pPr>
              <w:spacing w:after="0"/>
              <w:rPr>
                <w:sz w:val="17"/>
                <w:szCs w:val="17"/>
                <w:color w:val="auto"/>
              </w:rPr>
            </w:pPr>
          </w:p>
        </w:tc>
        <w:tc>
          <w:tcPr>
            <w:tcW w:w="2360" w:type="dxa"/>
            <w:vAlign w:val="bottom"/>
            <w:tcBorders>
              <w:bottom w:val="single" w:sz="8" w:color="auto"/>
            </w:tcBorders>
          </w:tcPr>
          <w:p>
            <w:pPr>
              <w:ind w:left="1020"/>
              <w:spacing w:after="0"/>
              <w:rPr>
                <w:sz w:val="20"/>
                <w:szCs w:val="20"/>
                <w:color w:val="auto"/>
              </w:rPr>
            </w:pPr>
            <w:r>
              <w:rPr>
                <w:rFonts w:ascii="Arial" w:cs="Arial" w:eastAsia="Arial" w:hAnsi="Arial"/>
                <w:sz w:val="15"/>
                <w:szCs w:val="15"/>
                <w:b w:val="1"/>
                <w:bCs w:val="1"/>
                <w:color w:val="auto"/>
              </w:rPr>
              <w:t>Type</w:t>
            </w: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Sites</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Development Sites</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State</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Month Acquired</w:t>
            </w:r>
          </w:p>
        </w:tc>
      </w:tr>
      <w:tr>
        <w:trPr>
          <w:trHeight w:val="254"/>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Slickrock Campground</w:t>
            </w:r>
          </w:p>
        </w:tc>
        <w:tc>
          <w:tcPr>
            <w:tcW w:w="2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RV</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193</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UT</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r>
      <w:tr>
        <w:trPr>
          <w:trHeight w:val="266"/>
        </w:trPr>
        <w:tc>
          <w:tcPr>
            <w:tcW w:w="3160" w:type="dxa"/>
            <w:vAlign w:val="bottom"/>
            <w:gridSpan w:val="2"/>
          </w:tcPr>
          <w:p>
            <w:pPr>
              <w:ind w:left="40"/>
              <w:spacing w:after="0"/>
              <w:rPr>
                <w:sz w:val="20"/>
                <w:szCs w:val="20"/>
                <w:color w:val="auto"/>
              </w:rPr>
            </w:pPr>
            <w:r>
              <w:rPr>
                <w:rFonts w:ascii="Arial" w:cs="Arial" w:eastAsia="Arial" w:hAnsi="Arial"/>
                <w:sz w:val="15"/>
                <w:szCs w:val="15"/>
                <w:color w:val="auto"/>
              </w:rPr>
              <w:t>Pandion Ridge</w:t>
            </w:r>
          </w:p>
        </w:tc>
        <w:tc>
          <w:tcPr>
            <w:tcW w:w="2500" w:type="dxa"/>
            <w:vAlign w:val="bottom"/>
            <w:gridSpan w:val="2"/>
          </w:tcPr>
          <w:p>
            <w:pPr>
              <w:ind w:left="40"/>
              <w:spacing w:after="0"/>
              <w:rPr>
                <w:sz w:val="20"/>
                <w:szCs w:val="20"/>
                <w:color w:val="auto"/>
              </w:rPr>
            </w:pPr>
            <w:r>
              <w:rPr>
                <w:rFonts w:ascii="Arial" w:cs="Arial" w:eastAsia="Arial" w:hAnsi="Arial"/>
                <w:sz w:val="15"/>
                <w:szCs w:val="15"/>
                <w:color w:val="auto"/>
              </w:rPr>
              <w:t>RV</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142</w:t>
            </w:r>
          </w:p>
        </w:tc>
        <w:tc>
          <w:tcPr>
            <w:tcW w:w="120" w:type="dxa"/>
            <w:vAlign w:val="bottom"/>
          </w:tcPr>
          <w:p>
            <w:pPr>
              <w:spacing w:after="0"/>
              <w:rPr>
                <w:sz w:val="23"/>
                <w:szCs w:val="23"/>
                <w:color w:val="auto"/>
              </w:rPr>
            </w:pPr>
          </w:p>
        </w:tc>
        <w:tc>
          <w:tcPr>
            <w:tcW w:w="1560" w:type="dxa"/>
            <w:vAlign w:val="bottom"/>
          </w:tcPr>
          <w:p>
            <w:pPr>
              <w:jc w:val="right"/>
              <w:ind w:right="24"/>
              <w:spacing w:after="0"/>
              <w:rPr>
                <w:sz w:val="20"/>
                <w:szCs w:val="20"/>
                <w:color w:val="auto"/>
              </w:rPr>
            </w:pPr>
            <w:r>
              <w:rPr>
                <w:rFonts w:ascii="Arial" w:cs="Arial" w:eastAsia="Arial" w:hAnsi="Arial"/>
                <w:sz w:val="15"/>
                <w:szCs w:val="15"/>
                <w:color w:val="auto"/>
              </w:rPr>
              <w:t>351</w:t>
            </w:r>
          </w:p>
        </w:tc>
        <w:tc>
          <w:tcPr>
            <w:tcW w:w="10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15"/>
                <w:szCs w:val="15"/>
                <w:color w:val="auto"/>
              </w:rPr>
              <w:t>AL</w:t>
            </w:r>
          </w:p>
        </w:tc>
        <w:tc>
          <w:tcPr>
            <w:tcW w:w="1560" w:type="dxa"/>
            <w:vAlign w:val="bottom"/>
          </w:tcPr>
          <w:p>
            <w:pPr>
              <w:ind w:left="20"/>
              <w:spacing w:after="0"/>
              <w:rPr>
                <w:sz w:val="20"/>
                <w:szCs w:val="20"/>
                <w:color w:val="auto"/>
              </w:rPr>
            </w:pPr>
            <w:r>
              <w:rPr>
                <w:rFonts w:ascii="Arial" w:cs="Arial" w:eastAsia="Arial" w:hAnsi="Arial"/>
                <w:sz w:val="15"/>
                <w:szCs w:val="15"/>
                <w:color w:val="auto"/>
              </w:rPr>
              <w:t>November</w:t>
            </w:r>
          </w:p>
        </w:tc>
      </w:tr>
      <w:tr>
        <w:trPr>
          <w:trHeight w:val="274"/>
        </w:trPr>
        <w:tc>
          <w:tcPr>
            <w:tcW w:w="316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Jensen Portfolio </w:t>
            </w:r>
            <w:r>
              <w:rPr>
                <w:rFonts w:ascii="Arial" w:cs="Arial" w:eastAsia="Arial" w:hAnsi="Arial"/>
                <w:sz w:val="25"/>
                <w:szCs w:val="25"/>
                <w:color w:val="auto"/>
                <w:vertAlign w:val="superscript"/>
              </w:rPr>
              <w:t>(1)</w:t>
            </w:r>
          </w:p>
        </w:tc>
        <w:tc>
          <w:tcPr>
            <w:tcW w:w="2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MH</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5,230</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466</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Various</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October</w:t>
            </w:r>
          </w:p>
        </w:tc>
      </w:tr>
      <w:tr>
        <w:trPr>
          <w:trHeight w:val="266"/>
        </w:trPr>
        <w:tc>
          <w:tcPr>
            <w:tcW w:w="3160" w:type="dxa"/>
            <w:vAlign w:val="bottom"/>
            <w:gridSpan w:val="2"/>
          </w:tcPr>
          <w:p>
            <w:pPr>
              <w:ind w:left="40"/>
              <w:spacing w:after="0"/>
              <w:rPr>
                <w:sz w:val="20"/>
                <w:szCs w:val="20"/>
                <w:color w:val="auto"/>
              </w:rPr>
            </w:pPr>
            <w:r>
              <w:rPr>
                <w:rFonts w:ascii="Arial" w:cs="Arial" w:eastAsia="Arial" w:hAnsi="Arial"/>
                <w:sz w:val="15"/>
                <w:szCs w:val="15"/>
                <w:color w:val="auto"/>
              </w:rPr>
              <w:t>Glen Ellis</w:t>
            </w:r>
          </w:p>
        </w:tc>
        <w:tc>
          <w:tcPr>
            <w:tcW w:w="2500" w:type="dxa"/>
            <w:vAlign w:val="bottom"/>
            <w:gridSpan w:val="2"/>
          </w:tcPr>
          <w:p>
            <w:pPr>
              <w:ind w:left="40"/>
              <w:spacing w:after="0"/>
              <w:rPr>
                <w:sz w:val="20"/>
                <w:szCs w:val="20"/>
                <w:color w:val="auto"/>
              </w:rPr>
            </w:pPr>
            <w:r>
              <w:rPr>
                <w:rFonts w:ascii="Arial" w:cs="Arial" w:eastAsia="Arial" w:hAnsi="Arial"/>
                <w:sz w:val="15"/>
                <w:szCs w:val="15"/>
                <w:color w:val="auto"/>
              </w:rPr>
              <w:t>RV</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244</w:t>
            </w:r>
          </w:p>
        </w:tc>
        <w:tc>
          <w:tcPr>
            <w:tcW w:w="120" w:type="dxa"/>
            <w:vAlign w:val="bottom"/>
          </w:tcPr>
          <w:p>
            <w:pPr>
              <w:spacing w:after="0"/>
              <w:rPr>
                <w:sz w:val="23"/>
                <w:szCs w:val="23"/>
                <w:color w:val="auto"/>
              </w:rPr>
            </w:pPr>
          </w:p>
        </w:tc>
        <w:tc>
          <w:tcPr>
            <w:tcW w:w="1560" w:type="dxa"/>
            <w:vAlign w:val="bottom"/>
          </w:tcPr>
          <w:p>
            <w:pPr>
              <w:jc w:val="right"/>
              <w:ind w:right="24"/>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15"/>
                <w:szCs w:val="15"/>
                <w:color w:val="auto"/>
              </w:rPr>
              <w:t>NH</w:t>
            </w:r>
          </w:p>
        </w:tc>
        <w:tc>
          <w:tcPr>
            <w:tcW w:w="1560" w:type="dxa"/>
            <w:vAlign w:val="bottom"/>
          </w:tcPr>
          <w:p>
            <w:pPr>
              <w:ind w:left="20"/>
              <w:spacing w:after="0"/>
              <w:rPr>
                <w:sz w:val="20"/>
                <w:szCs w:val="20"/>
                <w:color w:val="auto"/>
              </w:rPr>
            </w:pPr>
            <w:r>
              <w:rPr>
                <w:rFonts w:ascii="Arial" w:cs="Arial" w:eastAsia="Arial" w:hAnsi="Arial"/>
                <w:sz w:val="15"/>
                <w:szCs w:val="15"/>
                <w:color w:val="auto"/>
              </w:rPr>
              <w:t>September</w:t>
            </w:r>
          </w:p>
        </w:tc>
      </w:tr>
      <w:tr>
        <w:trPr>
          <w:trHeight w:val="274"/>
        </w:trPr>
        <w:tc>
          <w:tcPr>
            <w:tcW w:w="316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Leisure Point Resort </w:t>
            </w:r>
            <w:r>
              <w:rPr>
                <w:rFonts w:ascii="Arial" w:cs="Arial" w:eastAsia="Arial" w:hAnsi="Arial"/>
                <w:sz w:val="25"/>
                <w:szCs w:val="25"/>
                <w:color w:val="auto"/>
                <w:vertAlign w:val="superscript"/>
              </w:rPr>
              <w:t>(2)</w:t>
            </w:r>
          </w:p>
        </w:tc>
        <w:tc>
          <w:tcPr>
            <w:tcW w:w="2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MH/RV</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502</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DE</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r>
      <w:tr>
        <w:trPr>
          <w:trHeight w:val="266"/>
        </w:trPr>
        <w:tc>
          <w:tcPr>
            <w:tcW w:w="3160" w:type="dxa"/>
            <w:vAlign w:val="bottom"/>
            <w:gridSpan w:val="2"/>
          </w:tcPr>
          <w:p>
            <w:pPr>
              <w:ind w:left="40"/>
              <w:spacing w:after="0"/>
              <w:rPr>
                <w:sz w:val="20"/>
                <w:szCs w:val="20"/>
                <w:color w:val="auto"/>
              </w:rPr>
            </w:pPr>
            <w:r>
              <w:rPr>
                <w:rFonts w:ascii="Arial" w:cs="Arial" w:eastAsia="Arial" w:hAnsi="Arial"/>
                <w:sz w:val="15"/>
                <w:szCs w:val="15"/>
                <w:color w:val="auto"/>
              </w:rPr>
              <w:t>Reunion Lake</w:t>
            </w:r>
          </w:p>
        </w:tc>
        <w:tc>
          <w:tcPr>
            <w:tcW w:w="2500" w:type="dxa"/>
            <w:vAlign w:val="bottom"/>
            <w:gridSpan w:val="2"/>
          </w:tcPr>
          <w:p>
            <w:pPr>
              <w:ind w:left="40"/>
              <w:spacing w:after="0"/>
              <w:rPr>
                <w:sz w:val="20"/>
                <w:szCs w:val="20"/>
                <w:color w:val="auto"/>
              </w:rPr>
            </w:pPr>
            <w:r>
              <w:rPr>
                <w:rFonts w:ascii="Arial" w:cs="Arial" w:eastAsia="Arial" w:hAnsi="Arial"/>
                <w:sz w:val="15"/>
                <w:szCs w:val="15"/>
                <w:color w:val="auto"/>
              </w:rPr>
              <w:t>RV</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202</w:t>
            </w:r>
          </w:p>
        </w:tc>
        <w:tc>
          <w:tcPr>
            <w:tcW w:w="120" w:type="dxa"/>
            <w:vAlign w:val="bottom"/>
          </w:tcPr>
          <w:p>
            <w:pPr>
              <w:spacing w:after="0"/>
              <w:rPr>
                <w:sz w:val="23"/>
                <w:szCs w:val="23"/>
                <w:color w:val="auto"/>
              </w:rPr>
            </w:pPr>
          </w:p>
        </w:tc>
        <w:tc>
          <w:tcPr>
            <w:tcW w:w="1560" w:type="dxa"/>
            <w:vAlign w:val="bottom"/>
          </w:tcPr>
          <w:p>
            <w:pPr>
              <w:jc w:val="right"/>
              <w:ind w:right="24"/>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15"/>
                <w:szCs w:val="15"/>
                <w:color w:val="auto"/>
              </w:rPr>
              <w:t>LA</w:t>
            </w:r>
          </w:p>
        </w:tc>
        <w:tc>
          <w:tcPr>
            <w:tcW w:w="1560" w:type="dxa"/>
            <w:vAlign w:val="bottom"/>
          </w:tcPr>
          <w:p>
            <w:pPr>
              <w:ind w:left="20"/>
              <w:spacing w:after="0"/>
              <w:rPr>
                <w:sz w:val="20"/>
                <w:szCs w:val="20"/>
                <w:color w:val="auto"/>
              </w:rPr>
            </w:pPr>
            <w:r>
              <w:rPr>
                <w:rFonts w:ascii="Arial" w:cs="Arial" w:eastAsia="Arial" w:hAnsi="Arial"/>
                <w:sz w:val="15"/>
                <w:szCs w:val="15"/>
                <w:color w:val="auto"/>
              </w:rPr>
              <w:t>July</w:t>
            </w:r>
          </w:p>
        </w:tc>
      </w:tr>
      <w:tr>
        <w:trPr>
          <w:trHeight w:val="274"/>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River Plantation</w:t>
            </w:r>
          </w:p>
        </w:tc>
        <w:tc>
          <w:tcPr>
            <w:tcW w:w="2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RV</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309</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TN</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r>
      <w:tr>
        <w:trPr>
          <w:trHeight w:val="266"/>
        </w:trPr>
        <w:tc>
          <w:tcPr>
            <w:tcW w:w="3160" w:type="dxa"/>
            <w:vAlign w:val="bottom"/>
            <w:gridSpan w:val="2"/>
          </w:tcPr>
          <w:p>
            <w:pPr>
              <w:ind w:left="40"/>
              <w:spacing w:after="0"/>
              <w:rPr>
                <w:sz w:val="20"/>
                <w:szCs w:val="20"/>
                <w:color w:val="auto"/>
              </w:rPr>
            </w:pPr>
            <w:r>
              <w:rPr>
                <w:rFonts w:ascii="Arial" w:cs="Arial" w:eastAsia="Arial" w:hAnsi="Arial"/>
                <w:sz w:val="15"/>
                <w:szCs w:val="15"/>
                <w:color w:val="auto"/>
              </w:rPr>
              <w:t>Massey’s Landing RV</w:t>
            </w:r>
          </w:p>
        </w:tc>
        <w:tc>
          <w:tcPr>
            <w:tcW w:w="2500" w:type="dxa"/>
            <w:vAlign w:val="bottom"/>
            <w:gridSpan w:val="2"/>
          </w:tcPr>
          <w:p>
            <w:pPr>
              <w:ind w:left="40"/>
              <w:spacing w:after="0"/>
              <w:rPr>
                <w:sz w:val="20"/>
                <w:szCs w:val="20"/>
                <w:color w:val="auto"/>
              </w:rPr>
            </w:pPr>
            <w:r>
              <w:rPr>
                <w:rFonts w:ascii="Arial" w:cs="Arial" w:eastAsia="Arial" w:hAnsi="Arial"/>
                <w:sz w:val="15"/>
                <w:szCs w:val="15"/>
                <w:color w:val="auto"/>
              </w:rPr>
              <w:t>RV</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291</w:t>
            </w:r>
          </w:p>
        </w:tc>
        <w:tc>
          <w:tcPr>
            <w:tcW w:w="120" w:type="dxa"/>
            <w:vAlign w:val="bottom"/>
          </w:tcPr>
          <w:p>
            <w:pPr>
              <w:spacing w:after="0"/>
              <w:rPr>
                <w:sz w:val="23"/>
                <w:szCs w:val="23"/>
                <w:color w:val="auto"/>
              </w:rPr>
            </w:pPr>
          </w:p>
        </w:tc>
        <w:tc>
          <w:tcPr>
            <w:tcW w:w="15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15"/>
                <w:szCs w:val="15"/>
                <w:color w:val="auto"/>
              </w:rPr>
              <w:t>DE</w:t>
            </w:r>
          </w:p>
        </w:tc>
        <w:tc>
          <w:tcPr>
            <w:tcW w:w="156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74"/>
        </w:trPr>
        <w:tc>
          <w:tcPr>
            <w:tcW w:w="316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Shelby Properties </w:t>
            </w:r>
            <w:r>
              <w:rPr>
                <w:rFonts w:ascii="Arial" w:cs="Arial" w:eastAsia="Arial" w:hAnsi="Arial"/>
                <w:sz w:val="25"/>
                <w:szCs w:val="25"/>
                <w:color w:val="auto"/>
                <w:vertAlign w:val="superscript"/>
              </w:rPr>
              <w:t>(3)</w:t>
            </w:r>
          </w:p>
        </w:tc>
        <w:tc>
          <w:tcPr>
            <w:tcW w:w="2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MH</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1,308</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MI</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r>
      <w:tr>
        <w:trPr>
          <w:trHeight w:val="266"/>
        </w:trPr>
        <w:tc>
          <w:tcPr>
            <w:tcW w:w="3160" w:type="dxa"/>
            <w:vAlign w:val="bottom"/>
            <w:gridSpan w:val="2"/>
          </w:tcPr>
          <w:p>
            <w:pPr>
              <w:ind w:left="40"/>
              <w:spacing w:after="0"/>
              <w:rPr>
                <w:sz w:val="20"/>
                <w:szCs w:val="20"/>
                <w:color w:val="auto"/>
              </w:rPr>
            </w:pPr>
            <w:r>
              <w:rPr>
                <w:rFonts w:ascii="Arial" w:cs="Arial" w:eastAsia="Arial" w:hAnsi="Arial"/>
                <w:sz w:val="15"/>
                <w:szCs w:val="15"/>
                <w:color w:val="auto"/>
              </w:rPr>
              <w:t>Buena Vista</w:t>
            </w:r>
          </w:p>
        </w:tc>
        <w:tc>
          <w:tcPr>
            <w:tcW w:w="2500" w:type="dxa"/>
            <w:vAlign w:val="bottom"/>
            <w:gridSpan w:val="2"/>
          </w:tcPr>
          <w:p>
            <w:pPr>
              <w:ind w:left="40"/>
              <w:spacing w:after="0"/>
              <w:rPr>
                <w:sz w:val="20"/>
                <w:szCs w:val="20"/>
                <w:color w:val="auto"/>
              </w:rPr>
            </w:pPr>
            <w:r>
              <w:rPr>
                <w:rFonts w:ascii="Arial" w:cs="Arial" w:eastAsia="Arial" w:hAnsi="Arial"/>
                <w:sz w:val="15"/>
                <w:szCs w:val="15"/>
                <w:color w:val="auto"/>
              </w:rPr>
              <w:t>MH</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400</w:t>
            </w:r>
          </w:p>
        </w:tc>
        <w:tc>
          <w:tcPr>
            <w:tcW w:w="120" w:type="dxa"/>
            <w:vAlign w:val="bottom"/>
          </w:tcPr>
          <w:p>
            <w:pPr>
              <w:spacing w:after="0"/>
              <w:rPr>
                <w:sz w:val="23"/>
                <w:szCs w:val="23"/>
                <w:color w:val="auto"/>
              </w:rPr>
            </w:pPr>
          </w:p>
        </w:tc>
        <w:tc>
          <w:tcPr>
            <w:tcW w:w="15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15"/>
                <w:szCs w:val="15"/>
                <w:color w:val="auto"/>
              </w:rPr>
              <w:t>AZ</w:t>
            </w:r>
          </w:p>
        </w:tc>
        <w:tc>
          <w:tcPr>
            <w:tcW w:w="156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74"/>
        </w:trPr>
        <w:tc>
          <w:tcPr>
            <w:tcW w:w="316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Country Village Estates </w:t>
            </w:r>
            <w:r>
              <w:rPr>
                <w:rFonts w:ascii="Arial" w:cs="Arial" w:eastAsia="Arial" w:hAnsi="Arial"/>
                <w:sz w:val="25"/>
                <w:szCs w:val="25"/>
                <w:color w:val="auto"/>
                <w:vertAlign w:val="superscript"/>
              </w:rPr>
              <w:t>(4)</w:t>
            </w:r>
          </w:p>
        </w:tc>
        <w:tc>
          <w:tcPr>
            <w:tcW w:w="2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MH</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518</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OR</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66"/>
        </w:trPr>
        <w:tc>
          <w:tcPr>
            <w:tcW w:w="3160" w:type="dxa"/>
            <w:vAlign w:val="bottom"/>
            <w:gridSpan w:val="2"/>
          </w:tcPr>
          <w:p>
            <w:pPr>
              <w:ind w:left="40"/>
              <w:spacing w:after="0"/>
              <w:rPr>
                <w:sz w:val="20"/>
                <w:szCs w:val="20"/>
                <w:color w:val="auto"/>
              </w:rPr>
            </w:pPr>
            <w:r>
              <w:rPr>
                <w:rFonts w:ascii="Arial" w:cs="Arial" w:eastAsia="Arial" w:hAnsi="Arial"/>
                <w:sz w:val="15"/>
                <w:szCs w:val="15"/>
                <w:color w:val="auto"/>
              </w:rPr>
              <w:t>Hid’n Pines RV</w:t>
            </w:r>
          </w:p>
        </w:tc>
        <w:tc>
          <w:tcPr>
            <w:tcW w:w="2500" w:type="dxa"/>
            <w:vAlign w:val="bottom"/>
            <w:gridSpan w:val="2"/>
          </w:tcPr>
          <w:p>
            <w:pPr>
              <w:ind w:left="40"/>
              <w:spacing w:after="0"/>
              <w:rPr>
                <w:sz w:val="20"/>
                <w:szCs w:val="20"/>
                <w:color w:val="auto"/>
              </w:rPr>
            </w:pPr>
            <w:r>
              <w:rPr>
                <w:rFonts w:ascii="Arial" w:cs="Arial" w:eastAsia="Arial" w:hAnsi="Arial"/>
                <w:sz w:val="15"/>
                <w:szCs w:val="15"/>
                <w:color w:val="auto"/>
              </w:rPr>
              <w:t>RV</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321</w:t>
            </w:r>
          </w:p>
        </w:tc>
        <w:tc>
          <w:tcPr>
            <w:tcW w:w="120" w:type="dxa"/>
            <w:vAlign w:val="bottom"/>
          </w:tcPr>
          <w:p>
            <w:pPr>
              <w:spacing w:after="0"/>
              <w:rPr>
                <w:sz w:val="23"/>
                <w:szCs w:val="23"/>
                <w:color w:val="auto"/>
              </w:rPr>
            </w:pPr>
          </w:p>
        </w:tc>
        <w:tc>
          <w:tcPr>
            <w:tcW w:w="15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15"/>
                <w:szCs w:val="15"/>
                <w:color w:val="auto"/>
              </w:rPr>
              <w:t>ME</w:t>
            </w:r>
          </w:p>
        </w:tc>
        <w:tc>
          <w:tcPr>
            <w:tcW w:w="1560" w:type="dxa"/>
            <w:vAlign w:val="bottom"/>
          </w:tcPr>
          <w:p>
            <w:pPr>
              <w:ind w:left="20"/>
              <w:spacing w:after="0"/>
              <w:rPr>
                <w:sz w:val="20"/>
                <w:szCs w:val="20"/>
                <w:color w:val="auto"/>
              </w:rPr>
            </w:pPr>
            <w:r>
              <w:rPr>
                <w:rFonts w:ascii="Arial" w:cs="Arial" w:eastAsia="Arial" w:hAnsi="Arial"/>
                <w:sz w:val="15"/>
                <w:szCs w:val="15"/>
                <w:color w:val="auto"/>
              </w:rPr>
              <w:t>January</w:t>
            </w:r>
          </w:p>
        </w:tc>
      </w:tr>
      <w:tr>
        <w:trPr>
          <w:trHeight w:val="270"/>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Hacienda del Rio</w:t>
            </w:r>
          </w:p>
        </w:tc>
        <w:tc>
          <w:tcPr>
            <w:tcW w:w="2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MH (Age-Restricted)</w:t>
            </w:r>
          </w:p>
        </w:tc>
        <w:tc>
          <w:tcPr>
            <w:tcW w:w="11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730</w:t>
            </w:r>
          </w:p>
        </w:tc>
        <w:tc>
          <w:tcPr>
            <w:tcW w:w="12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FL</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4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w:t>
            </w: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10,390</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926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97" w:lineRule="exact"/>
        <w:rPr>
          <w:sz w:val="20"/>
          <w:szCs w:val="20"/>
          <w:color w:val="auto"/>
        </w:rPr>
      </w:pPr>
    </w:p>
    <w:p>
      <w:pPr>
        <w:ind w:left="260" w:hanging="252"/>
        <w:spacing w:after="0" w:line="250" w:lineRule="auto"/>
        <w:tabs>
          <w:tab w:leader="none" w:pos="144" w:val="left"/>
        </w:tabs>
        <w:numPr>
          <w:ilvl w:val="0"/>
          <w:numId w:val="6"/>
        </w:numPr>
        <w:rPr>
          <w:rFonts w:ascii="Arial" w:cs="Arial" w:eastAsia="Arial" w:hAnsi="Arial"/>
          <w:sz w:val="9"/>
          <w:szCs w:val="9"/>
          <w:color w:val="auto"/>
        </w:rPr>
      </w:pPr>
      <w:r>
        <w:rPr>
          <w:rFonts w:ascii="Arial" w:cs="Arial" w:eastAsia="Arial" w:hAnsi="Arial"/>
          <w:sz w:val="14"/>
          <w:szCs w:val="14"/>
          <w:color w:val="auto"/>
        </w:rPr>
        <w:t>Contains 31 communities located in CT, GA, MD, NH, NJ, NY, NC and SC. In conjunction with the acquisition, we issued 1,972,876 shares of common stock, net of fractional shares paid in cash.</w:t>
      </w: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Contains 201 MH sites and 301 RV sites.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Contains two MH communities.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8"/>
          <w:szCs w:val="8"/>
          <w:color w:val="auto"/>
        </w:rPr>
      </w:pPr>
      <w:r>
        <w:rPr>
          <w:rFonts w:ascii="Arial" w:cs="Arial" w:eastAsia="Arial" w:hAnsi="Arial"/>
          <w:sz w:val="13"/>
          <w:szCs w:val="13"/>
          <w:color w:val="auto"/>
        </w:rPr>
        <w:t>In conjunction with the acquisition, we issued Series D Preferred Operating Partnership (“OP”) Units. As of December 31, 2019, 488,958 Series D Preferred OP Units were outstanding.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2019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6"/>
          </w:tcPr>
          <w:p>
            <w:pPr>
              <w:ind w:left="40"/>
              <w:spacing w:after="0"/>
              <w:rPr>
                <w:sz w:val="20"/>
                <w:szCs w:val="20"/>
                <w:color w:val="auto"/>
              </w:rPr>
            </w:pPr>
            <w:r>
              <w:rPr>
                <w:rFonts w:ascii="Arial" w:cs="Arial" w:eastAsia="Arial" w:hAnsi="Arial"/>
                <w:sz w:val="15"/>
                <w:szCs w:val="15"/>
                <w:b w:val="1"/>
                <w:bCs w:val="1"/>
                <w:color w:val="auto"/>
                <w:w w:val="93"/>
              </w:rPr>
              <w:t>At Acquisition Date</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ind w:left="480"/>
              <w:spacing w:after="0"/>
              <w:rPr>
                <w:sz w:val="20"/>
                <w:szCs w:val="20"/>
                <w:color w:val="auto"/>
              </w:rPr>
            </w:pPr>
            <w:r>
              <w:rPr>
                <w:rFonts w:ascii="Arial" w:cs="Arial" w:eastAsia="Arial" w:hAnsi="Arial"/>
                <w:sz w:val="15"/>
                <w:szCs w:val="15"/>
                <w:b w:val="1"/>
                <w:bCs w:val="1"/>
                <w:color w:val="auto"/>
              </w:rPr>
              <w:t>Consideration</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5"/>
                <w:szCs w:val="15"/>
                <w:color w:val="auto"/>
                <w:w w:val="93"/>
              </w:rPr>
              <w:t>In-place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3"/>
              </w:rPr>
              <w:t>Total identifiable</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Arial" w:cs="Arial" w:eastAsia="Arial" w:hAnsi="Arial"/>
                <w:sz w:val="15"/>
                <w:szCs w:val="15"/>
                <w:color w:val="auto"/>
                <w:w w:val="85"/>
              </w:rPr>
              <w:t>leases and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5"/>
                <w:szCs w:val="15"/>
                <w:color w:val="auto"/>
                <w:w w:val="90"/>
              </w:rPr>
              <w:t>Temporary</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Arial" w:cs="Arial" w:eastAsia="Arial" w:hAnsi="Arial"/>
                <w:sz w:val="15"/>
                <w:szCs w:val="15"/>
                <w:color w:val="auto"/>
                <w:w w:val="96"/>
              </w:rPr>
              <w:t>Inventory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7"/>
              </w:rPr>
              <w:t>other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8"/>
              </w:rPr>
              <w:t>assets acquired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87"/>
              </w:rPr>
              <w:t>and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4"/>
              </w:rPr>
              <w:t>Investment in</w:t>
            </w:r>
          </w:p>
        </w:tc>
        <w:tc>
          <w:tcPr>
            <w:tcW w:w="12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Arial" w:cs="Arial" w:eastAsia="Arial" w:hAnsi="Arial"/>
                <w:sz w:val="15"/>
                <w:szCs w:val="15"/>
                <w:color w:val="auto"/>
                <w:w w:val="91"/>
              </w:rPr>
              <w:t>manufactured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6"/>
              </w:rPr>
              <w:t>intangible</w:t>
            </w:r>
          </w:p>
        </w:tc>
        <w:tc>
          <w:tcPr>
            <w:tcW w:w="120" w:type="dxa"/>
            <w:vAlign w:val="bottom"/>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1"/>
              </w:rPr>
              <w:t>net of liabilities</w:t>
            </w:r>
          </w:p>
        </w:tc>
        <w:tc>
          <w:tcPr>
            <w:tcW w:w="100" w:type="dxa"/>
            <w:vAlign w:val="bottom"/>
          </w:tcPr>
          <w:p>
            <w:pPr>
              <w:spacing w:after="0"/>
              <w:rPr>
                <w:sz w:val="14"/>
                <w:szCs w:val="14"/>
                <w:color w:val="auto"/>
              </w:rPr>
            </w:pPr>
          </w:p>
        </w:tc>
        <w:tc>
          <w:tcPr>
            <w:tcW w:w="760" w:type="dxa"/>
            <w:vAlign w:val="bottom"/>
            <w:gridSpan w:val="2"/>
          </w:tcPr>
          <w:p>
            <w:pPr>
              <w:jc w:val="center"/>
              <w:ind w:right="200"/>
              <w:spacing w:after="0" w:line="162" w:lineRule="exact"/>
              <w:rPr>
                <w:sz w:val="20"/>
                <w:szCs w:val="20"/>
                <w:color w:val="auto"/>
              </w:rPr>
            </w:pPr>
            <w:r>
              <w:rPr>
                <w:rFonts w:ascii="Arial" w:cs="Arial" w:eastAsia="Arial" w:hAnsi="Arial"/>
                <w:sz w:val="15"/>
                <w:szCs w:val="15"/>
                <w:color w:val="auto"/>
                <w:w w:val="87"/>
              </w:rPr>
              <w:t>Cash and</w:t>
            </w:r>
          </w:p>
        </w:tc>
        <w:tc>
          <w:tcPr>
            <w:tcW w:w="120" w:type="dxa"/>
            <w:vAlign w:val="bottom"/>
          </w:tcPr>
          <w:p>
            <w:pPr>
              <w:spacing w:after="0"/>
              <w:rPr>
                <w:sz w:val="14"/>
                <w:szCs w:val="14"/>
                <w:color w:val="auto"/>
              </w:rPr>
            </w:pPr>
          </w:p>
        </w:tc>
        <w:tc>
          <w:tcPr>
            <w:tcW w:w="76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4"/>
              </w:rPr>
              <w:t>Debt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permanent</w:t>
            </w:r>
          </w:p>
        </w:tc>
        <w:tc>
          <w:tcPr>
            <w:tcW w:w="100" w:type="dxa"/>
            <w:vAlign w:val="bottom"/>
          </w:tcPr>
          <w:p>
            <w:pPr>
              <w:spacing w:after="0"/>
              <w:rPr>
                <w:sz w:val="14"/>
                <w:szCs w:val="14"/>
                <w:color w:val="auto"/>
              </w:rPr>
            </w:pPr>
          </w:p>
        </w:tc>
        <w:tc>
          <w:tcPr>
            <w:tcW w:w="1000" w:type="dxa"/>
            <w:vAlign w:val="bottom"/>
          </w:tcPr>
          <w:p>
            <w:pPr>
              <w:jc w:val="right"/>
              <w:ind w:right="304"/>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5"/>
                <w:szCs w:val="15"/>
                <w:color w:val="auto"/>
                <w:w w:val="94"/>
              </w:rPr>
              <w:t>property</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5"/>
                <w:szCs w:val="15"/>
                <w:color w:val="auto"/>
                <w:w w:val="88"/>
              </w:rPr>
              <w:t>homes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5"/>
                <w:szCs w:val="15"/>
                <w:color w:val="auto"/>
                <w:w w:val="78"/>
              </w:rPr>
              <w:t>assets</w:t>
            </w:r>
          </w:p>
        </w:tc>
        <w:tc>
          <w:tcPr>
            <w:tcW w:w="1120" w:type="dxa"/>
            <w:vAlign w:val="bottom"/>
            <w:gridSpan w:val="3"/>
          </w:tcPr>
          <w:p>
            <w:pPr>
              <w:ind w:left="40"/>
              <w:spacing w:after="0"/>
              <w:rPr>
                <w:sz w:val="20"/>
                <w:szCs w:val="20"/>
                <w:color w:val="auto"/>
              </w:rPr>
            </w:pPr>
            <w:r>
              <w:rPr>
                <w:rFonts w:ascii="Arial" w:cs="Arial" w:eastAsia="Arial" w:hAnsi="Arial"/>
                <w:sz w:val="15"/>
                <w:szCs w:val="15"/>
                <w:color w:val="auto"/>
              </w:rPr>
              <w:t>(liabilities), net</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6"/>
              </w:rPr>
              <w:t>assumed</w:t>
            </w:r>
          </w:p>
        </w:tc>
        <w:tc>
          <w:tcPr>
            <w:tcW w:w="10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5"/>
                <w:szCs w:val="15"/>
                <w:color w:val="auto"/>
                <w:w w:val="92"/>
              </w:rPr>
              <w:t>escrow</w:t>
            </w:r>
          </w:p>
        </w:tc>
        <w:tc>
          <w:tcPr>
            <w:tcW w:w="12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5"/>
                <w:szCs w:val="15"/>
                <w:color w:val="auto"/>
                <w:w w:val="85"/>
              </w:rPr>
              <w:t>assumed</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5"/>
                <w:szCs w:val="15"/>
                <w:color w:val="auto"/>
                <w:w w:val="94"/>
              </w:rPr>
              <w:t>equity</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87"/>
              </w:rPr>
              <w:t>consideration</w:t>
            </w:r>
          </w:p>
        </w:tc>
        <w:tc>
          <w:tcPr>
            <w:tcW w:w="0" w:type="dxa"/>
            <w:vAlign w:val="bottom"/>
          </w:tcPr>
          <w:p>
            <w:pPr>
              <w:spacing w:after="0"/>
              <w:rPr>
                <w:sz w:val="1"/>
                <w:szCs w:val="1"/>
                <w:color w:val="auto"/>
              </w:rPr>
            </w:pPr>
          </w:p>
        </w:tc>
      </w:tr>
      <w:tr>
        <w:trPr>
          <w:trHeight w:val="160"/>
        </w:trPr>
        <w:tc>
          <w:tcPr>
            <w:tcW w:w="1480" w:type="dxa"/>
            <w:vAlign w:val="bottom"/>
            <w:tcBorders>
              <w:top w:val="single" w:sz="8" w:color="CCEEFF"/>
            </w:tcBorders>
            <w:shd w:val="clear" w:color="auto" w:fill="CCEEFF"/>
          </w:tcPr>
          <w:p>
            <w:pPr>
              <w:ind w:left="40"/>
              <w:spacing w:after="0" w:line="160" w:lineRule="exact"/>
              <w:rPr>
                <w:sz w:val="20"/>
                <w:szCs w:val="20"/>
                <w:color w:val="auto"/>
              </w:rPr>
            </w:pPr>
            <w:r>
              <w:rPr>
                <w:rFonts w:ascii="Arial" w:cs="Arial" w:eastAsia="Arial" w:hAnsi="Arial"/>
                <w:sz w:val="15"/>
                <w:szCs w:val="15"/>
                <w:color w:val="auto"/>
              </w:rPr>
              <w:t>Slickrock</w:t>
            </w: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Campground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8,250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8,258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8,258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8,258</w:t>
            </w:r>
          </w:p>
        </w:tc>
        <w:tc>
          <w:tcPr>
            <w:tcW w:w="0" w:type="dxa"/>
            <w:vAlign w:val="bottom"/>
          </w:tcPr>
          <w:p>
            <w:pPr>
              <w:spacing w:after="0"/>
              <w:rPr>
                <w:sz w:val="1"/>
                <w:szCs w:val="1"/>
                <w:color w:val="auto"/>
              </w:rPr>
            </w:pPr>
          </w:p>
        </w:tc>
      </w:tr>
      <w:tr>
        <w:trPr>
          <w:trHeight w:val="266"/>
        </w:trPr>
        <w:tc>
          <w:tcPr>
            <w:tcW w:w="1480" w:type="dxa"/>
            <w:vAlign w:val="bottom"/>
          </w:tcPr>
          <w:p>
            <w:pPr>
              <w:ind w:left="40"/>
              <w:spacing w:after="0"/>
              <w:rPr>
                <w:sz w:val="20"/>
                <w:szCs w:val="20"/>
                <w:color w:val="auto"/>
              </w:rPr>
            </w:pPr>
            <w:r>
              <w:rPr>
                <w:rFonts w:ascii="Arial" w:cs="Arial" w:eastAsia="Arial" w:hAnsi="Arial"/>
                <w:sz w:val="15"/>
                <w:szCs w:val="15"/>
                <w:color w:val="auto"/>
              </w:rPr>
              <w:t>Pandion Ridge</w:t>
            </w:r>
          </w:p>
        </w:tc>
        <w:tc>
          <w:tcPr>
            <w:tcW w:w="100" w:type="dxa"/>
            <w:vAlign w:val="bottom"/>
          </w:tcPr>
          <w:p>
            <w:pPr>
              <w:spacing w:after="0"/>
              <w:rPr>
                <w:sz w:val="23"/>
                <w:szCs w:val="23"/>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19,070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18,978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18,978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18,978</w:t>
            </w:r>
          </w:p>
        </w:tc>
        <w:tc>
          <w:tcPr>
            <w:tcW w:w="0" w:type="dxa"/>
            <w:vAlign w:val="bottom"/>
          </w:tcPr>
          <w:p>
            <w:pPr>
              <w:spacing w:after="0"/>
              <w:rPr>
                <w:sz w:val="1"/>
                <w:szCs w:val="1"/>
                <w:color w:val="auto"/>
              </w:rPr>
            </w:pPr>
          </w:p>
        </w:tc>
      </w:tr>
      <w:tr>
        <w:trPr>
          <w:trHeight w:val="274"/>
        </w:trPr>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Jensen Portfolio</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374,402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3,605</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7,752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3,938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389,697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18,306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58,000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313,391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389,697</w:t>
            </w:r>
          </w:p>
        </w:tc>
        <w:tc>
          <w:tcPr>
            <w:tcW w:w="0" w:type="dxa"/>
            <w:vAlign w:val="bottom"/>
          </w:tcPr>
          <w:p>
            <w:pPr>
              <w:spacing w:after="0"/>
              <w:rPr>
                <w:sz w:val="1"/>
                <w:szCs w:val="1"/>
                <w:color w:val="auto"/>
              </w:rPr>
            </w:pPr>
          </w:p>
        </w:tc>
      </w:tr>
      <w:tr>
        <w:trPr>
          <w:trHeight w:val="266"/>
        </w:trPr>
        <w:tc>
          <w:tcPr>
            <w:tcW w:w="1480" w:type="dxa"/>
            <w:vAlign w:val="bottom"/>
          </w:tcPr>
          <w:p>
            <w:pPr>
              <w:ind w:left="40"/>
              <w:spacing w:after="0"/>
              <w:rPr>
                <w:sz w:val="20"/>
                <w:szCs w:val="20"/>
                <w:color w:val="auto"/>
              </w:rPr>
            </w:pPr>
            <w:r>
              <w:rPr>
                <w:rFonts w:ascii="Arial" w:cs="Arial" w:eastAsia="Arial" w:hAnsi="Arial"/>
                <w:sz w:val="15"/>
                <w:szCs w:val="15"/>
                <w:color w:val="auto"/>
              </w:rPr>
              <w:t>Glen Ellis</w:t>
            </w:r>
          </w:p>
        </w:tc>
        <w:tc>
          <w:tcPr>
            <w:tcW w:w="100" w:type="dxa"/>
            <w:vAlign w:val="bottom"/>
          </w:tcPr>
          <w:p>
            <w:pPr>
              <w:spacing w:after="0"/>
              <w:rPr>
                <w:sz w:val="23"/>
                <w:szCs w:val="23"/>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5,955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5,876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1,976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3,900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5,876</w:t>
            </w:r>
          </w:p>
        </w:tc>
        <w:tc>
          <w:tcPr>
            <w:tcW w:w="0" w:type="dxa"/>
            <w:vAlign w:val="bottom"/>
          </w:tcPr>
          <w:p>
            <w:pPr>
              <w:spacing w:after="0"/>
              <w:rPr>
                <w:sz w:val="1"/>
                <w:szCs w:val="1"/>
                <w:color w:val="auto"/>
              </w:rPr>
            </w:pPr>
          </w:p>
        </w:tc>
      </w:tr>
      <w:tr>
        <w:trPr>
          <w:trHeight w:val="274"/>
        </w:trPr>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Leisure Point Resort</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43,632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43,822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43,822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43,822</w:t>
            </w:r>
          </w:p>
        </w:tc>
        <w:tc>
          <w:tcPr>
            <w:tcW w:w="0" w:type="dxa"/>
            <w:vAlign w:val="bottom"/>
          </w:tcPr>
          <w:p>
            <w:pPr>
              <w:spacing w:after="0"/>
              <w:rPr>
                <w:sz w:val="1"/>
                <w:szCs w:val="1"/>
                <w:color w:val="auto"/>
              </w:rPr>
            </w:pPr>
          </w:p>
        </w:tc>
      </w:tr>
      <w:tr>
        <w:trPr>
          <w:trHeight w:val="266"/>
        </w:trPr>
        <w:tc>
          <w:tcPr>
            <w:tcW w:w="1480" w:type="dxa"/>
            <w:vAlign w:val="bottom"/>
          </w:tcPr>
          <w:p>
            <w:pPr>
              <w:ind w:left="40"/>
              <w:spacing w:after="0"/>
              <w:rPr>
                <w:sz w:val="20"/>
                <w:szCs w:val="20"/>
                <w:color w:val="auto"/>
              </w:rPr>
            </w:pPr>
            <w:r>
              <w:rPr>
                <w:rFonts w:ascii="Arial" w:cs="Arial" w:eastAsia="Arial" w:hAnsi="Arial"/>
                <w:sz w:val="15"/>
                <w:szCs w:val="15"/>
                <w:color w:val="auto"/>
              </w:rPr>
              <w:t>Reunion Lake</w:t>
            </w:r>
          </w:p>
        </w:tc>
        <w:tc>
          <w:tcPr>
            <w:tcW w:w="100" w:type="dxa"/>
            <w:vAlign w:val="bottom"/>
          </w:tcPr>
          <w:p>
            <w:pPr>
              <w:spacing w:after="0"/>
              <w:rPr>
                <w:sz w:val="23"/>
                <w:szCs w:val="23"/>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23,493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22,340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22,340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22,340</w:t>
            </w:r>
          </w:p>
        </w:tc>
        <w:tc>
          <w:tcPr>
            <w:tcW w:w="0" w:type="dxa"/>
            <w:vAlign w:val="bottom"/>
          </w:tcPr>
          <w:p>
            <w:pPr>
              <w:spacing w:after="0"/>
              <w:rPr>
                <w:sz w:val="1"/>
                <w:szCs w:val="1"/>
                <w:color w:val="auto"/>
              </w:rPr>
            </w:pPr>
          </w:p>
        </w:tc>
      </w:tr>
      <w:tr>
        <w:trPr>
          <w:trHeight w:val="274"/>
        </w:trPr>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River Plantation</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22,589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22,664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22,664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22,664</w:t>
            </w:r>
          </w:p>
        </w:tc>
        <w:tc>
          <w:tcPr>
            <w:tcW w:w="0" w:type="dxa"/>
            <w:vAlign w:val="bottom"/>
          </w:tcPr>
          <w:p>
            <w:pPr>
              <w:spacing w:after="0"/>
              <w:rPr>
                <w:sz w:val="1"/>
                <w:szCs w:val="1"/>
                <w:color w:val="auto"/>
              </w:rPr>
            </w:pPr>
          </w:p>
        </w:tc>
      </w:tr>
      <w:tr>
        <w:trPr>
          <w:trHeight w:val="266"/>
        </w:trPr>
        <w:tc>
          <w:tcPr>
            <w:tcW w:w="1480" w:type="dxa"/>
            <w:vAlign w:val="bottom"/>
          </w:tcPr>
          <w:p>
            <w:pPr>
              <w:ind w:left="40"/>
              <w:spacing w:after="0"/>
              <w:rPr>
                <w:sz w:val="20"/>
                <w:szCs w:val="20"/>
                <w:color w:val="auto"/>
              </w:rPr>
            </w:pPr>
            <w:r>
              <w:rPr>
                <w:rFonts w:ascii="Arial" w:cs="Arial" w:eastAsia="Arial" w:hAnsi="Arial"/>
                <w:sz w:val="15"/>
                <w:szCs w:val="15"/>
                <w:color w:val="auto"/>
              </w:rPr>
              <w:t>Massey's Landing</w:t>
            </w:r>
          </w:p>
        </w:tc>
        <w:tc>
          <w:tcPr>
            <w:tcW w:w="100" w:type="dxa"/>
            <w:vAlign w:val="bottom"/>
          </w:tcPr>
          <w:p>
            <w:pPr>
              <w:spacing w:after="0"/>
              <w:rPr>
                <w:sz w:val="23"/>
                <w:szCs w:val="23"/>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36,250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220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36,024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36,024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36,024</w:t>
            </w:r>
          </w:p>
        </w:tc>
        <w:tc>
          <w:tcPr>
            <w:tcW w:w="0" w:type="dxa"/>
            <w:vAlign w:val="bottom"/>
          </w:tcPr>
          <w:p>
            <w:pPr>
              <w:spacing w:after="0"/>
              <w:rPr>
                <w:sz w:val="1"/>
                <w:szCs w:val="1"/>
                <w:color w:val="auto"/>
              </w:rPr>
            </w:pPr>
          </w:p>
        </w:tc>
      </w:tr>
      <w:tr>
        <w:trPr>
          <w:trHeight w:val="274"/>
        </w:trPr>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Shelby Properties</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85,969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6,520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93,485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93,485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93,485</w:t>
            </w:r>
          </w:p>
        </w:tc>
        <w:tc>
          <w:tcPr>
            <w:tcW w:w="0" w:type="dxa"/>
            <w:vAlign w:val="bottom"/>
          </w:tcPr>
          <w:p>
            <w:pPr>
              <w:spacing w:after="0"/>
              <w:rPr>
                <w:sz w:val="1"/>
                <w:szCs w:val="1"/>
                <w:color w:val="auto"/>
              </w:rPr>
            </w:pPr>
          </w:p>
        </w:tc>
      </w:tr>
      <w:tr>
        <w:trPr>
          <w:trHeight w:val="266"/>
        </w:trPr>
        <w:tc>
          <w:tcPr>
            <w:tcW w:w="1480" w:type="dxa"/>
            <w:vAlign w:val="bottom"/>
          </w:tcPr>
          <w:p>
            <w:pPr>
              <w:ind w:left="40"/>
              <w:spacing w:after="0"/>
              <w:rPr>
                <w:sz w:val="20"/>
                <w:szCs w:val="20"/>
                <w:color w:val="auto"/>
              </w:rPr>
            </w:pPr>
            <w:r>
              <w:rPr>
                <w:rFonts w:ascii="Arial" w:cs="Arial" w:eastAsia="Arial" w:hAnsi="Arial"/>
                <w:sz w:val="15"/>
                <w:szCs w:val="15"/>
                <w:color w:val="auto"/>
              </w:rPr>
              <w:t>Buena Vista</w:t>
            </w:r>
          </w:p>
        </w:tc>
        <w:tc>
          <w:tcPr>
            <w:tcW w:w="100" w:type="dxa"/>
            <w:vAlign w:val="bottom"/>
          </w:tcPr>
          <w:p>
            <w:pPr>
              <w:spacing w:after="0"/>
              <w:rPr>
                <w:sz w:val="23"/>
                <w:szCs w:val="23"/>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20,221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439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1,590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22,157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22,157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22,157</w:t>
            </w:r>
          </w:p>
        </w:tc>
        <w:tc>
          <w:tcPr>
            <w:tcW w:w="0" w:type="dxa"/>
            <w:vAlign w:val="bottom"/>
          </w:tcPr>
          <w:p>
            <w:pPr>
              <w:spacing w:after="0"/>
              <w:rPr>
                <w:sz w:val="1"/>
                <w:szCs w:val="1"/>
                <w:color w:val="auto"/>
              </w:rPr>
            </w:pPr>
          </w:p>
        </w:tc>
      </w:tr>
      <w:tr>
        <w:trPr>
          <w:trHeight w:val="274"/>
        </w:trPr>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Country Village</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62,784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2,020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64,835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12,905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51,930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64,835</w:t>
            </w:r>
          </w:p>
        </w:tc>
        <w:tc>
          <w:tcPr>
            <w:tcW w:w="0" w:type="dxa"/>
            <w:vAlign w:val="bottom"/>
          </w:tcPr>
          <w:p>
            <w:pPr>
              <w:spacing w:after="0"/>
              <w:rPr>
                <w:sz w:val="1"/>
                <w:szCs w:val="1"/>
                <w:color w:val="auto"/>
              </w:rPr>
            </w:pPr>
          </w:p>
        </w:tc>
      </w:tr>
      <w:tr>
        <w:trPr>
          <w:trHeight w:val="266"/>
        </w:trPr>
        <w:tc>
          <w:tcPr>
            <w:tcW w:w="1480" w:type="dxa"/>
            <w:vAlign w:val="bottom"/>
          </w:tcPr>
          <w:p>
            <w:pPr>
              <w:ind w:left="40"/>
              <w:spacing w:after="0"/>
              <w:rPr>
                <w:sz w:val="20"/>
                <w:szCs w:val="20"/>
                <w:color w:val="auto"/>
              </w:rPr>
            </w:pPr>
            <w:r>
              <w:rPr>
                <w:rFonts w:ascii="Arial" w:cs="Arial" w:eastAsia="Arial" w:hAnsi="Arial"/>
                <w:sz w:val="15"/>
                <w:szCs w:val="15"/>
                <w:color w:val="auto"/>
              </w:rPr>
              <w:t>Hid'n Pines</w:t>
            </w:r>
          </w:p>
        </w:tc>
        <w:tc>
          <w:tcPr>
            <w:tcW w:w="100" w:type="dxa"/>
            <w:vAlign w:val="bottom"/>
          </w:tcPr>
          <w:p>
            <w:pPr>
              <w:spacing w:after="0"/>
              <w:rPr>
                <w:sz w:val="23"/>
                <w:szCs w:val="23"/>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10,680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10,517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10,517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10,517</w:t>
            </w:r>
          </w:p>
        </w:tc>
        <w:tc>
          <w:tcPr>
            <w:tcW w:w="0" w:type="dxa"/>
            <w:vAlign w:val="bottom"/>
          </w:tcPr>
          <w:p>
            <w:pPr>
              <w:spacing w:after="0"/>
              <w:rPr>
                <w:sz w:val="1"/>
                <w:szCs w:val="1"/>
                <w:color w:val="auto"/>
              </w:rPr>
            </w:pPr>
          </w:p>
        </w:tc>
      </w:tr>
      <w:tr>
        <w:trPr>
          <w:trHeight w:val="270"/>
        </w:trPr>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Hacienda del Rio</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111,971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3,280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115,029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9"/>
              </w:rPr>
              <w:t>115,029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115,029</w:t>
            </w:r>
          </w:p>
        </w:tc>
        <w:tc>
          <w:tcPr>
            <w:tcW w:w="0" w:type="dxa"/>
            <w:vAlign w:val="bottom"/>
          </w:tcPr>
          <w:p>
            <w:pPr>
              <w:spacing w:after="0"/>
              <w:rPr>
                <w:sz w:val="1"/>
                <w:szCs w:val="1"/>
                <w:color w:val="auto"/>
              </w:rPr>
            </w:pPr>
          </w:p>
        </w:tc>
      </w:tr>
      <w:tr>
        <w:trPr>
          <w:trHeight w:val="240"/>
        </w:trPr>
        <w:tc>
          <w:tcPr>
            <w:tcW w:w="1480" w:type="dxa"/>
            <w:vAlign w:val="bottom"/>
          </w:tcPr>
          <w:p>
            <w:pPr>
              <w:ind w:left="40"/>
              <w:spacing w:after="0"/>
              <w:rPr>
                <w:sz w:val="20"/>
                <w:szCs w:val="20"/>
                <w:color w:val="auto"/>
              </w:rPr>
            </w:pPr>
            <w:r>
              <w:rPr>
                <w:rFonts w:ascii="Arial" w:cs="Arial" w:eastAsia="Arial" w:hAnsi="Arial"/>
                <w:sz w:val="15"/>
                <w:szCs w:val="15"/>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825,266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6,163</w:t>
            </w: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22,302</w:t>
            </w:r>
          </w:p>
        </w:tc>
        <w:tc>
          <w:tcPr>
            <w:tcW w:w="12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853,682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426,461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61,900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365,321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853,682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for Expansion / Development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we acquired four land parcels which are located in New Braunfels, Texas; Petoskey, Michigan; Uhland, Texas and Hudson, Florida for total consideration of $7.7 million. Two of the land parcels are adjacent to existing communities. The land acquired for expansion and development has the potential to add approximately 900 usable sites once constructed.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Ground Leases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August 2019, we acquired Chincoteague Island KOA RV Resort (“Chincoteague”), in Chincoteague Island, Virginia for total consideration of $19.5 million. The sellers of Chincoteague continue to operate the property. Refer to Note 16, “Leases” for disclosures on accounting treatment.</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April 2019, we acquired Strafford/Lake Winnipesaukee South KOA RV Resort ("Strafford") in Strafford, New Hampshire for total consideration of $2.7 million. The sellers of Strafford continue to operate the property. Refer to Note 16, “Leases” for disclosures on accounting treatment.</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2019, we entered into a four-year Temporary Occupancy and Use Permit with the Port of San Diego to operate a RV resort located in Chula Vista, CA until such time as we construct a new RV resort in the area. Concurrent with the transaction, we purchased tangible personal property from the prior owner of the RV resort for $0.3 million. Subsequently, in September 2019, we entered into a 66-year Temporary Occupancy and Use Permit, to construct and operate a new RV resort in Chula Vista. Refer to Note 16, “Leases” for disclosures on accounting treatment.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4.</w:t>
            </w:r>
          </w:p>
        </w:tc>
        <w:tc>
          <w:tcPr>
            <w:tcW w:w="7280" w:type="dxa"/>
            <w:vAlign w:val="bottom"/>
          </w:tcPr>
          <w:p>
            <w:pPr>
              <w:ind w:left="160"/>
              <w:spacing w:after="0"/>
              <w:rPr>
                <w:sz w:val="20"/>
                <w:szCs w:val="20"/>
                <w:color w:val="auto"/>
              </w:rPr>
            </w:pPr>
            <w:r>
              <w:rPr>
                <w:rFonts w:ascii="Arial" w:cs="Arial" w:eastAsia="Arial" w:hAnsi="Arial"/>
                <w:sz w:val="18"/>
                <w:szCs w:val="18"/>
                <w:b w:val="1"/>
                <w:bCs w:val="1"/>
                <w:color w:val="auto"/>
              </w:rPr>
              <w:t>Notes and Other Receivables</w:t>
            </w: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w w:val="95"/>
              </w:rPr>
              <w:t>The following table sets forth certain information regarding notes and other receivables (in millions):</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2020</w:t>
            </w:r>
          </w:p>
        </w:tc>
        <w:tc>
          <w:tcPr>
            <w:tcW w:w="200" w:type="dxa"/>
            <w:vAlign w:val="bottom"/>
          </w:tcPr>
          <w:p>
            <w:pPr>
              <w:spacing w:after="0"/>
              <w:rPr>
                <w:sz w:val="24"/>
                <w:szCs w:val="24"/>
                <w:color w:val="auto"/>
              </w:rPr>
            </w:pPr>
          </w:p>
        </w:tc>
        <w:tc>
          <w:tcPr>
            <w:tcW w:w="1580" w:type="dxa"/>
            <w:vAlign w:val="bottom"/>
          </w:tcPr>
          <w:p>
            <w:pPr>
              <w:jc w:val="right"/>
              <w:ind w:right="184"/>
              <w:spacing w:after="0"/>
              <w:rPr>
                <w:sz w:val="20"/>
                <w:szCs w:val="20"/>
                <w:color w:val="auto"/>
              </w:rPr>
            </w:pPr>
            <w:r>
              <w:rPr>
                <w:rFonts w:ascii="Arial" w:cs="Arial" w:eastAsia="Arial" w:hAnsi="Arial"/>
                <w:sz w:val="15"/>
                <w:szCs w:val="15"/>
                <w:b w:val="1"/>
                <w:bCs w:val="1"/>
                <w:color w:val="auto"/>
                <w:w w:val="96"/>
              </w:rPr>
              <w:t>December 31, 2019</w:t>
            </w:r>
          </w:p>
        </w:tc>
      </w:tr>
      <w:tr>
        <w:trPr>
          <w:trHeight w:val="250"/>
        </w:trPr>
        <w:tc>
          <w:tcPr>
            <w:tcW w:w="75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Installment notes receivable on manufactured homes, net</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92.2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95.6</w:t>
            </w:r>
          </w:p>
        </w:tc>
      </w:tr>
      <w:tr>
        <w:trPr>
          <w:trHeight w:val="266"/>
        </w:trPr>
        <w:tc>
          <w:tcPr>
            <w:tcW w:w="7540" w:type="dxa"/>
            <w:vAlign w:val="bottom"/>
            <w:gridSpan w:val="2"/>
          </w:tcPr>
          <w:p>
            <w:pPr>
              <w:ind w:left="40"/>
              <w:spacing w:after="0"/>
              <w:rPr>
                <w:sz w:val="20"/>
                <w:szCs w:val="20"/>
                <w:color w:val="auto"/>
              </w:rPr>
            </w:pPr>
            <w:r>
              <w:rPr>
                <w:rFonts w:ascii="Arial" w:cs="Arial" w:eastAsia="Arial" w:hAnsi="Arial"/>
                <w:sz w:val="15"/>
                <w:szCs w:val="15"/>
                <w:color w:val="auto"/>
              </w:rPr>
              <w:t>Notes receivable from real estate developers</w:t>
            </w:r>
          </w:p>
        </w:tc>
        <w:tc>
          <w:tcPr>
            <w:tcW w:w="260" w:type="dxa"/>
            <w:vAlign w:val="bottom"/>
          </w:tcPr>
          <w:p>
            <w:pPr>
              <w:spacing w:after="0"/>
              <w:rPr>
                <w:sz w:val="23"/>
                <w:szCs w:val="23"/>
                <w:color w:val="auto"/>
              </w:rPr>
            </w:pPr>
          </w:p>
        </w:tc>
        <w:tc>
          <w:tcPr>
            <w:tcW w:w="1540" w:type="dxa"/>
            <w:vAlign w:val="bottom"/>
          </w:tcPr>
          <w:p>
            <w:pPr>
              <w:jc w:val="right"/>
              <w:ind w:right="24"/>
              <w:spacing w:after="0"/>
              <w:rPr>
                <w:sz w:val="20"/>
                <w:szCs w:val="20"/>
                <w:color w:val="auto"/>
              </w:rPr>
            </w:pPr>
            <w:r>
              <w:rPr>
                <w:rFonts w:ascii="Arial" w:cs="Arial" w:eastAsia="Arial" w:hAnsi="Arial"/>
                <w:sz w:val="15"/>
                <w:szCs w:val="15"/>
                <w:color w:val="auto"/>
              </w:rPr>
              <w:t>37.5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19.0</w:t>
            </w:r>
          </w:p>
        </w:tc>
      </w:tr>
      <w:tr>
        <w:trPr>
          <w:trHeight w:val="27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Other receivables, net</w:t>
            </w: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43.3</w:t>
            </w:r>
          </w:p>
        </w:tc>
      </w:tr>
      <w:tr>
        <w:trPr>
          <w:trHeight w:val="241"/>
        </w:trPr>
        <w:tc>
          <w:tcPr>
            <w:tcW w:w="26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Arial" w:cs="Arial" w:eastAsia="Arial" w:hAnsi="Arial"/>
                <w:sz w:val="15"/>
                <w:szCs w:val="15"/>
                <w:b w:val="1"/>
                <w:bCs w:val="1"/>
                <w:color w:val="auto"/>
              </w:rPr>
              <w:t>Total Notes and Other Receivables, net</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186.7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157.9</w:t>
            </w:r>
          </w:p>
        </w:tc>
      </w:tr>
      <w:tr>
        <w:trPr>
          <w:trHeight w:val="20"/>
        </w:trPr>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Due to the adoption of ASU 2016-13, Financial Instruments - Credit Losses (Topic 326) Measurement of Credit Losses on Financial Instruments, effective January 1, 2020, installment notes receivable are measured at fair value pursuant to the Company electing the value option. The balances of installment notes receivable of $92.2 million (net of fair value adjustment of $1.1 million) and $95.6 million (net of allowance of $0.6 million) as of March 31, 2020 and December 31, 2019, respectively, are collateralized by manufactured homes. The notes represent financing to purchasers of manufactured homes primarily located in our communities and require monthly principal and interest payments. The notes had a net weighted average interest rate (net of servicing costs) and maturity of 8.0 percent and 15.6 years as of March 31, 2020, and 8.0 percent and 15.8 years as of December 31, 2019, respectively. Refer to Note 14, “Fair Value of Financial instruments.” and Note 17, “Recent Accounting Pronouncement.” for additional detail.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aggregate balance of the installment notes receivable is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4"/>
              </w:rPr>
              <w:t>Three Months Ended</w:t>
            </w:r>
          </w:p>
        </w:tc>
        <w:tc>
          <w:tcPr>
            <w:tcW w:w="180" w:type="dxa"/>
            <w:vAlign w:val="bottom"/>
          </w:tcPr>
          <w:p>
            <w:pPr>
              <w:spacing w:after="0"/>
              <w:rPr>
                <w:sz w:val="17"/>
                <w:szCs w:val="17"/>
                <w:color w:val="auto"/>
              </w:rPr>
            </w:pPr>
          </w:p>
        </w:tc>
        <w:tc>
          <w:tcPr>
            <w:tcW w:w="1600" w:type="dxa"/>
            <w:vAlign w:val="bottom"/>
          </w:tcPr>
          <w:p>
            <w:pPr>
              <w:jc w:val="right"/>
              <w:ind w:right="424"/>
              <w:spacing w:after="0"/>
              <w:rPr>
                <w:sz w:val="20"/>
                <w:szCs w:val="20"/>
                <w:color w:val="auto"/>
              </w:rPr>
            </w:pPr>
            <w:r>
              <w:rPr>
                <w:rFonts w:ascii="Arial" w:cs="Arial" w:eastAsia="Arial" w:hAnsi="Arial"/>
                <w:sz w:val="15"/>
                <w:szCs w:val="15"/>
                <w:b w:val="1"/>
                <w:bCs w:val="1"/>
                <w:color w:val="auto"/>
              </w:rPr>
              <w:t>Year Ended</w:t>
            </w:r>
          </w:p>
        </w:tc>
      </w:tr>
      <w:tr>
        <w:trPr>
          <w:trHeight w:val="328"/>
        </w:trPr>
        <w:tc>
          <w:tcPr>
            <w:tcW w:w="7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3"/>
              </w:rPr>
              <w:t>March 31, 2020</w:t>
            </w:r>
          </w:p>
        </w:tc>
        <w:tc>
          <w:tcPr>
            <w:tcW w:w="180" w:type="dxa"/>
            <w:vAlign w:val="bottom"/>
          </w:tcPr>
          <w:p>
            <w:pPr>
              <w:spacing w:after="0"/>
              <w:rPr>
                <w:sz w:val="24"/>
                <w:szCs w:val="24"/>
                <w:color w:val="auto"/>
              </w:rPr>
            </w:pPr>
          </w:p>
        </w:tc>
        <w:tc>
          <w:tcPr>
            <w:tcW w:w="1600" w:type="dxa"/>
            <w:vAlign w:val="bottom"/>
          </w:tcPr>
          <w:p>
            <w:pPr>
              <w:jc w:val="right"/>
              <w:ind w:right="204"/>
              <w:spacing w:after="0"/>
              <w:rPr>
                <w:sz w:val="20"/>
                <w:szCs w:val="20"/>
                <w:color w:val="auto"/>
              </w:rPr>
            </w:pPr>
            <w:r>
              <w:rPr>
                <w:rFonts w:ascii="Arial" w:cs="Arial" w:eastAsia="Arial" w:hAnsi="Arial"/>
                <w:sz w:val="15"/>
                <w:szCs w:val="15"/>
                <w:b w:val="1"/>
                <w:bCs w:val="1"/>
                <w:color w:val="auto"/>
                <w:w w:val="96"/>
              </w:rPr>
              <w:t>December 31, 2019</w:t>
            </w:r>
          </w:p>
        </w:tc>
      </w:tr>
      <w:tr>
        <w:trPr>
          <w:trHeight w:val="254"/>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Beginning balance of gross installment notes receivable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96.2</w:t>
            </w:r>
          </w:p>
        </w:tc>
        <w:tc>
          <w:tcPr>
            <w:tcW w:w="2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113.5</w:t>
            </w:r>
          </w:p>
        </w:tc>
      </w:tr>
      <w:tr>
        <w:trPr>
          <w:trHeight w:val="266"/>
        </w:trPr>
        <w:tc>
          <w:tcPr>
            <w:tcW w:w="7440" w:type="dxa"/>
            <w:vAlign w:val="bottom"/>
          </w:tcPr>
          <w:p>
            <w:pPr>
              <w:ind w:left="40"/>
              <w:spacing w:after="0"/>
              <w:rPr>
                <w:sz w:val="20"/>
                <w:szCs w:val="20"/>
                <w:color w:val="auto"/>
              </w:rPr>
            </w:pPr>
            <w:r>
              <w:rPr>
                <w:rFonts w:ascii="Arial" w:cs="Arial" w:eastAsia="Arial" w:hAnsi="Arial"/>
                <w:sz w:val="15"/>
                <w:szCs w:val="15"/>
                <w:color w:val="auto"/>
              </w:rPr>
              <w:t>Financed sale of manufactured homes</w:t>
            </w:r>
          </w:p>
        </w:tc>
        <w:tc>
          <w:tcPr>
            <w:tcW w:w="140" w:type="dxa"/>
            <w:vAlign w:val="bottom"/>
          </w:tcPr>
          <w:p>
            <w:pPr>
              <w:spacing w:after="0"/>
              <w:rPr>
                <w:sz w:val="23"/>
                <w:szCs w:val="23"/>
                <w:color w:val="auto"/>
              </w:rPr>
            </w:pPr>
          </w:p>
        </w:tc>
        <w:tc>
          <w:tcPr>
            <w:tcW w:w="1660" w:type="dxa"/>
            <w:vAlign w:val="bottom"/>
          </w:tcPr>
          <w:p>
            <w:pPr>
              <w:jc w:val="right"/>
              <w:ind w:right="24"/>
              <w:spacing w:after="0"/>
              <w:rPr>
                <w:sz w:val="20"/>
                <w:szCs w:val="20"/>
                <w:color w:val="auto"/>
              </w:rPr>
            </w:pPr>
            <w:r>
              <w:rPr>
                <w:rFonts w:ascii="Arial" w:cs="Arial" w:eastAsia="Arial" w:hAnsi="Arial"/>
                <w:sz w:val="15"/>
                <w:szCs w:val="15"/>
                <w:color w:val="auto"/>
              </w:rPr>
              <w:t>0.3</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0.3</w:t>
            </w:r>
          </w:p>
        </w:tc>
      </w:tr>
      <w:tr>
        <w:trPr>
          <w:trHeight w:val="274"/>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Principal payments and payoffs from our customers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w:t>
            </w:r>
          </w:p>
        </w:tc>
      </w:tr>
      <w:tr>
        <w:trPr>
          <w:trHeight w:val="266"/>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Principal reduction from repossessed homes</w:t>
            </w: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w:t>
            </w:r>
          </w:p>
        </w:tc>
      </w:tr>
      <w:tr>
        <w:trPr>
          <w:trHeight w:val="254"/>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Ending balance of gross installment notes receivable</w:t>
            </w: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93.3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96.2</w:t>
            </w:r>
          </w:p>
        </w:tc>
      </w:tr>
      <w:tr>
        <w:trPr>
          <w:trHeight w:val="297"/>
        </w:trPr>
        <w:tc>
          <w:tcPr>
            <w:tcW w:w="7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Beginning balance of allowance for losses on installment notes receivables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r>
      <w:tr>
        <w:trPr>
          <w:trHeight w:val="266"/>
        </w:trPr>
        <w:tc>
          <w:tcPr>
            <w:tcW w:w="7440" w:type="dxa"/>
            <w:vAlign w:val="bottom"/>
          </w:tcPr>
          <w:p>
            <w:pPr>
              <w:ind w:left="40"/>
              <w:spacing w:after="0"/>
              <w:rPr>
                <w:sz w:val="20"/>
                <w:szCs w:val="20"/>
                <w:color w:val="auto"/>
              </w:rPr>
            </w:pPr>
            <w:r>
              <w:rPr>
                <w:rFonts w:ascii="Arial" w:cs="Arial" w:eastAsia="Arial" w:hAnsi="Arial"/>
                <w:sz w:val="15"/>
                <w:szCs w:val="15"/>
                <w:color w:val="auto"/>
              </w:rPr>
              <w:t>Adjustment to allowance for losses</w:t>
            </w:r>
          </w:p>
        </w:tc>
        <w:tc>
          <w:tcPr>
            <w:tcW w:w="140" w:type="dxa"/>
            <w:vAlign w:val="bottom"/>
          </w:tcPr>
          <w:p>
            <w:pPr>
              <w:spacing w:after="0"/>
              <w:rPr>
                <w:sz w:val="23"/>
                <w:szCs w:val="23"/>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0.1</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Initial fair value option adjustment (see Note 17)</w:t>
            </w:r>
          </w:p>
        </w:tc>
        <w:tc>
          <w:tcPr>
            <w:tcW w:w="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0.6</w:t>
            </w:r>
          </w:p>
        </w:tc>
        <w:tc>
          <w:tcPr>
            <w:tcW w:w="2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50"/>
        </w:trPr>
        <w:tc>
          <w:tcPr>
            <w:tcW w:w="7440" w:type="dxa"/>
            <w:vAlign w:val="bottom"/>
          </w:tcPr>
          <w:p>
            <w:pPr>
              <w:ind w:left="40"/>
              <w:spacing w:after="0"/>
              <w:rPr>
                <w:sz w:val="20"/>
                <w:szCs w:val="20"/>
                <w:color w:val="auto"/>
              </w:rPr>
            </w:pPr>
            <w:r>
              <w:rPr>
                <w:rFonts w:ascii="Arial" w:cs="Arial" w:eastAsia="Arial" w:hAnsi="Arial"/>
                <w:sz w:val="15"/>
                <w:szCs w:val="15"/>
                <w:color w:val="auto"/>
              </w:rPr>
              <w:t>Ending balance of allowance for losses on installment notes receivables</w:t>
            </w:r>
          </w:p>
        </w:tc>
        <w:tc>
          <w:tcPr>
            <w:tcW w:w="140" w:type="dxa"/>
            <w:vAlign w:val="bottom"/>
          </w:tcPr>
          <w:p>
            <w:pPr>
              <w:spacing w:after="0"/>
              <w:rPr>
                <w:sz w:val="21"/>
                <w:szCs w:val="21"/>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301"/>
        </w:trPr>
        <w:tc>
          <w:tcPr>
            <w:tcW w:w="7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6"/>
        </w:trPr>
        <w:tc>
          <w:tcPr>
            <w:tcW w:w="7440" w:type="dxa"/>
            <w:vAlign w:val="bottom"/>
          </w:tcPr>
          <w:p>
            <w:pPr>
              <w:ind w:left="40"/>
              <w:spacing w:after="0"/>
              <w:rPr>
                <w:sz w:val="20"/>
                <w:szCs w:val="20"/>
                <w:color w:val="auto"/>
              </w:rPr>
            </w:pPr>
            <w:r>
              <w:rPr>
                <w:rFonts w:ascii="Arial" w:cs="Arial" w:eastAsia="Arial" w:hAnsi="Arial"/>
                <w:sz w:val="15"/>
                <w:szCs w:val="15"/>
                <w:color w:val="auto"/>
              </w:rPr>
              <w:t>Initial fair value option adjustment (see Note 17)</w:t>
            </w:r>
          </w:p>
        </w:tc>
        <w:tc>
          <w:tcPr>
            <w:tcW w:w="140" w:type="dxa"/>
            <w:vAlign w:val="bottom"/>
          </w:tcPr>
          <w:p>
            <w:pPr>
              <w:spacing w:after="0"/>
              <w:rPr>
                <w:sz w:val="23"/>
                <w:szCs w:val="23"/>
                <w:color w:val="auto"/>
              </w:rPr>
            </w:pPr>
          </w:p>
        </w:tc>
        <w:tc>
          <w:tcPr>
            <w:tcW w:w="1660" w:type="dxa"/>
            <w:vAlign w:val="bottom"/>
          </w:tcPr>
          <w:p>
            <w:pPr>
              <w:jc w:val="right"/>
              <w:ind w:right="24"/>
              <w:spacing w:after="0"/>
              <w:rPr>
                <w:sz w:val="20"/>
                <w:szCs w:val="20"/>
                <w:color w:val="auto"/>
              </w:rPr>
            </w:pPr>
            <w:r>
              <w:rPr>
                <w:rFonts w:ascii="Arial" w:cs="Arial" w:eastAsia="Arial" w:hAnsi="Arial"/>
                <w:sz w:val="15"/>
                <w:szCs w:val="15"/>
                <w:color w:val="auto"/>
              </w:rPr>
              <w:t>1.0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Fair value adjustment</w:t>
            </w:r>
          </w:p>
        </w:tc>
        <w:tc>
          <w:tcPr>
            <w:tcW w:w="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2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50"/>
        </w:trPr>
        <w:tc>
          <w:tcPr>
            <w:tcW w:w="7440" w:type="dxa"/>
            <w:vAlign w:val="bottom"/>
          </w:tcPr>
          <w:p>
            <w:pPr>
              <w:ind w:left="40"/>
              <w:spacing w:after="0"/>
              <w:rPr>
                <w:sz w:val="20"/>
                <w:szCs w:val="20"/>
                <w:color w:val="auto"/>
              </w:rPr>
            </w:pPr>
            <w:r>
              <w:rPr>
                <w:rFonts w:ascii="Arial" w:cs="Arial" w:eastAsia="Arial" w:hAnsi="Arial"/>
                <w:sz w:val="15"/>
                <w:szCs w:val="15"/>
                <w:color w:val="auto"/>
              </w:rPr>
              <w:t>Fair value adjustments on gross installment notes receivable</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301"/>
        </w:trPr>
        <w:tc>
          <w:tcPr>
            <w:tcW w:w="74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5"/>
                <w:szCs w:val="15"/>
                <w:color w:val="auto"/>
              </w:rPr>
              <w:t>Ending balance of installment notes receivable,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92.2</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95.6</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2020 and December 31, 2019, the notes receivable balances of $37.5 million and $19.0 million, respectively, primarily comprise short term construction loans provided to real estate developers. The carrying values of those notes generally approximate their fair market values either due to the short-term nature of the loan and/or or the note being secured by underlying collateral and/or personal guarantees. The notes receivable from real estate developers have a net weighted average interest rate and maturity of 6.1 percent and 1.7 years as of March 31, 2020, and 7.0 percent and 1.3 years as of December 31, 2019, respectively. Refer to Note 14, “Fair Value of Financial instruments.” and Note 17, “Recent Accounting Pronouncement.” for additional detail.</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6"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2020, other receivables were comprised of amounts due from: residents for rent, utility charges, fees and other pass through charges of $16.0 million (net of allowance of $1.8 million); home sale proceeds of $27.6 million; insurance receivables of $8.0 million, and other receivables of $5.5 million. As of December 31, 2019, other receivables were comprised of amounts due from: residents for rent, utility charges, fees and other pass through charges of $7.8 million (net of allowance of $2.2 million); home sale proceeds of $20.9 million; insurance and other receivables of $9.9 million, and other receivables of $4.8 million.</w:t>
      </w:r>
    </w:p>
    <w:p>
      <w:pPr>
        <w:spacing w:after="0" w:line="184"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intangible assets include in-place leases, franchise agreements and other intangible assets. These intangible assets are recorded in Other assets, net on the Consolidated Balance Sheets. In accordance with FASB ASC Topic 842, below market leases are now classified as a right of use asset.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24"/>
              <w:spacing w:after="0"/>
              <w:rPr>
                <w:sz w:val="20"/>
                <w:szCs w:val="20"/>
                <w:color w:val="auto"/>
              </w:rPr>
            </w:pPr>
            <w:r>
              <w:rPr>
                <w:rFonts w:ascii="Arial" w:cs="Arial" w:eastAsia="Arial" w:hAnsi="Arial"/>
                <w:sz w:val="15"/>
                <w:szCs w:val="15"/>
                <w:b w:val="1"/>
                <w:bCs w:val="1"/>
                <w:color w:val="auto"/>
              </w:rPr>
              <w:t>March 31, 2020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84"/>
              <w:spacing w:after="0"/>
              <w:rPr>
                <w:sz w:val="20"/>
                <w:szCs w:val="20"/>
                <w:color w:val="auto"/>
              </w:rPr>
            </w:pPr>
            <w:r>
              <w:rPr>
                <w:rFonts w:ascii="Arial" w:cs="Arial" w:eastAsia="Arial" w:hAnsi="Arial"/>
                <w:sz w:val="15"/>
                <w:szCs w:val="15"/>
                <w:b w:val="1"/>
                <w:bCs w:val="1"/>
                <w:color w:val="auto"/>
              </w:rPr>
              <w:t>December 31, 2019</w:t>
            </w:r>
          </w:p>
        </w:tc>
      </w:tr>
      <w:tr>
        <w:trPr>
          <w:trHeight w:val="165"/>
        </w:trPr>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Gross Carrying</w:t>
            </w:r>
          </w:p>
        </w:tc>
        <w:tc>
          <w:tcPr>
            <w:tcW w:w="200" w:type="dxa"/>
            <w:vAlign w:val="bottom"/>
          </w:tcPr>
          <w:p>
            <w:pPr>
              <w:spacing w:after="0"/>
              <w:rPr>
                <w:sz w:val="14"/>
                <w:szCs w:val="14"/>
                <w:color w:val="auto"/>
              </w:rPr>
            </w:pPr>
          </w:p>
        </w:tc>
        <w:tc>
          <w:tcPr>
            <w:tcW w:w="146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Accumulated</w:t>
            </w:r>
          </w:p>
        </w:tc>
        <w:tc>
          <w:tcPr>
            <w:tcW w:w="160" w:type="dxa"/>
            <w:vAlign w:val="bottom"/>
          </w:tcPr>
          <w:p>
            <w:pPr>
              <w:spacing w:after="0"/>
              <w:rPr>
                <w:sz w:val="14"/>
                <w:szCs w:val="14"/>
                <w:color w:val="auto"/>
              </w:rPr>
            </w:pPr>
          </w:p>
        </w:tc>
        <w:tc>
          <w:tcPr>
            <w:tcW w:w="1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Gross Carrying</w:t>
            </w:r>
          </w:p>
        </w:tc>
        <w:tc>
          <w:tcPr>
            <w:tcW w:w="180" w:type="dxa"/>
            <w:vAlign w:val="bottom"/>
          </w:tcPr>
          <w:p>
            <w:pPr>
              <w:spacing w:after="0"/>
              <w:rPr>
                <w:sz w:val="14"/>
                <w:szCs w:val="14"/>
                <w:color w:val="auto"/>
              </w:rPr>
            </w:pPr>
          </w:p>
        </w:tc>
        <w:tc>
          <w:tcPr>
            <w:tcW w:w="1260" w:type="dxa"/>
            <w:vAlign w:val="bottom"/>
          </w:tcPr>
          <w:p>
            <w:pPr>
              <w:jc w:val="right"/>
              <w:ind w:right="204"/>
              <w:spacing w:after="0" w:line="165" w:lineRule="exact"/>
              <w:rPr>
                <w:sz w:val="20"/>
                <w:szCs w:val="20"/>
                <w:color w:val="auto"/>
              </w:rPr>
            </w:pPr>
            <w:r>
              <w:rPr>
                <w:rFonts w:ascii="Arial" w:cs="Arial" w:eastAsia="Arial" w:hAnsi="Arial"/>
                <w:sz w:val="15"/>
                <w:szCs w:val="15"/>
                <w:b w:val="1"/>
                <w:bCs w:val="1"/>
                <w:color w:val="auto"/>
              </w:rPr>
              <w:t>Accumulated</w:t>
            </w:r>
          </w:p>
        </w:tc>
      </w:tr>
      <w:tr>
        <w:trPr>
          <w:trHeight w:val="202"/>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Intangible Asset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Useful Life</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Amortization</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Amortization</w:t>
            </w:r>
          </w:p>
        </w:tc>
      </w:tr>
      <w:tr>
        <w:trPr>
          <w:trHeight w:val="254"/>
        </w:trPr>
        <w:tc>
          <w:tcPr>
            <w:tcW w:w="3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In-place leases</w:t>
            </w: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color w:val="auto"/>
                <w:w w:val="89"/>
              </w:rPr>
              <w:t>7 years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127,148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(77,999)</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127,313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(74,548)</w:t>
            </w:r>
          </w:p>
        </w:tc>
      </w:tr>
      <w:tr>
        <w:trPr>
          <w:trHeight w:val="266"/>
        </w:trPr>
        <w:tc>
          <w:tcPr>
            <w:tcW w:w="37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Franchise agreements and other intangible assets</w:t>
            </w:r>
          </w:p>
        </w:tc>
        <w:tc>
          <w:tcPr>
            <w:tcW w:w="1240" w:type="dxa"/>
            <w:vAlign w:val="bottom"/>
            <w:tcBorders>
              <w:bottom w:val="single" w:sz="8" w:color="CCEEFF"/>
            </w:tcBorders>
            <w:gridSpan w:val="2"/>
          </w:tcPr>
          <w:p>
            <w:pPr>
              <w:jc w:val="center"/>
              <w:ind w:right="240"/>
              <w:spacing w:after="0"/>
              <w:rPr>
                <w:sz w:val="20"/>
                <w:szCs w:val="20"/>
                <w:color w:val="auto"/>
              </w:rPr>
            </w:pPr>
            <w:r>
              <w:rPr>
                <w:rFonts w:ascii="Arial" w:cs="Arial" w:eastAsia="Arial" w:hAnsi="Arial"/>
                <w:sz w:val="15"/>
                <w:szCs w:val="15"/>
                <w:color w:val="auto"/>
                <w:w w:val="90"/>
              </w:rPr>
              <w:t>7 - 20 years</w:t>
            </w: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16,944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(2,965)</w:t>
            </w:r>
          </w:p>
        </w:tc>
        <w:tc>
          <w:tcPr>
            <w:tcW w:w="2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16,943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(2,760)</w:t>
            </w:r>
          </w:p>
        </w:tc>
      </w:tr>
      <w:tr>
        <w:trPr>
          <w:trHeight w:val="24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Total</w:t>
            </w:r>
          </w:p>
        </w:tc>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144,092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(80,964)</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144,256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(77,308)</w:t>
            </w:r>
          </w:p>
        </w:tc>
      </w:tr>
      <w:tr>
        <w:trPr>
          <w:trHeight w:val="20"/>
        </w:trPr>
        <w:tc>
          <w:tcPr>
            <w:tcW w:w="3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related to the intangible assets are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5"/>
                <w:szCs w:val="15"/>
                <w:b w:val="1"/>
                <w:bCs w:val="1"/>
                <w:color w:val="auto"/>
              </w:rPr>
              <w:t>Three Months Ended</w:t>
            </w:r>
          </w:p>
        </w:tc>
      </w:tr>
      <w:tr>
        <w:trPr>
          <w:trHeight w:val="264"/>
        </w:trPr>
        <w:tc>
          <w:tcPr>
            <w:tcW w:w="8000" w:type="dxa"/>
            <w:vAlign w:val="bottom"/>
          </w:tcPr>
          <w:p>
            <w:pPr>
              <w:ind w:left="40"/>
              <w:spacing w:after="0"/>
              <w:rPr>
                <w:sz w:val="20"/>
                <w:szCs w:val="20"/>
                <w:color w:val="auto"/>
              </w:rPr>
            </w:pPr>
            <w:r>
              <w:rPr>
                <w:rFonts w:ascii="Arial" w:cs="Arial" w:eastAsia="Arial" w:hAnsi="Arial"/>
                <w:sz w:val="15"/>
                <w:szCs w:val="15"/>
                <w:b w:val="1"/>
                <w:bCs w:val="1"/>
                <w:color w:val="auto"/>
              </w:rPr>
              <w:t>Intangible Asset Amortization Expense</w:t>
            </w:r>
          </w:p>
        </w:tc>
        <w:tc>
          <w:tcPr>
            <w:tcW w:w="20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2020</w:t>
            </w:r>
          </w:p>
        </w:tc>
        <w:tc>
          <w:tcPr>
            <w:tcW w:w="200" w:type="dxa"/>
            <w:vAlign w:val="bottom"/>
          </w:tcPr>
          <w:p>
            <w:pPr>
              <w:spacing w:after="0"/>
              <w:rPr>
                <w:sz w:val="22"/>
                <w:szCs w:val="22"/>
                <w:color w:val="auto"/>
              </w:rPr>
            </w:pPr>
          </w:p>
        </w:tc>
        <w:tc>
          <w:tcPr>
            <w:tcW w:w="1360" w:type="dxa"/>
            <w:vAlign w:val="bottom"/>
          </w:tcPr>
          <w:p>
            <w:pPr>
              <w:jc w:val="right"/>
              <w:ind w:right="204"/>
              <w:spacing w:after="0"/>
              <w:rPr>
                <w:sz w:val="20"/>
                <w:szCs w:val="20"/>
                <w:color w:val="auto"/>
              </w:rPr>
            </w:pPr>
            <w:r>
              <w:rPr>
                <w:rFonts w:ascii="Arial" w:cs="Arial" w:eastAsia="Arial" w:hAnsi="Arial"/>
                <w:sz w:val="15"/>
                <w:szCs w:val="15"/>
                <w:b w:val="1"/>
                <w:bCs w:val="1"/>
                <w:color w:val="auto"/>
                <w:w w:val="99"/>
              </w:rPr>
              <w:t>March 31, 2019</w:t>
            </w:r>
          </w:p>
        </w:tc>
      </w:tr>
      <w:tr>
        <w:trPr>
          <w:trHeight w:val="254"/>
        </w:trPr>
        <w:tc>
          <w:tcPr>
            <w:tcW w:w="8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In-place leases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3,451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3,672</w:t>
            </w:r>
          </w:p>
        </w:tc>
      </w:tr>
      <w:tr>
        <w:trPr>
          <w:trHeight w:val="266"/>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Franchise fees and other intangible assets</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205</w:t>
            </w:r>
          </w:p>
        </w:tc>
      </w:tr>
      <w:tr>
        <w:trPr>
          <w:trHeight w:val="24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Total</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3,656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3,877</w:t>
            </w: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amortization expense for our intangible assets to be as follows for the next five years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Year</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3"/>
        </w:trPr>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ind w:left="120"/>
              <w:spacing w:after="0"/>
              <w:rPr>
                <w:sz w:val="20"/>
                <w:szCs w:val="20"/>
                <w:color w:val="auto"/>
              </w:rPr>
            </w:pPr>
            <w:r>
              <w:rPr>
                <w:rFonts w:ascii="Arial" w:cs="Arial" w:eastAsia="Arial" w:hAnsi="Arial"/>
                <w:sz w:val="15"/>
                <w:szCs w:val="15"/>
                <w:b w:val="1"/>
                <w:bCs w:val="1"/>
                <w:color w:val="auto"/>
              </w:rPr>
              <w:t>Remainder 2020</w:t>
            </w:r>
          </w:p>
        </w:tc>
        <w:tc>
          <w:tcPr>
            <w:tcW w:w="400" w:type="dxa"/>
            <w:vAlign w:val="bottom"/>
          </w:tcPr>
          <w:p>
            <w:pPr>
              <w:spacing w:after="0"/>
              <w:rPr>
                <w:sz w:val="22"/>
                <w:szCs w:val="22"/>
                <w:color w:val="auto"/>
              </w:rPr>
            </w:pPr>
          </w:p>
        </w:tc>
        <w:tc>
          <w:tcPr>
            <w:tcW w:w="1300" w:type="dxa"/>
            <w:vAlign w:val="bottom"/>
          </w:tcPr>
          <w:p>
            <w:pPr>
              <w:jc w:val="right"/>
              <w:ind w:right="6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ind w:left="300"/>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2024</w:t>
            </w:r>
          </w:p>
        </w:tc>
      </w:tr>
      <w:tr>
        <w:trPr>
          <w:trHeight w:val="254"/>
        </w:trPr>
        <w:tc>
          <w:tcPr>
            <w:tcW w:w="2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Estimated expense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11,665</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13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15,164</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10,562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7,187</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4,825</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Affiliates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Investments in joint ventures that are not consolidated, nor recorded at cost, are accounted for using the equity method of accounting as prescribed in FASB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Investments in nonconsolidated affiliates are recorded within Other assets, net on the Consolidated Balance Sheets. Equity income and loss are recorded in the Income / (loss) from nonconsolidated affiliates on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RezPlot Systems LLC (“Rezplot”)</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At March 31, 2020 and December 31, 2019, we had a 50 percent ownership interest in RezPlot, a RV reservation software technology company, acquired in January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Sungenia JV</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At March 31, 2020 and December 31, 2019, we had a 50 percent interest in Sungenia JV, a joint venture (“JV”) formed between the Company and Ingenia Communities Group in November 2018, to establish and grow a manufactured housing community development program in Australia.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GTSC LLC </w:t>
      </w:r>
      <w:r>
        <w:rPr>
          <w:rFonts w:ascii="Arial" w:cs="Arial" w:eastAsia="Arial" w:hAnsi="Arial"/>
          <w:sz w:val="18"/>
          <w:szCs w:val="18"/>
          <w:color w:val="auto"/>
        </w:rPr>
        <w:t>(</w:t>
      </w:r>
      <w:r>
        <w:rPr>
          <w:rFonts w:ascii="Arial" w:cs="Arial" w:eastAsia="Arial" w:hAnsi="Arial"/>
          <w:sz w:val="18"/>
          <w:szCs w:val="18"/>
          <w:i w:val="1"/>
          <w:iCs w:val="1"/>
          <w:color w:val="auto"/>
        </w:rPr>
        <w:t>“GTSC”</w:t>
      </w:r>
      <w:r>
        <w:rPr>
          <w:rFonts w:ascii="Arial" w:cs="Arial" w:eastAsia="Arial" w:hAnsi="Arial"/>
          <w:sz w:val="18"/>
          <w:szCs w:val="18"/>
          <w:color w:val="auto"/>
        </w:rPr>
        <w: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March 31, 2020 and December 31, 2019, we had a 40 percent ownership interest in GTSC, which engages in acquiring, holding and selling loans secured, directly or indirectly, by manufactured homes located in our communities.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Origen Financial Services, LLC (“OFS LLC”)</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March 31, 2020 and December 31, 2019, we had a 22.9 percent ownership interest in OFS LLC, an end-to-end online resident screening and document management suite.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SV Lift, LLC (“SV Lift”)</w:t>
      </w:r>
    </w:p>
    <w:p>
      <w:pPr>
        <w:spacing w:after="0" w:line="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 November 2019, we and HG GIV, LLC formed SV Lift, a Michigan limited liability company with the purpose to own, operate and lease an aircraft. At March 31, 2020 and December 31, 2019, we had a 50 percent ownership interest in SV Lift.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balance in each nonconsolidated affiliate is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Investment</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March 31, 2020</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Investment in RezPlot</w:t>
            </w: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3,684</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2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4,184</w:t>
            </w:r>
          </w:p>
        </w:tc>
      </w:tr>
      <w:tr>
        <w:trPr>
          <w:trHeight w:val="266"/>
        </w:trPr>
        <w:tc>
          <w:tcPr>
            <w:tcW w:w="6320" w:type="dxa"/>
            <w:vAlign w:val="bottom"/>
            <w:gridSpan w:val="2"/>
          </w:tcPr>
          <w:p>
            <w:pPr>
              <w:ind w:left="40"/>
              <w:spacing w:after="0"/>
              <w:rPr>
                <w:sz w:val="20"/>
                <w:szCs w:val="20"/>
                <w:color w:val="auto"/>
              </w:rPr>
            </w:pPr>
            <w:r>
              <w:rPr>
                <w:rFonts w:ascii="Arial" w:cs="Arial" w:eastAsia="Arial" w:hAnsi="Arial"/>
                <w:sz w:val="15"/>
                <w:szCs w:val="15"/>
                <w:color w:val="auto"/>
              </w:rPr>
              <w:t>Investment in Sungenia JV</w:t>
            </w:r>
          </w:p>
        </w:tc>
        <w:tc>
          <w:tcPr>
            <w:tcW w:w="380" w:type="dxa"/>
            <w:vAlign w:val="bottom"/>
          </w:tcPr>
          <w:p>
            <w:pPr>
              <w:spacing w:after="0"/>
              <w:rPr>
                <w:sz w:val="23"/>
                <w:szCs w:val="23"/>
                <w:color w:val="auto"/>
              </w:rPr>
            </w:pPr>
          </w:p>
        </w:tc>
        <w:tc>
          <w:tcPr>
            <w:tcW w:w="1980" w:type="dxa"/>
            <w:vAlign w:val="bottom"/>
          </w:tcPr>
          <w:p>
            <w:pPr>
              <w:jc w:val="right"/>
              <w:ind w:right="44"/>
              <w:spacing w:after="0"/>
              <w:rPr>
                <w:sz w:val="20"/>
                <w:szCs w:val="20"/>
                <w:color w:val="auto"/>
              </w:rPr>
            </w:pPr>
            <w:r>
              <w:rPr>
                <w:rFonts w:ascii="Arial" w:cs="Arial" w:eastAsia="Arial" w:hAnsi="Arial"/>
                <w:sz w:val="15"/>
                <w:szCs w:val="15"/>
                <w:color w:val="auto"/>
              </w:rPr>
              <w:t>11,576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20" w:type="dxa"/>
            <w:vAlign w:val="bottom"/>
          </w:tcPr>
          <w:p>
            <w:pPr>
              <w:jc w:val="right"/>
              <w:ind w:right="24"/>
              <w:spacing w:after="0"/>
              <w:rPr>
                <w:sz w:val="20"/>
                <w:szCs w:val="20"/>
                <w:color w:val="auto"/>
              </w:rPr>
            </w:pPr>
            <w:r>
              <w:rPr>
                <w:rFonts w:ascii="Arial" w:cs="Arial" w:eastAsia="Arial" w:hAnsi="Arial"/>
                <w:sz w:val="15"/>
                <w:szCs w:val="15"/>
                <w:color w:val="auto"/>
              </w:rPr>
              <w:t>11,995</w:t>
            </w:r>
          </w:p>
        </w:tc>
      </w:tr>
      <w:tr>
        <w:trPr>
          <w:trHeight w:val="274"/>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Investment in GTSC</w:t>
            </w:r>
          </w:p>
        </w:tc>
        <w:tc>
          <w:tcPr>
            <w:tcW w:w="38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19,028</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18,488</w:t>
            </w:r>
          </w:p>
        </w:tc>
      </w:tr>
      <w:tr>
        <w:trPr>
          <w:trHeight w:val="266"/>
        </w:trPr>
        <w:tc>
          <w:tcPr>
            <w:tcW w:w="6320" w:type="dxa"/>
            <w:vAlign w:val="bottom"/>
            <w:gridSpan w:val="2"/>
          </w:tcPr>
          <w:p>
            <w:pPr>
              <w:ind w:left="40"/>
              <w:spacing w:after="0"/>
              <w:rPr>
                <w:sz w:val="20"/>
                <w:szCs w:val="20"/>
                <w:color w:val="auto"/>
              </w:rPr>
            </w:pPr>
            <w:r>
              <w:rPr>
                <w:rFonts w:ascii="Arial" w:cs="Arial" w:eastAsia="Arial" w:hAnsi="Arial"/>
                <w:sz w:val="15"/>
                <w:szCs w:val="15"/>
                <w:color w:val="auto"/>
              </w:rPr>
              <w:t>Investment in OFS LLC</w:t>
            </w:r>
          </w:p>
        </w:tc>
        <w:tc>
          <w:tcPr>
            <w:tcW w:w="380" w:type="dxa"/>
            <w:vAlign w:val="bottom"/>
          </w:tcPr>
          <w:p>
            <w:pPr>
              <w:spacing w:after="0"/>
              <w:rPr>
                <w:sz w:val="23"/>
                <w:szCs w:val="23"/>
                <w:color w:val="auto"/>
              </w:rPr>
            </w:pPr>
          </w:p>
        </w:tc>
        <w:tc>
          <w:tcPr>
            <w:tcW w:w="1980" w:type="dxa"/>
            <w:vAlign w:val="bottom"/>
          </w:tcPr>
          <w:p>
            <w:pPr>
              <w:jc w:val="right"/>
              <w:ind w:right="44"/>
              <w:spacing w:after="0"/>
              <w:rPr>
                <w:sz w:val="20"/>
                <w:szCs w:val="20"/>
                <w:color w:val="auto"/>
              </w:rPr>
            </w:pPr>
            <w:r>
              <w:rPr>
                <w:rFonts w:ascii="Arial" w:cs="Arial" w:eastAsia="Arial" w:hAnsi="Arial"/>
                <w:sz w:val="15"/>
                <w:szCs w:val="15"/>
                <w:color w:val="auto"/>
              </w:rPr>
              <w:t>186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20" w:type="dxa"/>
            <w:vAlign w:val="bottom"/>
          </w:tcPr>
          <w:p>
            <w:pPr>
              <w:jc w:val="right"/>
              <w:ind w:right="24"/>
              <w:spacing w:after="0"/>
              <w:rPr>
                <w:sz w:val="20"/>
                <w:szCs w:val="20"/>
                <w:color w:val="auto"/>
              </w:rPr>
            </w:pPr>
            <w:r>
              <w:rPr>
                <w:rFonts w:ascii="Arial" w:cs="Arial" w:eastAsia="Arial" w:hAnsi="Arial"/>
                <w:sz w:val="15"/>
                <w:szCs w:val="15"/>
                <w:color w:val="auto"/>
              </w:rPr>
              <w:t>148</w:t>
            </w:r>
          </w:p>
        </w:tc>
      </w:tr>
      <w:tr>
        <w:trPr>
          <w:trHeight w:val="270"/>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Investment in SV Lift</w:t>
            </w:r>
          </w:p>
        </w:tc>
        <w:tc>
          <w:tcPr>
            <w:tcW w:w="38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3,470</w:t>
            </w:r>
          </w:p>
        </w:tc>
        <w:tc>
          <w:tcPr>
            <w:tcW w:w="2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2,961</w:t>
            </w:r>
          </w:p>
        </w:tc>
      </w:tr>
      <w:tr>
        <w:trPr>
          <w:trHeight w:val="240"/>
        </w:trPr>
        <w:tc>
          <w:tcPr>
            <w:tcW w:w="6320" w:type="dxa"/>
            <w:vAlign w:val="bottom"/>
            <w:gridSpan w:val="2"/>
          </w:tcPr>
          <w:p>
            <w:pPr>
              <w:ind w:left="280"/>
              <w:spacing w:after="0"/>
              <w:rPr>
                <w:sz w:val="20"/>
                <w:szCs w:val="20"/>
                <w:color w:val="auto"/>
              </w:rPr>
            </w:pPr>
            <w:r>
              <w:rPr>
                <w:rFonts w:ascii="Arial" w:cs="Arial" w:eastAsia="Arial" w:hAnsi="Arial"/>
                <w:sz w:val="15"/>
                <w:szCs w:val="15"/>
                <w:b w:val="1"/>
                <w:bCs w:val="1"/>
                <w:color w:val="auto"/>
              </w:rPr>
              <w:t>Total</w:t>
            </w: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37,944</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2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37,776</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income / (loss) from each nonconsolidated affiliate is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5"/>
                <w:szCs w:val="15"/>
                <w:b w:val="1"/>
                <w:bCs w:val="1"/>
                <w:color w:val="auto"/>
              </w:rPr>
              <w:t>Three Months Ended</w:t>
            </w:r>
          </w:p>
        </w:tc>
      </w:tr>
      <w:tr>
        <w:trPr>
          <w:trHeight w:val="263"/>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Income / (Loss) from Nonconsolidated Affiliates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March 31, 2020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99"/>
              </w:rPr>
              <w:t>March 31, 2019</w:t>
            </w:r>
          </w:p>
        </w:tc>
      </w:tr>
      <w:tr>
        <w:trPr>
          <w:trHeight w:val="254"/>
        </w:trPr>
        <w:tc>
          <w:tcPr>
            <w:tcW w:w="80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RezPlot equity loss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r>
      <w:tr>
        <w:trPr>
          <w:trHeight w:val="266"/>
        </w:trPr>
        <w:tc>
          <w:tcPr>
            <w:tcW w:w="8000" w:type="dxa"/>
            <w:vAlign w:val="bottom"/>
            <w:gridSpan w:val="2"/>
          </w:tcPr>
          <w:p>
            <w:pPr>
              <w:ind w:left="40"/>
              <w:spacing w:after="0"/>
              <w:rPr>
                <w:sz w:val="20"/>
                <w:szCs w:val="20"/>
                <w:color w:val="auto"/>
              </w:rPr>
            </w:pPr>
            <w:r>
              <w:rPr>
                <w:rFonts w:ascii="Arial" w:cs="Arial" w:eastAsia="Arial" w:hAnsi="Arial"/>
                <w:sz w:val="15"/>
                <w:szCs w:val="15"/>
                <w:color w:val="auto"/>
              </w:rPr>
              <w:t>Sungenia JV equity loss</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74"/>
        </w:trPr>
        <w:tc>
          <w:tcPr>
            <w:tcW w:w="80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GTSC equity income</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575</w:t>
            </w:r>
          </w:p>
        </w:tc>
      </w:tr>
      <w:tr>
        <w:trPr>
          <w:trHeight w:val="266"/>
        </w:trPr>
        <w:tc>
          <w:tcPr>
            <w:tcW w:w="8000" w:type="dxa"/>
            <w:vAlign w:val="bottom"/>
            <w:gridSpan w:val="2"/>
          </w:tcPr>
          <w:p>
            <w:pPr>
              <w:ind w:left="40"/>
              <w:spacing w:after="0"/>
              <w:rPr>
                <w:sz w:val="20"/>
                <w:szCs w:val="20"/>
                <w:color w:val="auto"/>
              </w:rPr>
            </w:pPr>
            <w:r>
              <w:rPr>
                <w:rFonts w:ascii="Arial" w:cs="Arial" w:eastAsia="Arial" w:hAnsi="Arial"/>
                <w:sz w:val="15"/>
                <w:szCs w:val="15"/>
                <w:color w:val="auto"/>
              </w:rPr>
              <w:t>OFS LLC equity income</w:t>
            </w:r>
          </w:p>
        </w:tc>
        <w:tc>
          <w:tcPr>
            <w:tcW w:w="200" w:type="dxa"/>
            <w:vAlign w:val="bottom"/>
          </w:tcPr>
          <w:p>
            <w:pPr>
              <w:spacing w:after="0"/>
              <w:rPr>
                <w:sz w:val="23"/>
                <w:szCs w:val="23"/>
                <w:color w:val="auto"/>
              </w:rPr>
            </w:pPr>
          </w:p>
        </w:tc>
        <w:tc>
          <w:tcPr>
            <w:tcW w:w="1380" w:type="dxa"/>
            <w:vAlign w:val="bottom"/>
          </w:tcPr>
          <w:p>
            <w:pPr>
              <w:jc w:val="right"/>
              <w:ind w:right="24"/>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42</w:t>
            </w:r>
          </w:p>
        </w:tc>
      </w:tr>
      <w:tr>
        <w:trPr>
          <w:trHeight w:val="270"/>
        </w:trPr>
        <w:tc>
          <w:tcPr>
            <w:tcW w:w="80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SV Lift equity loss</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40"/>
        </w:trPr>
        <w:tc>
          <w:tcPr>
            <w:tcW w:w="8000" w:type="dxa"/>
            <w:vAlign w:val="bottom"/>
            <w:gridSpan w:val="2"/>
          </w:tcPr>
          <w:p>
            <w:pPr>
              <w:ind w:left="280"/>
              <w:spacing w:after="0"/>
              <w:rPr>
                <w:sz w:val="20"/>
                <w:szCs w:val="20"/>
                <w:color w:val="auto"/>
              </w:rPr>
            </w:pPr>
            <w:r>
              <w:rPr>
                <w:rFonts w:ascii="Arial" w:cs="Arial" w:eastAsia="Arial" w:hAnsi="Arial"/>
                <w:sz w:val="15"/>
                <w:szCs w:val="15"/>
                <w:b w:val="1"/>
                <w:bCs w:val="1"/>
                <w:color w:val="auto"/>
              </w:rPr>
              <w:t>Total Income / (Loss) from Nonconsolidated Affiliates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388</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GTSC investment balance is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 2020</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6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1600" w:type="dxa"/>
            <w:vAlign w:val="bottom"/>
            <w:shd w:val="clear" w:color="auto" w:fill="CCEEFF"/>
          </w:tcPr>
          <w:p>
            <w:pPr>
              <w:jc w:val="right"/>
              <w:ind w:right="1424"/>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1"/>
              </w:rPr>
              <w:t>18,488</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29,780</w:t>
            </w:r>
          </w:p>
        </w:tc>
      </w:tr>
      <w:tr>
        <w:trPr>
          <w:trHeight w:val="266"/>
        </w:trPr>
        <w:tc>
          <w:tcPr>
            <w:tcW w:w="6760" w:type="dxa"/>
            <w:vAlign w:val="bottom"/>
          </w:tcPr>
          <w:p>
            <w:pPr>
              <w:ind w:left="40"/>
              <w:spacing w:after="0"/>
              <w:rPr>
                <w:sz w:val="20"/>
                <w:szCs w:val="20"/>
                <w:color w:val="auto"/>
              </w:rPr>
            </w:pPr>
            <w:r>
              <w:rPr>
                <w:rFonts w:ascii="Arial" w:cs="Arial" w:eastAsia="Arial" w:hAnsi="Arial"/>
                <w:sz w:val="15"/>
                <w:szCs w:val="15"/>
                <w:color w:val="auto"/>
              </w:rPr>
              <w:t>Adjustment of allowance for losses</w:t>
            </w:r>
          </w:p>
        </w:tc>
        <w:tc>
          <w:tcPr>
            <w:tcW w:w="160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1840" w:type="dxa"/>
            <w:vAlign w:val="bottom"/>
          </w:tcPr>
          <w:p>
            <w:pPr>
              <w:jc w:val="right"/>
              <w:ind w:right="24"/>
              <w:spacing w:after="0"/>
              <w:rPr>
                <w:sz w:val="20"/>
                <w:szCs w:val="20"/>
                <w:color w:val="auto"/>
              </w:rPr>
            </w:pPr>
            <w:r>
              <w:rPr>
                <w:rFonts w:ascii="Arial" w:cs="Arial" w:eastAsia="Arial" w:hAnsi="Arial"/>
                <w:sz w:val="15"/>
                <w:szCs w:val="15"/>
                <w:color w:val="auto"/>
              </w:rPr>
              <w:t>144</w:t>
            </w:r>
          </w:p>
        </w:tc>
      </w:tr>
      <w:tr>
        <w:trPr>
          <w:trHeight w:val="274"/>
        </w:trPr>
        <w:tc>
          <w:tcPr>
            <w:tcW w:w="6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Initial fair value option adjustment (see Note 17)</w:t>
            </w:r>
          </w:p>
        </w:tc>
        <w:tc>
          <w:tcPr>
            <w:tcW w:w="16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317</w:t>
            </w: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6760" w:type="dxa"/>
            <w:vAlign w:val="bottom"/>
          </w:tcPr>
          <w:p>
            <w:pPr>
              <w:ind w:left="40"/>
              <w:spacing w:after="0"/>
              <w:rPr>
                <w:sz w:val="20"/>
                <w:szCs w:val="20"/>
                <w:color w:val="auto"/>
              </w:rPr>
            </w:pPr>
            <w:r>
              <w:rPr>
                <w:rFonts w:ascii="Arial" w:cs="Arial" w:eastAsia="Arial" w:hAnsi="Arial"/>
                <w:sz w:val="15"/>
                <w:szCs w:val="15"/>
                <w:color w:val="auto"/>
              </w:rPr>
              <w:t>Cash contributions</w:t>
            </w:r>
          </w:p>
        </w:tc>
        <w:tc>
          <w:tcPr>
            <w:tcW w:w="1600" w:type="dxa"/>
            <w:vAlign w:val="bottom"/>
          </w:tcPr>
          <w:p>
            <w:pPr>
              <w:spacing w:after="0"/>
              <w:rPr>
                <w:sz w:val="23"/>
                <w:szCs w:val="23"/>
                <w:color w:val="auto"/>
              </w:rPr>
            </w:pP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3,689</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40" w:type="dxa"/>
            <w:vAlign w:val="bottom"/>
          </w:tcPr>
          <w:p>
            <w:pPr>
              <w:jc w:val="right"/>
              <w:ind w:right="24"/>
              <w:spacing w:after="0"/>
              <w:rPr>
                <w:sz w:val="20"/>
                <w:szCs w:val="20"/>
                <w:color w:val="auto"/>
              </w:rPr>
            </w:pPr>
            <w:r>
              <w:rPr>
                <w:rFonts w:ascii="Arial" w:cs="Arial" w:eastAsia="Arial" w:hAnsi="Arial"/>
                <w:sz w:val="15"/>
                <w:szCs w:val="15"/>
                <w:color w:val="auto"/>
              </w:rPr>
              <w:t>33,143</w:t>
            </w:r>
          </w:p>
        </w:tc>
      </w:tr>
      <w:tr>
        <w:trPr>
          <w:trHeight w:val="274"/>
        </w:trPr>
        <w:tc>
          <w:tcPr>
            <w:tcW w:w="6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Distributions</w:t>
            </w:r>
          </w:p>
        </w:tc>
        <w:tc>
          <w:tcPr>
            <w:tcW w:w="16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(2,035)</w:t>
            </w: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(47,382)</w:t>
            </w:r>
          </w:p>
        </w:tc>
      </w:tr>
      <w:tr>
        <w:trPr>
          <w:trHeight w:val="266"/>
        </w:trPr>
        <w:tc>
          <w:tcPr>
            <w:tcW w:w="6760" w:type="dxa"/>
            <w:vAlign w:val="bottom"/>
          </w:tcPr>
          <w:p>
            <w:pPr>
              <w:ind w:left="40"/>
              <w:spacing w:after="0"/>
              <w:rPr>
                <w:sz w:val="20"/>
                <w:szCs w:val="20"/>
                <w:color w:val="auto"/>
              </w:rPr>
            </w:pPr>
            <w:r>
              <w:rPr>
                <w:rFonts w:ascii="Arial" w:cs="Arial" w:eastAsia="Arial" w:hAnsi="Arial"/>
                <w:sz w:val="15"/>
                <w:szCs w:val="15"/>
                <w:color w:val="auto"/>
              </w:rPr>
              <w:t>Equity earnings</w:t>
            </w:r>
          </w:p>
        </w:tc>
        <w:tc>
          <w:tcPr>
            <w:tcW w:w="1600" w:type="dxa"/>
            <w:vAlign w:val="bottom"/>
          </w:tcPr>
          <w:p>
            <w:pPr>
              <w:spacing w:after="0"/>
              <w:rPr>
                <w:sz w:val="23"/>
                <w:szCs w:val="23"/>
                <w:color w:val="auto"/>
              </w:rPr>
            </w:pP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760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40" w:type="dxa"/>
            <w:vAlign w:val="bottom"/>
          </w:tcPr>
          <w:p>
            <w:pPr>
              <w:jc w:val="right"/>
              <w:ind w:right="24"/>
              <w:spacing w:after="0"/>
              <w:rPr>
                <w:sz w:val="20"/>
                <w:szCs w:val="20"/>
                <w:color w:val="auto"/>
              </w:rPr>
            </w:pPr>
            <w:r>
              <w:rPr>
                <w:rFonts w:ascii="Arial" w:cs="Arial" w:eastAsia="Arial" w:hAnsi="Arial"/>
                <w:sz w:val="15"/>
                <w:szCs w:val="15"/>
                <w:color w:val="auto"/>
              </w:rPr>
              <w:t>2,803</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Fair value adjustment</w:t>
            </w:r>
          </w:p>
        </w:tc>
        <w:tc>
          <w:tcPr>
            <w:tcW w:w="16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(2,191)</w:t>
            </w: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41"/>
        </w:trPr>
        <w:tc>
          <w:tcPr>
            <w:tcW w:w="6760" w:type="dxa"/>
            <w:vAlign w:val="bottom"/>
          </w:tcPr>
          <w:p>
            <w:pPr>
              <w:ind w:left="280"/>
              <w:spacing w:after="0"/>
              <w:rPr>
                <w:sz w:val="20"/>
                <w:szCs w:val="20"/>
                <w:color w:val="auto"/>
              </w:rPr>
            </w:pPr>
            <w:r>
              <w:rPr>
                <w:rFonts w:ascii="Arial" w:cs="Arial" w:eastAsia="Arial" w:hAnsi="Arial"/>
                <w:sz w:val="15"/>
                <w:szCs w:val="15"/>
                <w:b w:val="1"/>
                <w:bCs w:val="1"/>
                <w:color w:val="auto"/>
              </w:rPr>
              <w:t>Ending Balance</w:t>
            </w:r>
          </w:p>
        </w:tc>
        <w:tc>
          <w:tcPr>
            <w:tcW w:w="1600" w:type="dxa"/>
            <w:vAlign w:val="bottom"/>
            <w:tcBorders>
              <w:bottom w:val="single" w:sz="8" w:color="auto"/>
            </w:tcBorders>
          </w:tcPr>
          <w:p>
            <w:pPr>
              <w:jc w:val="right"/>
              <w:ind w:right="142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1"/>
              </w:rPr>
              <w:t>19,028</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18,488</w:t>
            </w:r>
          </w:p>
        </w:tc>
      </w:tr>
      <w:tr>
        <w:trPr>
          <w:trHeight w:val="20"/>
        </w:trPr>
        <w:tc>
          <w:tcPr>
            <w:tcW w:w="67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Variable Interest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consolidate the Operating Partnership under the guidance set forth in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ASU 2015-02 modified the evaluation of whether limited partnerships and similar legal entities are variable interest entities (“VIEs”) or, alternatively, voting interest entities. We evaluated the application of ASU 2015-02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Sun NG RV Resorts LLC (“Sun NG Resorts”); Rudgate Village SPE, LLC, Rudgate Clinton SPE, LLC, and Rudgate Clinton Estates SPE, LLC (collectively, “Rudgate”); Sun NG Whitewater RV LLC </w:t>
      </w:r>
      <w:r>
        <w:rPr>
          <w:rFonts w:ascii="Arial" w:cs="Arial" w:eastAsia="Arial" w:hAnsi="Arial"/>
          <w:sz w:val="18"/>
          <w:szCs w:val="18"/>
          <w:color w:val="auto"/>
        </w:rPr>
        <w:t>(</w:t>
      </w:r>
      <w:r>
        <w:rPr>
          <w:rFonts w:ascii="Arial" w:cs="Arial" w:eastAsia="Arial" w:hAnsi="Arial"/>
          <w:sz w:val="18"/>
          <w:szCs w:val="18"/>
          <w:i w:val="1"/>
          <w:iCs w:val="1"/>
          <w:color w:val="auto"/>
        </w:rPr>
        <w:t>“NG Sun Whitewater RV LLC”</w:t>
      </w:r>
      <w:r>
        <w:rPr>
          <w:rFonts w:ascii="Arial" w:cs="Arial" w:eastAsia="Arial" w:hAnsi="Arial"/>
          <w:sz w:val="18"/>
          <w:szCs w:val="18"/>
          <w:color w:val="auto"/>
        </w:rPr>
        <w:t>);</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consolidate Sun NG Resorts, Rudgate, and Sun NG Whitewater RV LLC, under the guidance set forth in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We concluded that each of them is a VIE where we are the primary beneficiary, as we have the power to direct the significant activities, absorb the significant losses and receive the significant benefits from the entity. Refer to Note 3, “Real Estate Acquisitions,” Note 8, “Debt and Lines of Credit,” and Note 9, “Equity and Temporary Equity” for additional information on Sun NG Resorts.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assets and liabilities of Sun NG Resorts, Rudgate, and NG Sun Whitewater RV LLC included in our Consolidated Balance Sheets after eliminations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2020</w:t>
            </w:r>
          </w:p>
        </w:tc>
        <w:tc>
          <w:tcPr>
            <w:tcW w:w="180" w:type="dxa"/>
            <w:vAlign w:val="bottom"/>
          </w:tcPr>
          <w:p>
            <w:pPr>
              <w:spacing w:after="0"/>
              <w:rPr>
                <w:sz w:val="17"/>
                <w:szCs w:val="17"/>
                <w:color w:val="auto"/>
              </w:rPr>
            </w:pPr>
          </w:p>
        </w:tc>
        <w:tc>
          <w:tcPr>
            <w:tcW w:w="1600" w:type="dxa"/>
            <w:vAlign w:val="bottom"/>
          </w:tcPr>
          <w:p>
            <w:pPr>
              <w:jc w:val="right"/>
              <w:ind w:right="204"/>
              <w:spacing w:after="0"/>
              <w:rPr>
                <w:sz w:val="20"/>
                <w:szCs w:val="20"/>
                <w:color w:val="auto"/>
              </w:rPr>
            </w:pPr>
            <w:r>
              <w:rPr>
                <w:rFonts w:ascii="Arial" w:cs="Arial" w:eastAsia="Arial" w:hAnsi="Arial"/>
                <w:sz w:val="15"/>
                <w:szCs w:val="15"/>
                <w:b w:val="1"/>
                <w:bCs w:val="1"/>
                <w:color w:val="auto"/>
                <w:w w:val="96"/>
              </w:rPr>
              <w:t>December 31, 2019</w:t>
            </w:r>
          </w:p>
        </w:tc>
      </w:tr>
      <w:tr>
        <w:trPr>
          <w:trHeight w:val="266"/>
        </w:trPr>
        <w:tc>
          <w:tcPr>
            <w:tcW w:w="732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280" w:type="dxa"/>
            <w:vAlign w:val="bottom"/>
            <w:tcBorders>
              <w:top w:val="single" w:sz="8" w:color="auto"/>
            </w:tcBorders>
          </w:tcPr>
          <w:p>
            <w:pPr>
              <w:spacing w:after="0"/>
              <w:rPr>
                <w:sz w:val="23"/>
                <w:szCs w:val="23"/>
                <w:color w:val="auto"/>
              </w:rPr>
            </w:pPr>
          </w:p>
        </w:tc>
        <w:tc>
          <w:tcPr>
            <w:tcW w:w="16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r>
      <w:tr>
        <w:trPr>
          <w:trHeight w:val="274"/>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property, net</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350,019</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344,300</w:t>
            </w:r>
          </w:p>
        </w:tc>
      </w:tr>
      <w:tr>
        <w:trPr>
          <w:trHeight w:val="266"/>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assets, net</w:t>
            </w:r>
          </w:p>
        </w:tc>
        <w:tc>
          <w:tcPr>
            <w:tcW w:w="2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23,751</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23,894</w:t>
            </w:r>
          </w:p>
        </w:tc>
      </w:tr>
      <w:tr>
        <w:trPr>
          <w:trHeight w:val="240"/>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373,770</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368,194</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64"/>
        </w:trPr>
        <w:tc>
          <w:tcPr>
            <w:tcW w:w="7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Liabilities and Other Equity</w:t>
            </w:r>
          </w:p>
        </w:tc>
        <w:tc>
          <w:tcPr>
            <w:tcW w:w="2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6"/>
        </w:trPr>
        <w:tc>
          <w:tcPr>
            <w:tcW w:w="7320" w:type="dxa"/>
            <w:vAlign w:val="bottom"/>
          </w:tcPr>
          <w:p>
            <w:pPr>
              <w:ind w:left="40"/>
              <w:spacing w:after="0"/>
              <w:rPr>
                <w:sz w:val="20"/>
                <w:szCs w:val="20"/>
                <w:color w:val="auto"/>
              </w:rPr>
            </w:pPr>
            <w:r>
              <w:rPr>
                <w:rFonts w:ascii="Arial" w:cs="Arial" w:eastAsia="Arial" w:hAnsi="Arial"/>
                <w:sz w:val="15"/>
                <w:szCs w:val="15"/>
                <w:color w:val="auto"/>
              </w:rPr>
              <w:t>Debt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44"/>
              <w:spacing w:after="0"/>
              <w:rPr>
                <w:sz w:val="20"/>
                <w:szCs w:val="20"/>
                <w:color w:val="auto"/>
              </w:rPr>
            </w:pPr>
            <w:r>
              <w:rPr>
                <w:rFonts w:ascii="Arial" w:cs="Arial" w:eastAsia="Arial" w:hAnsi="Arial"/>
                <w:sz w:val="15"/>
                <w:szCs w:val="15"/>
                <w:color w:val="auto"/>
              </w:rPr>
              <w:t>46,727</w:t>
            </w:r>
          </w:p>
        </w:tc>
        <w:tc>
          <w:tcPr>
            <w:tcW w:w="220" w:type="dxa"/>
            <w:vAlign w:val="bottom"/>
          </w:tcPr>
          <w:p>
            <w:pPr>
              <w:spacing w:after="0"/>
              <w:rPr>
                <w:sz w:val="23"/>
                <w:szCs w:val="23"/>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46,993</w:t>
            </w:r>
          </w:p>
        </w:tc>
      </w:tr>
      <w:tr>
        <w:trPr>
          <w:trHeight w:val="274"/>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 xml:space="preserve">Preferred Equity - </w:t>
            </w:r>
            <w:r>
              <w:rPr>
                <w:rFonts w:ascii="Arial" w:cs="Arial" w:eastAsia="Arial" w:hAnsi="Arial"/>
                <w:sz w:val="17"/>
                <w:szCs w:val="17"/>
                <w:color w:val="auto"/>
              </w:rPr>
              <w:t>Sun NG Resorts</w:t>
            </w:r>
            <w:r>
              <w:rPr>
                <w:rFonts w:ascii="Arial" w:cs="Arial" w:eastAsia="Arial" w:hAnsi="Arial"/>
                <w:sz w:val="15"/>
                <w:szCs w:val="15"/>
                <w:color w:val="auto"/>
              </w:rPr>
              <w:t xml:space="preserve"> - mandatorily redeemable</w:t>
            </w:r>
          </w:p>
        </w:tc>
        <w:tc>
          <w:tcPr>
            <w:tcW w:w="2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35,249</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35,249</w:t>
            </w:r>
          </w:p>
        </w:tc>
      </w:tr>
      <w:tr>
        <w:trPr>
          <w:trHeight w:val="266"/>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liabilities</w:t>
            </w:r>
          </w:p>
        </w:tc>
        <w:tc>
          <w:tcPr>
            <w:tcW w:w="2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19,604</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13,631</w:t>
            </w:r>
          </w:p>
        </w:tc>
      </w:tr>
      <w:tr>
        <w:trPr>
          <w:trHeight w:val="254"/>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w:t>
            </w:r>
          </w:p>
        </w:tc>
        <w:tc>
          <w:tcPr>
            <w:tcW w:w="2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101,580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95,873</w:t>
            </w:r>
          </w:p>
        </w:tc>
      </w:tr>
      <w:tr>
        <w:trPr>
          <w:trHeight w:val="266"/>
        </w:trPr>
        <w:tc>
          <w:tcPr>
            <w:tcW w:w="7320" w:type="dxa"/>
            <w:vAlign w:val="bottom"/>
          </w:tcPr>
          <w:p>
            <w:pPr>
              <w:ind w:left="40"/>
              <w:spacing w:after="0"/>
              <w:rPr>
                <w:sz w:val="20"/>
                <w:szCs w:val="20"/>
                <w:color w:val="auto"/>
              </w:rPr>
            </w:pPr>
            <w:r>
              <w:rPr>
                <w:rFonts w:ascii="Arial" w:cs="Arial" w:eastAsia="Arial" w:hAnsi="Arial"/>
                <w:sz w:val="15"/>
                <w:szCs w:val="15"/>
                <w:color w:val="auto"/>
              </w:rPr>
              <w:t>Equity Interest - NG Sun LLC &amp; NG Sun Whitewater RV LLC</w:t>
            </w:r>
          </w:p>
        </w:tc>
        <w:tc>
          <w:tcPr>
            <w:tcW w:w="280" w:type="dxa"/>
            <w:vAlign w:val="bottom"/>
          </w:tcPr>
          <w:p>
            <w:pPr>
              <w:spacing w:after="0"/>
              <w:rPr>
                <w:sz w:val="23"/>
                <w:szCs w:val="23"/>
                <w:color w:val="auto"/>
              </w:rPr>
            </w:pPr>
          </w:p>
        </w:tc>
        <w:tc>
          <w:tcPr>
            <w:tcW w:w="1640" w:type="dxa"/>
            <w:vAlign w:val="bottom"/>
          </w:tcPr>
          <w:p>
            <w:pPr>
              <w:jc w:val="right"/>
              <w:ind w:right="44"/>
              <w:spacing w:after="0"/>
              <w:rPr>
                <w:sz w:val="20"/>
                <w:szCs w:val="20"/>
                <w:color w:val="auto"/>
              </w:rPr>
            </w:pPr>
            <w:r>
              <w:rPr>
                <w:rFonts w:ascii="Arial" w:cs="Arial" w:eastAsia="Arial" w:hAnsi="Arial"/>
                <w:sz w:val="15"/>
                <w:szCs w:val="15"/>
                <w:color w:val="auto"/>
              </w:rPr>
              <w:t>26,063</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27,091</w:t>
            </w: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9,374</w:t>
            </w:r>
          </w:p>
        </w:tc>
        <w:tc>
          <w:tcPr>
            <w:tcW w:w="2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8,542</w:t>
            </w:r>
          </w:p>
        </w:tc>
      </w:tr>
      <w:tr>
        <w:trPr>
          <w:trHeight w:val="240"/>
        </w:trPr>
        <w:tc>
          <w:tcPr>
            <w:tcW w:w="7320" w:type="dxa"/>
            <w:vAlign w:val="bottom"/>
          </w:tcPr>
          <w:p>
            <w:pPr>
              <w:ind w:left="40"/>
              <w:spacing w:after="0"/>
              <w:rPr>
                <w:sz w:val="20"/>
                <w:szCs w:val="20"/>
                <w:color w:val="auto"/>
              </w:rPr>
            </w:pPr>
            <w:r>
              <w:rPr>
                <w:rFonts w:ascii="Arial" w:cs="Arial" w:eastAsia="Arial" w:hAnsi="Arial"/>
                <w:sz w:val="15"/>
                <w:szCs w:val="15"/>
                <w:b w:val="1"/>
                <w:bCs w:val="1"/>
                <w:color w:val="auto"/>
              </w:rPr>
              <w:t>Total Liabilities and Other Equity</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137,017</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131,506</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Investment property, net and other assets, net related to the consolidated VIEs, with the exception of the Operating Partnership, comprised approximately 4.6 percent and 4.7 percent of our consolidated total assets at March 31, 2020 and December 31, 2019, respectively. Debt, Preferred Equity and other liabilities comprised approximately 2.3 percent and 2.5 percent of our consolidated total liabilities at March 31, 2020 and December 31, 2019, respectively. Equity Interests and Noncontrolling interests related to the consolidated VIEs, on an absolute basis, comprised approximately less than 1.0 percent of our consolidated total equity at March 31, 2020 and at December 31, 2019, respectively.</w:t>
      </w:r>
    </w:p>
    <w:p>
      <w:pPr>
        <w:sectPr>
          <w:pgSz w:w="11900" w:h="16838" w:orient="portrait"/>
          <w:cols w:equalWidth="0" w:num="1">
            <w:col w:w="11240"/>
          </w:cols>
          <w:pgMar w:left="320" w:top="126"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6"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 and Lines of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debt including premiums, discounts and deferred financing costs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4"/>
          </w:tcPr>
          <w:p>
            <w:pPr>
              <w:ind w:left="640"/>
              <w:spacing w:after="0"/>
              <w:rPr>
                <w:sz w:val="20"/>
                <w:szCs w:val="20"/>
                <w:color w:val="auto"/>
              </w:rPr>
            </w:pPr>
            <w:r>
              <w:rPr>
                <w:rFonts w:ascii="Arial" w:cs="Arial" w:eastAsia="Arial" w:hAnsi="Arial"/>
                <w:sz w:val="15"/>
                <w:szCs w:val="15"/>
                <w:b w:val="1"/>
                <w:bCs w:val="1"/>
                <w:color w:val="auto"/>
              </w:rPr>
              <w:t>Weighted Average</w:t>
            </w:r>
          </w:p>
        </w:tc>
        <w:tc>
          <w:tcPr>
            <w:tcW w:w="2560" w:type="dxa"/>
            <w:vAlign w:val="bottom"/>
            <w:gridSpan w:val="3"/>
          </w:tcPr>
          <w:p>
            <w:pPr>
              <w:jc w:val="right"/>
              <w:ind w:right="584"/>
              <w:spacing w:after="0"/>
              <w:rPr>
                <w:sz w:val="20"/>
                <w:szCs w:val="20"/>
                <w:color w:val="auto"/>
              </w:rPr>
            </w:pPr>
            <w:r>
              <w:rPr>
                <w:rFonts w:ascii="Arial" w:cs="Arial" w:eastAsia="Arial" w:hAnsi="Arial"/>
                <w:sz w:val="15"/>
                <w:szCs w:val="15"/>
                <w:b w:val="1"/>
                <w:bCs w:val="1"/>
                <w:color w:val="auto"/>
              </w:rPr>
              <w:t>Weighted Average</w:t>
            </w:r>
          </w:p>
        </w:tc>
      </w:tr>
      <w:tr>
        <w:trPr>
          <w:trHeight w:val="202"/>
        </w:trPr>
        <w:tc>
          <w:tcPr>
            <w:tcW w:w="3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5"/>
                <w:szCs w:val="15"/>
                <w:b w:val="1"/>
                <w:bCs w:val="1"/>
                <w:color w:val="auto"/>
              </w:rPr>
              <w:t>Carrying Amount</w:t>
            </w:r>
          </w:p>
        </w:tc>
        <w:tc>
          <w:tcPr>
            <w:tcW w:w="100" w:type="dxa"/>
            <w:vAlign w:val="bottom"/>
          </w:tcPr>
          <w:p>
            <w:pPr>
              <w:spacing w:after="0"/>
              <w:rPr>
                <w:sz w:val="17"/>
                <w:szCs w:val="17"/>
                <w:color w:val="auto"/>
              </w:rPr>
            </w:pPr>
          </w:p>
        </w:tc>
        <w:tc>
          <w:tcPr>
            <w:tcW w:w="246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5"/>
                <w:szCs w:val="15"/>
                <w:b w:val="1"/>
                <w:bCs w:val="1"/>
                <w:color w:val="auto"/>
              </w:rPr>
              <w:t>Years to Maturity</w:t>
            </w:r>
          </w:p>
        </w:tc>
        <w:tc>
          <w:tcPr>
            <w:tcW w:w="100" w:type="dxa"/>
            <w:vAlign w:val="bottom"/>
          </w:tcPr>
          <w:p>
            <w:pPr>
              <w:spacing w:after="0"/>
              <w:rPr>
                <w:sz w:val="17"/>
                <w:szCs w:val="17"/>
                <w:color w:val="auto"/>
              </w:rPr>
            </w:pPr>
          </w:p>
        </w:tc>
        <w:tc>
          <w:tcPr>
            <w:tcW w:w="2560" w:type="dxa"/>
            <w:vAlign w:val="bottom"/>
            <w:tcBorders>
              <w:bottom w:val="single" w:sz="8" w:color="auto"/>
            </w:tcBorders>
            <w:gridSpan w:val="3"/>
          </w:tcPr>
          <w:p>
            <w:pPr>
              <w:jc w:val="right"/>
              <w:ind w:right="724"/>
              <w:spacing w:after="0"/>
              <w:rPr>
                <w:sz w:val="20"/>
                <w:szCs w:val="20"/>
                <w:color w:val="auto"/>
              </w:rPr>
            </w:pPr>
            <w:r>
              <w:rPr>
                <w:rFonts w:ascii="Arial" w:cs="Arial" w:eastAsia="Arial" w:hAnsi="Arial"/>
                <w:sz w:val="15"/>
                <w:szCs w:val="15"/>
                <w:b w:val="1"/>
                <w:bCs w:val="1"/>
                <w:color w:val="auto"/>
              </w:rPr>
              <w:t>Interest Rates</w:t>
            </w:r>
          </w:p>
        </w:tc>
      </w:tr>
      <w:tr>
        <w:trPr>
          <w:trHeight w:val="169"/>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44"/>
              <w:spacing w:after="0" w:line="169" w:lineRule="exact"/>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120"/>
              <w:spacing w:after="0" w:line="169" w:lineRule="exact"/>
              <w:rPr>
                <w:sz w:val="20"/>
                <w:szCs w:val="20"/>
                <w:color w:val="auto"/>
              </w:rPr>
            </w:pPr>
            <w:r>
              <w:rPr>
                <w:rFonts w:ascii="Arial" w:cs="Arial" w:eastAsia="Arial" w:hAnsi="Arial"/>
                <w:sz w:val="15"/>
                <w:szCs w:val="15"/>
                <w:b w:val="1"/>
                <w:bCs w:val="1"/>
                <w:color w:val="auto"/>
              </w:rPr>
              <w:t>December 31,</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64"/>
              <w:spacing w:after="0" w:line="169" w:lineRule="exact"/>
              <w:rPr>
                <w:sz w:val="20"/>
                <w:szCs w:val="20"/>
                <w:color w:val="auto"/>
              </w:rPr>
            </w:pPr>
            <w:r>
              <w:rPr>
                <w:rFonts w:ascii="Arial" w:cs="Arial" w:eastAsia="Arial" w:hAnsi="Arial"/>
                <w:sz w:val="15"/>
                <w:szCs w:val="15"/>
                <w:b w:val="1"/>
                <w:bCs w:val="1"/>
                <w:color w:val="auto"/>
              </w:rPr>
              <w:t>December 31,</w:t>
            </w:r>
          </w:p>
        </w:tc>
      </w:tr>
      <w:tr>
        <w:trPr>
          <w:trHeight w:val="202"/>
        </w:trPr>
        <w:tc>
          <w:tcPr>
            <w:tcW w:w="35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b w:val="1"/>
                <w:bCs w:val="1"/>
                <w:color w:val="auto"/>
              </w:rPr>
              <w:t>March 31, 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March 31, 2020</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March 31, 2020</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2019</w:t>
            </w:r>
          </w:p>
        </w:tc>
      </w:tr>
      <w:tr>
        <w:trPr>
          <w:trHeight w:val="254"/>
        </w:trPr>
        <w:tc>
          <w:tcPr>
            <w:tcW w:w="3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Collateralized term loans - Life Companies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1,701,478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1,710,408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r>
      <w:tr>
        <w:trPr>
          <w:trHeight w:val="266"/>
        </w:trPr>
        <w:tc>
          <w:tcPr>
            <w:tcW w:w="3580" w:type="dxa"/>
            <w:vAlign w:val="bottom"/>
          </w:tcPr>
          <w:p>
            <w:pPr>
              <w:ind w:left="40"/>
              <w:spacing w:after="0"/>
              <w:rPr>
                <w:sz w:val="20"/>
                <w:szCs w:val="20"/>
                <w:color w:val="auto"/>
              </w:rPr>
            </w:pPr>
            <w:r>
              <w:rPr>
                <w:rFonts w:ascii="Arial" w:cs="Arial" w:eastAsia="Arial" w:hAnsi="Arial"/>
                <w:sz w:val="15"/>
                <w:szCs w:val="15"/>
                <w:color w:val="auto"/>
              </w:rPr>
              <w:t>Collateralized term loans - FNMA</w:t>
            </w:r>
          </w:p>
        </w:tc>
        <w:tc>
          <w:tcPr>
            <w:tcW w:w="30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902,375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697,589</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74"/>
        </w:trPr>
        <w:tc>
          <w:tcPr>
            <w:tcW w:w="3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Collateralized term loans - CMBS</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296,753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397,868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r>
      <w:tr>
        <w:trPr>
          <w:trHeight w:val="266"/>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Collateralized term loans - FMCC</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373,202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374,727</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4.9</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3.9%</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3.9%</w:t>
            </w:r>
          </w:p>
        </w:tc>
      </w:tr>
      <w:tr>
        <w:trPr>
          <w:trHeight w:val="254"/>
        </w:trPr>
        <w:tc>
          <w:tcPr>
            <w:tcW w:w="3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collateralized term loans</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3,273,808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3,180,592</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176"/>
        </w:trPr>
        <w:tc>
          <w:tcPr>
            <w:tcW w:w="3580" w:type="dxa"/>
            <w:vAlign w:val="bottom"/>
          </w:tcPr>
          <w:p>
            <w:pPr>
              <w:ind w:left="40"/>
              <w:spacing w:after="0"/>
              <w:rPr>
                <w:sz w:val="20"/>
                <w:szCs w:val="20"/>
                <w:color w:val="auto"/>
              </w:rPr>
            </w:pPr>
            <w:r>
              <w:rPr>
                <w:rFonts w:ascii="Arial" w:cs="Arial" w:eastAsia="Arial" w:hAnsi="Arial"/>
                <w:sz w:val="15"/>
                <w:szCs w:val="15"/>
                <w:color w:val="auto"/>
              </w:rPr>
              <w:t>Preferred equity - Sun NG Resorts - mandatorily</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8"/>
        </w:trPr>
        <w:tc>
          <w:tcPr>
            <w:tcW w:w="3580" w:type="dxa"/>
            <w:vAlign w:val="bottom"/>
          </w:tcPr>
          <w:p>
            <w:pPr>
              <w:ind w:left="40"/>
              <w:spacing w:after="0"/>
              <w:rPr>
                <w:sz w:val="20"/>
                <w:szCs w:val="20"/>
                <w:color w:val="auto"/>
              </w:rPr>
            </w:pPr>
            <w:r>
              <w:rPr>
                <w:rFonts w:ascii="Arial" w:cs="Arial" w:eastAsia="Arial" w:hAnsi="Arial"/>
                <w:sz w:val="15"/>
                <w:szCs w:val="15"/>
                <w:color w:val="auto"/>
              </w:rPr>
              <w:t>redeemable</w:t>
            </w:r>
          </w:p>
        </w:tc>
        <w:tc>
          <w:tcPr>
            <w:tcW w:w="300" w:type="dxa"/>
            <w:vAlign w:val="bottom"/>
          </w:tcPr>
          <w:p>
            <w:pPr>
              <w:spacing w:after="0"/>
              <w:rPr>
                <w:sz w:val="17"/>
                <w:szCs w:val="17"/>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35,249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35,249</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74"/>
        </w:trPr>
        <w:tc>
          <w:tcPr>
            <w:tcW w:w="3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Preferred OP units - mandatorily redeemable</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34,663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34,663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r>
      <w:tr>
        <w:trPr>
          <w:trHeight w:val="266"/>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Lines of credit</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582,774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183,898</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3.2</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3.5</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1.8%</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2.7%</w:t>
            </w:r>
          </w:p>
        </w:tc>
      </w:tr>
      <w:tr>
        <w:trPr>
          <w:trHeight w:val="24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debt</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3,926,494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3,434,402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w:t>
            </w:r>
          </w:p>
        </w:tc>
      </w:tr>
      <w:tr>
        <w:trPr>
          <w:trHeight w:val="20"/>
        </w:trPr>
        <w:tc>
          <w:tcPr>
            <w:tcW w:w="3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and year ended December 31, 2019, we repaid the following collateralized term loans:</w:t>
      </w:r>
    </w:p>
    <w:p>
      <w:pPr>
        <w:sectPr>
          <w:pgSz w:w="11900" w:h="16838" w:orient="portrait"/>
          <w:cols w:equalWidth="0" w:num="1">
            <w:col w:w="11240"/>
          </w:cols>
          <w:pgMar w:left="320" w:top="126" w:right="339" w:bottom="1440" w:gutter="0" w:footer="0" w:header="0"/>
        </w:sect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64"/>
              <w:spacing w:after="0"/>
              <w:rPr>
                <w:sz w:val="20"/>
                <w:szCs w:val="20"/>
                <w:color w:val="auto"/>
              </w:rPr>
            </w:pPr>
            <w:r>
              <w:rPr>
                <w:rFonts w:ascii="Arial" w:cs="Arial" w:eastAsia="Arial" w:hAnsi="Arial"/>
                <w:sz w:val="15"/>
                <w:szCs w:val="15"/>
                <w:b w:val="1"/>
                <w:bCs w:val="1"/>
                <w:color w:val="auto"/>
                <w:w w:val="93"/>
              </w:rPr>
              <w:t>Repayment</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w w:val="92"/>
              </w:rPr>
              <w:t>amount</w:t>
            </w:r>
          </w:p>
        </w:tc>
        <w:tc>
          <w:tcPr>
            <w:tcW w:w="0" w:type="dxa"/>
            <w:vAlign w:val="bottom"/>
          </w:tcPr>
          <w:p>
            <w:pPr>
              <w:spacing w:after="0"/>
              <w:rPr>
                <w:sz w:val="1"/>
                <w:szCs w:val="1"/>
                <w:color w:val="auto"/>
              </w:rPr>
            </w:pPr>
          </w:p>
        </w:tc>
      </w:tr>
      <w:tr>
        <w:trPr>
          <w:trHeight w:val="202"/>
        </w:trPr>
        <w:tc>
          <w:tcPr>
            <w:tcW w:w="1320" w:type="dxa"/>
            <w:vAlign w:val="bottom"/>
          </w:tcPr>
          <w:p>
            <w:pPr>
              <w:spacing w:after="0"/>
              <w:rPr>
                <w:sz w:val="17"/>
                <w:szCs w:val="17"/>
                <w:color w:val="auto"/>
              </w:rPr>
            </w:pPr>
          </w:p>
        </w:tc>
        <w:tc>
          <w:tcPr>
            <w:tcW w:w="3100" w:type="dxa"/>
            <w:vAlign w:val="bottom"/>
            <w:gridSpan w:val="3"/>
          </w:tcPr>
          <w:p>
            <w:pPr>
              <w:jc w:val="right"/>
              <w:ind w:right="1564"/>
              <w:spacing w:after="0"/>
              <w:rPr>
                <w:sz w:val="20"/>
                <w:szCs w:val="20"/>
                <w:color w:val="auto"/>
              </w:rPr>
            </w:pPr>
            <w:r>
              <w:rPr>
                <w:rFonts w:ascii="Arial" w:cs="Arial" w:eastAsia="Arial" w:hAnsi="Arial"/>
                <w:sz w:val="15"/>
                <w:szCs w:val="15"/>
                <w:b w:val="1"/>
                <w:bCs w:val="1"/>
                <w:color w:val="auto"/>
                <w:w w:val="97"/>
              </w:rPr>
              <w:t>Three Months Ended</w:t>
            </w:r>
          </w:p>
        </w:tc>
        <w:tc>
          <w:tcPr>
            <w:tcW w:w="1020" w:type="dxa"/>
            <w:vAlign w:val="bottom"/>
          </w:tcPr>
          <w:p>
            <w:pPr>
              <w:jc w:val="center"/>
              <w:ind w:right="64"/>
              <w:spacing w:after="0"/>
              <w:rPr>
                <w:sz w:val="20"/>
                <w:szCs w:val="20"/>
                <w:color w:val="auto"/>
              </w:rPr>
            </w:pPr>
            <w:r>
              <w:rPr>
                <w:rFonts w:ascii="Arial" w:cs="Arial" w:eastAsia="Arial" w:hAnsi="Arial"/>
                <w:sz w:val="15"/>
                <w:szCs w:val="15"/>
                <w:b w:val="1"/>
                <w:bCs w:val="1"/>
                <w:color w:val="auto"/>
                <w:w w:val="94"/>
              </w:rPr>
              <w:t>(in millions)</w:t>
            </w:r>
          </w:p>
        </w:tc>
        <w:tc>
          <w:tcPr>
            <w:tcW w:w="0" w:type="dxa"/>
            <w:vAlign w:val="bottom"/>
          </w:tcPr>
          <w:p>
            <w:pPr>
              <w:spacing w:after="0"/>
              <w:rPr>
                <w:sz w:val="1"/>
                <w:szCs w:val="1"/>
                <w:color w:val="auto"/>
              </w:rPr>
            </w:pPr>
          </w:p>
        </w:tc>
      </w:tr>
      <w:tr>
        <w:trPr>
          <w:trHeight w:val="246"/>
        </w:trPr>
        <w:tc>
          <w:tcPr>
            <w:tcW w:w="132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March 31, 2020</w:t>
            </w:r>
          </w:p>
        </w:tc>
        <w:tc>
          <w:tcPr>
            <w:tcW w:w="2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99.6</w:t>
            </w:r>
          </w:p>
        </w:tc>
        <w:tc>
          <w:tcPr>
            <w:tcW w:w="0" w:type="dxa"/>
            <w:vAlign w:val="bottom"/>
          </w:tcPr>
          <w:p>
            <w:pPr>
              <w:spacing w:after="0"/>
              <w:rPr>
                <w:sz w:val="1"/>
                <w:szCs w:val="1"/>
                <w:color w:val="auto"/>
              </w:rPr>
            </w:pPr>
          </w:p>
        </w:tc>
      </w:tr>
      <w:tr>
        <w:trPr>
          <w:trHeight w:val="108"/>
        </w:trPr>
        <w:tc>
          <w:tcPr>
            <w:tcW w:w="1320" w:type="dxa"/>
            <w:vAlign w:val="bottom"/>
            <w:vMerge w:val="continue"/>
            <w:shd w:val="clear" w:color="auto" w:fill="CCEEFF"/>
          </w:tcPr>
          <w:p>
            <w:pPr>
              <w:spacing w:after="0"/>
              <w:rPr>
                <w:sz w:val="9"/>
                <w:szCs w:val="9"/>
                <w:color w:val="auto"/>
              </w:rPr>
            </w:pPr>
          </w:p>
        </w:tc>
        <w:tc>
          <w:tcPr>
            <w:tcW w:w="2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ind w:right="44"/>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170"/>
        </w:trPr>
        <w:tc>
          <w:tcPr>
            <w:tcW w:w="132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1320" w:type="dxa"/>
            <w:vAlign w:val="bottom"/>
          </w:tcPr>
          <w:p>
            <w:pPr>
              <w:spacing w:after="0"/>
              <w:rPr>
                <w:sz w:val="22"/>
                <w:szCs w:val="22"/>
                <w:color w:val="auto"/>
              </w:rPr>
            </w:pPr>
          </w:p>
        </w:tc>
        <w:tc>
          <w:tcPr>
            <w:tcW w:w="31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297"/>
        </w:trPr>
        <w:tc>
          <w:tcPr>
            <w:tcW w:w="1320" w:type="dxa"/>
            <w:vAlign w:val="bottom"/>
          </w:tcPr>
          <w:p>
            <w:pPr>
              <w:ind w:left="40"/>
              <w:spacing w:after="0"/>
              <w:rPr>
                <w:sz w:val="20"/>
                <w:szCs w:val="20"/>
                <w:color w:val="auto"/>
              </w:rPr>
            </w:pPr>
            <w:r>
              <w:rPr>
                <w:rFonts w:ascii="Arial" w:cs="Arial" w:eastAsia="Arial" w:hAnsi="Arial"/>
                <w:sz w:val="15"/>
                <w:szCs w:val="15"/>
                <w:color w:val="auto"/>
                <w:w w:val="95"/>
              </w:rPr>
              <w:t>December 31, 2019</w:t>
            </w:r>
          </w:p>
        </w:tc>
        <w:tc>
          <w:tcPr>
            <w:tcW w:w="31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127.3</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4"/>
                <w:szCs w:val="24"/>
                <w:color w:val="auto"/>
              </w:rPr>
            </w:pPr>
          </w:p>
        </w:tc>
        <w:tc>
          <w:tcPr>
            <w:tcW w:w="31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70"/>
        </w:trPr>
        <w:tc>
          <w:tcPr>
            <w:tcW w:w="1320" w:type="dxa"/>
            <w:vAlign w:val="bottom"/>
          </w:tcPr>
          <w:p>
            <w:pPr>
              <w:ind w:left="40"/>
              <w:spacing w:after="0"/>
              <w:rPr>
                <w:sz w:val="20"/>
                <w:szCs w:val="20"/>
                <w:color w:val="auto"/>
              </w:rPr>
            </w:pPr>
            <w:r>
              <w:rPr>
                <w:rFonts w:ascii="Arial" w:cs="Arial" w:eastAsia="Arial" w:hAnsi="Arial"/>
                <w:sz w:val="15"/>
                <w:szCs w:val="15"/>
                <w:color w:val="auto"/>
                <w:w w:val="92"/>
              </w:rPr>
              <w:t>September 30, 2019</w:t>
            </w:r>
          </w:p>
        </w:tc>
        <w:tc>
          <w:tcPr>
            <w:tcW w:w="31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134.0</w:t>
            </w:r>
          </w:p>
        </w:tc>
        <w:tc>
          <w:tcPr>
            <w:tcW w:w="0" w:type="dxa"/>
            <w:vAlign w:val="bottom"/>
          </w:tcPr>
          <w:p>
            <w:pPr>
              <w:spacing w:after="0"/>
              <w:rPr>
                <w:sz w:val="1"/>
                <w:szCs w:val="1"/>
                <w:color w:val="auto"/>
              </w:rPr>
            </w:pPr>
          </w:p>
        </w:tc>
      </w:tr>
      <w:tr>
        <w:trPr>
          <w:trHeight w:val="270"/>
        </w:trPr>
        <w:tc>
          <w:tcPr>
            <w:tcW w:w="1320" w:type="dxa"/>
            <w:vAlign w:val="bottom"/>
          </w:tcPr>
          <w:p>
            <w:pPr>
              <w:ind w:left="40"/>
              <w:spacing w:after="0"/>
              <w:rPr>
                <w:sz w:val="20"/>
                <w:szCs w:val="20"/>
                <w:color w:val="auto"/>
              </w:rPr>
            </w:pPr>
            <w:r>
              <w:rPr>
                <w:rFonts w:ascii="Arial" w:cs="Arial" w:eastAsia="Arial" w:hAnsi="Arial"/>
                <w:sz w:val="15"/>
                <w:szCs w:val="15"/>
                <w:color w:val="auto"/>
              </w:rPr>
              <w:t>March 31, 2019</w:t>
            </w:r>
          </w:p>
        </w:tc>
        <w:tc>
          <w:tcPr>
            <w:tcW w:w="31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186.8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0"/>
              </w:rPr>
              <w:t>(Gain) / loss on</w:t>
            </w:r>
          </w:p>
        </w:tc>
        <w:tc>
          <w:tcPr>
            <w:tcW w:w="1100" w:type="dxa"/>
            <w:vAlign w:val="bottom"/>
          </w:tcPr>
          <w:p>
            <w:pPr>
              <w:spacing w:after="0"/>
              <w:rPr>
                <w:sz w:val="15"/>
                <w:szCs w:val="15"/>
                <w:color w:val="auto"/>
              </w:rPr>
            </w:pPr>
          </w:p>
        </w:tc>
      </w:tr>
      <w:tr>
        <w:trPr>
          <w:trHeight w:val="162"/>
        </w:trPr>
        <w:tc>
          <w:tcPr>
            <w:tcW w:w="2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6"/>
              </w:rPr>
              <w:t>Fixed</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1"/>
              </w:rPr>
              <w:t>extinguishment</w:t>
            </w: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Encumbered</w:t>
            </w:r>
          </w:p>
        </w:tc>
      </w:tr>
      <w:tr>
        <w:trPr>
          <w:trHeight w:val="162"/>
        </w:trPr>
        <w:tc>
          <w:tcPr>
            <w:tcW w:w="2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Interest</w:t>
            </w:r>
          </w:p>
        </w:tc>
        <w:tc>
          <w:tcPr>
            <w:tcW w:w="200" w:type="dxa"/>
            <w:vAlign w:val="bottom"/>
          </w:tcPr>
          <w:p>
            <w:pPr>
              <w:spacing w:after="0"/>
              <w:rPr>
                <w:sz w:val="14"/>
                <w:szCs w:val="14"/>
                <w:color w:val="auto"/>
              </w:rPr>
            </w:pPr>
          </w:p>
        </w:tc>
        <w:tc>
          <w:tcPr>
            <w:tcW w:w="1680" w:type="dxa"/>
            <w:vAlign w:val="bottom"/>
            <w:gridSpan w:val="2"/>
          </w:tcPr>
          <w:p>
            <w:pPr>
              <w:ind w:left="440"/>
              <w:spacing w:after="0" w:line="162" w:lineRule="exact"/>
              <w:rPr>
                <w:sz w:val="20"/>
                <w:szCs w:val="20"/>
                <w:color w:val="auto"/>
              </w:rPr>
            </w:pPr>
            <w:r>
              <w:rPr>
                <w:rFonts w:ascii="Arial" w:cs="Arial" w:eastAsia="Arial" w:hAnsi="Arial"/>
                <w:sz w:val="15"/>
                <w:szCs w:val="15"/>
                <w:b w:val="1"/>
                <w:bCs w:val="1"/>
                <w:color w:val="auto"/>
              </w:rPr>
              <w:t>Maturity</w:t>
            </w:r>
          </w:p>
        </w:tc>
        <w:tc>
          <w:tcPr>
            <w:tcW w:w="10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1"/>
              </w:rPr>
              <w:t>of debt</w:t>
            </w: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communities</w:t>
            </w:r>
          </w:p>
        </w:tc>
      </w:tr>
      <w:tr>
        <w:trPr>
          <w:trHeight w:val="202"/>
        </w:trPr>
        <w:tc>
          <w:tcPr>
            <w:tcW w:w="2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rate</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date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2"/>
              </w:rPr>
              <w:t>(in millions)</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released</w:t>
            </w:r>
          </w:p>
        </w:tc>
      </w:tr>
      <w:tr>
        <w:trPr>
          <w:trHeight w:val="246"/>
        </w:trPr>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5.837%</w:t>
            </w:r>
          </w:p>
        </w:tc>
        <w:tc>
          <w:tcPr>
            <w:tcW w:w="200" w:type="dxa"/>
            <w:vAlign w:val="bottom"/>
          </w:tcPr>
          <w:p>
            <w:pPr>
              <w:spacing w:after="0"/>
              <w:rPr>
                <w:sz w:val="21"/>
                <w:szCs w:val="21"/>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March 1, 2021</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3.4</w:t>
            </w:r>
          </w:p>
        </w:tc>
        <w:tc>
          <w:tcPr>
            <w:tcW w:w="220" w:type="dxa"/>
            <w:vAlign w:val="bottom"/>
          </w:tcPr>
          <w:p>
            <w:pPr>
              <w:spacing w:after="0"/>
              <w:rPr>
                <w:sz w:val="21"/>
                <w:szCs w:val="21"/>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11</w:t>
            </w:r>
          </w:p>
        </w:tc>
      </w:tr>
      <w:tr>
        <w:trPr>
          <w:trHeight w:val="270"/>
        </w:trPr>
        <w:tc>
          <w:tcPr>
            <w:tcW w:w="200" w:type="dxa"/>
            <w:vAlign w:val="bottom"/>
          </w:tcPr>
          <w:p>
            <w:pPr>
              <w:jc w:val="right"/>
              <w:ind w:right="55"/>
              <w:spacing w:after="0"/>
              <w:rPr>
                <w:sz w:val="20"/>
                <w:szCs w:val="20"/>
                <w:color w:val="auto"/>
              </w:rPr>
            </w:pPr>
            <w:r>
              <w:rPr>
                <w:rFonts w:ascii="Arial" w:cs="Arial" w:eastAsia="Arial" w:hAnsi="Arial"/>
                <w:sz w:val="9"/>
                <w:szCs w:val="9"/>
                <w:color w:val="auto"/>
                <w:w w:val="72"/>
              </w:rPr>
              <w:t>(1)</w:t>
            </w:r>
          </w:p>
        </w:tc>
        <w:tc>
          <w:tcPr>
            <w:tcW w:w="1160" w:type="dxa"/>
            <w:vAlign w:val="bottom"/>
          </w:tcPr>
          <w:p>
            <w:pPr>
              <w:jc w:val="right"/>
              <w:spacing w:after="0"/>
              <w:rPr>
                <w:sz w:val="20"/>
                <w:szCs w:val="20"/>
                <w:color w:val="auto"/>
              </w:rPr>
            </w:pPr>
            <w:r>
              <w:rPr>
                <w:rFonts w:ascii="Arial" w:cs="Arial" w:eastAsia="Arial" w:hAnsi="Arial"/>
                <w:sz w:val="15"/>
                <w:szCs w:val="15"/>
                <w:color w:val="auto"/>
              </w:rPr>
              <w:t>5.83%</w:t>
            </w:r>
          </w:p>
        </w:tc>
        <w:tc>
          <w:tcPr>
            <w:tcW w:w="200" w:type="dxa"/>
            <w:vAlign w:val="bottom"/>
          </w:tcPr>
          <w:p>
            <w:pPr>
              <w:jc w:val="right"/>
              <w:ind w:right="35"/>
              <w:spacing w:after="0"/>
              <w:rPr>
                <w:sz w:val="20"/>
                <w:szCs w:val="20"/>
                <w:color w:val="auto"/>
              </w:rPr>
            </w:pPr>
            <w:r>
              <w:rPr>
                <w:rFonts w:ascii="Arial" w:cs="Arial" w:eastAsia="Arial" w:hAnsi="Arial"/>
                <w:sz w:val="9"/>
                <w:szCs w:val="9"/>
                <w:color w:val="auto"/>
                <w:w w:val="90"/>
              </w:rPr>
              <w:t>(3)</w:t>
            </w: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July 1, 2020</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(0.1)</w:t>
            </w:r>
          </w:p>
        </w:tc>
        <w:tc>
          <w:tcPr>
            <w:tcW w:w="22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2</w:t>
            </w:r>
          </w:p>
        </w:tc>
      </w:tr>
      <w:tr>
        <w:trPr>
          <w:trHeight w:val="270"/>
        </w:trPr>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5.62%</w:t>
            </w:r>
          </w:p>
        </w:tc>
        <w:tc>
          <w:tcPr>
            <w:tcW w:w="20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March 1, 2020</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5.10%</w:t>
            </w:r>
          </w:p>
        </w:tc>
        <w:tc>
          <w:tcPr>
            <w:tcW w:w="20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November 1, 2021</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3.2</w:t>
            </w:r>
          </w:p>
        </w:tc>
        <w:tc>
          <w:tcPr>
            <w:tcW w:w="22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84"/>
        </w:trPr>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March 1, 2020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4"/>
        </w:trPr>
        <w:tc>
          <w:tcPr>
            <w:tcW w:w="200" w:type="dxa"/>
            <w:vAlign w:val="bottom"/>
          </w:tcPr>
          <w:p>
            <w:pPr>
              <w:jc w:val="right"/>
              <w:ind w:right="55"/>
              <w:spacing w:after="0"/>
              <w:rPr>
                <w:sz w:val="20"/>
                <w:szCs w:val="20"/>
                <w:color w:val="auto"/>
              </w:rPr>
            </w:pPr>
            <w:r>
              <w:rPr>
                <w:rFonts w:ascii="Arial" w:cs="Arial" w:eastAsia="Arial" w:hAnsi="Arial"/>
                <w:sz w:val="9"/>
                <w:szCs w:val="9"/>
                <w:color w:val="auto"/>
                <w:w w:val="72"/>
              </w:rPr>
              <w:t>(2)</w:t>
            </w:r>
          </w:p>
        </w:tc>
        <w:tc>
          <w:tcPr>
            <w:tcW w:w="1160" w:type="dxa"/>
            <w:vAlign w:val="bottom"/>
          </w:tcPr>
          <w:p>
            <w:pPr>
              <w:jc w:val="right"/>
              <w:spacing w:after="0"/>
              <w:rPr>
                <w:sz w:val="20"/>
                <w:szCs w:val="20"/>
                <w:color w:val="auto"/>
              </w:rPr>
            </w:pPr>
            <w:r>
              <w:rPr>
                <w:rFonts w:ascii="Arial" w:cs="Arial" w:eastAsia="Arial" w:hAnsi="Arial"/>
                <w:sz w:val="15"/>
                <w:szCs w:val="15"/>
                <w:color w:val="auto"/>
              </w:rPr>
              <w:t>6.24%</w:t>
            </w:r>
          </w:p>
        </w:tc>
        <w:tc>
          <w:tcPr>
            <w:tcW w:w="200" w:type="dxa"/>
            <w:vAlign w:val="bottom"/>
          </w:tcPr>
          <w:p>
            <w:pPr>
              <w:jc w:val="right"/>
              <w:ind w:right="35"/>
              <w:spacing w:after="0"/>
              <w:rPr>
                <w:sz w:val="20"/>
                <w:szCs w:val="20"/>
                <w:color w:val="auto"/>
              </w:rPr>
            </w:pPr>
            <w:r>
              <w:rPr>
                <w:rFonts w:ascii="Arial" w:cs="Arial" w:eastAsia="Arial" w:hAnsi="Arial"/>
                <w:sz w:val="9"/>
                <w:szCs w:val="9"/>
                <w:color w:val="auto"/>
                <w:w w:val="90"/>
              </w:rPr>
              <w:t>(3)</w:t>
            </w: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April 1, 2020</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(0.2)</w:t>
            </w:r>
          </w:p>
        </w:tc>
        <w:tc>
          <w:tcPr>
            <w:tcW w:w="220" w:type="dxa"/>
            <w:vAlign w:val="bottom"/>
          </w:tcPr>
          <w:p>
            <w:pPr>
              <w:spacing w:after="0"/>
              <w:rPr>
                <w:sz w:val="16"/>
                <w:szCs w:val="16"/>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3</w:t>
            </w:r>
          </w:p>
        </w:tc>
      </w:tr>
      <w:tr>
        <w:trPr>
          <w:trHeight w:val="270"/>
        </w:trPr>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4.3%</w:t>
            </w:r>
          </w:p>
        </w:tc>
        <w:tc>
          <w:tcPr>
            <w:tcW w:w="20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May 1, 2023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12.8</w:t>
            </w:r>
          </w:p>
        </w:tc>
        <w:tc>
          <w:tcPr>
            <w:tcW w:w="22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3.83%</w:t>
            </w:r>
          </w:p>
        </w:tc>
        <w:tc>
          <w:tcPr>
            <w:tcW w:w="20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January 1, 2030</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0.7</w:t>
            </w:r>
          </w:p>
        </w:tc>
        <w:tc>
          <w:tcPr>
            <w:tcW w:w="22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-1263015</wp:posOffset>
            </wp:positionV>
            <wp:extent cx="4491990" cy="342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91990" cy="34290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-337185</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40" w:space="20"/>
            <w:col w:w="5780"/>
          </w:cols>
          <w:pgMar w:left="320" w:top="126" w:right="339" w:bottom="1440" w:gutter="0" w:footer="0" w:header="0"/>
          <w:type w:val="continuous"/>
        </w:sect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Includes four collateralized term loans due to mature on July 1, 2020.</w:t>
      </w:r>
    </w:p>
    <w:p>
      <w:pPr>
        <w:spacing w:after="0" w:line="2" w:lineRule="exact"/>
        <w:rPr>
          <w:rFonts w:ascii="Arial" w:cs="Arial" w:eastAsia="Arial" w:hAnsi="Arial"/>
          <w:sz w:val="9"/>
          <w:szCs w:val="9"/>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Includes four collateralized term loans, three due to mature on March 1, 2020 and one due to mature on April 1, 2020.</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The interest rate represents the weighted average interest rate on collateralized term loans.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and year ended December 31, 2019, we entered into the following collateralized term loans: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Loan amount</w:t>
            </w:r>
          </w:p>
        </w:tc>
        <w:tc>
          <w:tcPr>
            <w:tcW w:w="220" w:type="dxa"/>
            <w:vAlign w:val="bottom"/>
          </w:tcPr>
          <w:p>
            <w:pPr>
              <w:spacing w:after="0"/>
              <w:rPr>
                <w:sz w:val="15"/>
                <w:szCs w:val="15"/>
                <w:color w:val="auto"/>
              </w:rPr>
            </w:pPr>
          </w:p>
        </w:tc>
        <w:tc>
          <w:tcPr>
            <w:tcW w:w="1220" w:type="dxa"/>
            <w:vAlign w:val="bottom"/>
            <w:gridSpan w:val="2"/>
          </w:tcPr>
          <w:p>
            <w:pPr>
              <w:ind w:left="320"/>
              <w:spacing w:after="0"/>
              <w:rPr>
                <w:sz w:val="20"/>
                <w:szCs w:val="20"/>
                <w:color w:val="auto"/>
              </w:rPr>
            </w:pPr>
            <w:r>
              <w:rPr>
                <w:rFonts w:ascii="Arial" w:cs="Arial" w:eastAsia="Arial" w:hAnsi="Arial"/>
                <w:sz w:val="15"/>
                <w:szCs w:val="15"/>
                <w:b w:val="1"/>
                <w:bCs w:val="1"/>
                <w:color w:val="auto"/>
              </w:rPr>
              <w:t>Term</w:t>
            </w:r>
          </w:p>
        </w:tc>
        <w:tc>
          <w:tcPr>
            <w:tcW w:w="1500" w:type="dxa"/>
            <w:vAlign w:val="bottom"/>
            <w:gridSpan w:val="2"/>
          </w:tcPr>
          <w:p>
            <w:pPr>
              <w:ind w:left="380"/>
              <w:spacing w:after="0"/>
              <w:rPr>
                <w:sz w:val="20"/>
                <w:szCs w:val="20"/>
                <w:color w:val="auto"/>
              </w:rPr>
            </w:pPr>
            <w:r>
              <w:rPr>
                <w:rFonts w:ascii="Arial" w:cs="Arial" w:eastAsia="Arial" w:hAnsi="Arial"/>
                <w:sz w:val="15"/>
                <w:szCs w:val="15"/>
                <w:b w:val="1"/>
                <w:bCs w:val="1"/>
                <w:color w:val="auto"/>
              </w:rPr>
              <w:t>Interest</w:t>
            </w:r>
          </w:p>
        </w:tc>
        <w:tc>
          <w:tcPr>
            <w:tcW w:w="1560" w:type="dxa"/>
            <w:vAlign w:val="bottom"/>
          </w:tcPr>
          <w:p>
            <w:pPr>
              <w:jc w:val="right"/>
              <w:ind w:right="404"/>
              <w:spacing w:after="0"/>
              <w:rPr>
                <w:sz w:val="20"/>
                <w:szCs w:val="20"/>
                <w:color w:val="auto"/>
              </w:rPr>
            </w:pPr>
            <w:r>
              <w:rPr>
                <w:rFonts w:ascii="Arial" w:cs="Arial" w:eastAsia="Arial" w:hAnsi="Arial"/>
                <w:sz w:val="15"/>
                <w:szCs w:val="15"/>
                <w:b w:val="1"/>
                <w:bCs w:val="1"/>
                <w:color w:val="auto"/>
              </w:rPr>
              <w:t>Maturity</w:t>
            </w:r>
          </w:p>
        </w:tc>
      </w:tr>
      <w:tr>
        <w:trPr>
          <w:trHeight w:val="202"/>
        </w:trPr>
        <w:tc>
          <w:tcPr>
            <w:tcW w:w="5300" w:type="dxa"/>
            <w:vAlign w:val="bottom"/>
            <w:tcBorders>
              <w:bottom w:val="single" w:sz="8" w:color="auto"/>
            </w:tcBorders>
          </w:tcPr>
          <w:p>
            <w:pPr>
              <w:ind w:left="196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(in millions)</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(in years)</w:t>
            </w:r>
          </w:p>
        </w:tc>
        <w:tc>
          <w:tcPr>
            <w:tcW w:w="2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rate</w:t>
            </w:r>
          </w:p>
        </w:tc>
        <w:tc>
          <w:tcPr>
            <w:tcW w:w="2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date</w:t>
            </w:r>
          </w:p>
        </w:tc>
      </w:tr>
      <w:tr>
        <w:trPr>
          <w:trHeight w:val="254"/>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March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230.0</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2.995%</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April 1, 2035</w:t>
            </w:r>
          </w:p>
        </w:tc>
      </w:tr>
      <w:tr>
        <w:trPr>
          <w:trHeight w:val="176"/>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December 15, 2039</w:t>
            </w:r>
          </w:p>
        </w:tc>
      </w:tr>
      <w:tr>
        <w:trPr>
          <w:trHeight w:val="198"/>
        </w:trPr>
        <w:tc>
          <w:tcPr>
            <w:tcW w:w="5520" w:type="dxa"/>
            <w:vAlign w:val="bottom"/>
            <w:gridSpan w:val="2"/>
          </w:tcPr>
          <w:p>
            <w:pPr>
              <w:ind w:left="40"/>
              <w:spacing w:after="0"/>
              <w:rPr>
                <w:sz w:val="20"/>
                <w:szCs w:val="20"/>
                <w:color w:val="auto"/>
              </w:rPr>
            </w:pPr>
            <w:r>
              <w:rPr>
                <w:rFonts w:ascii="Arial" w:cs="Arial" w:eastAsia="Arial" w:hAnsi="Arial"/>
                <w:sz w:val="15"/>
                <w:szCs w:val="15"/>
                <w:color w:val="auto"/>
              </w:rPr>
              <w:t>December 31, 2019</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400.0</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(1)</w:t>
            </w:r>
          </w:p>
        </w:tc>
        <w:tc>
          <w:tcPr>
            <w:tcW w:w="1000" w:type="dxa"/>
            <w:vAlign w:val="bottom"/>
          </w:tcPr>
          <w:p>
            <w:pPr>
              <w:jc w:val="right"/>
              <w:spacing w:after="0"/>
              <w:rPr>
                <w:sz w:val="20"/>
                <w:szCs w:val="20"/>
                <w:color w:val="auto"/>
              </w:rPr>
            </w:pPr>
            <w:r>
              <w:rPr>
                <w:rFonts w:ascii="Arial" w:cs="Arial" w:eastAsia="Arial" w:hAnsi="Arial"/>
                <w:sz w:val="15"/>
                <w:szCs w:val="15"/>
                <w:color w:val="auto"/>
              </w:rPr>
              <w:t>21</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4.026%</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December 15, 2041</w:t>
            </w:r>
          </w:p>
        </w:tc>
      </w:tr>
      <w:tr>
        <w:trPr>
          <w:trHeight w:val="274"/>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September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250.0</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2.925%</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October 1, 2029</w:t>
            </w:r>
          </w:p>
        </w:tc>
      </w:tr>
      <w:tr>
        <w:trPr>
          <w:trHeight w:val="262"/>
        </w:trPr>
        <w:tc>
          <w:tcPr>
            <w:tcW w:w="5520" w:type="dxa"/>
            <w:vAlign w:val="bottom"/>
            <w:gridSpan w:val="2"/>
          </w:tcPr>
          <w:p>
            <w:pPr>
              <w:ind w:left="40"/>
              <w:spacing w:after="0"/>
              <w:rPr>
                <w:sz w:val="20"/>
                <w:szCs w:val="20"/>
                <w:color w:val="auto"/>
              </w:rPr>
            </w:pPr>
            <w:r>
              <w:rPr>
                <w:rFonts w:ascii="Arial" w:cs="Arial" w:eastAsia="Arial" w:hAnsi="Arial"/>
                <w:sz w:val="15"/>
                <w:szCs w:val="15"/>
                <w:color w:val="auto"/>
              </w:rPr>
              <w:t>March 31, 2019</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265.0</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4.170%</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January 15, 2044</w:t>
            </w:r>
          </w:p>
        </w:tc>
      </w:tr>
    </w:tbl>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Includes two collateralized term loans one due to mature on December 15, 2039 and the other on December 1, 2041.</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collateralized term loans totaling $3.3 billion as of March 31, 2020, are secured by 185 properties comprised of 73,364 sites representing approximately $3.2 billion of net book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6"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OP Units - mandatorily redeemable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Preferred OP units at March 31, 2020 and December 31, 2019 include $34.7 million of Aspen preferred OP units issued by the Operating Partnership. As of March 31, 2020, these units are convertible indirectly into 433,072 shares of our common stock.</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2020, we amended the Operating Partnership’s partnership agreement at the election of certain Aspen preferred OP unit holders. The amendment extended the automatic redemption date and reduced the annual distribution rate for 270,000 of the Aspen preferred OP units (the “Extended Units”). Subject to certain limitations, at any time prior to January 1, 2024 (or prior to January 1, 2034 with respect to the Extended Units), the holder of each Aspen preferred OP unit at its option may convert such Aspen preferred OP unit into: (a) if the average closing price of our common stock for the preceding ten trading days is $68.00 per share or less, 0.397 common OP units; or (b) if the ten-day average closing price is greater than $68.00 per share, the number of common OP units is determined by dividing (i) the sum of (A) $27.00 plus (B) 25 percent of the amount by which the ten-day average closing price exceeds $68.00 per share, by (ii) the ten-day average closing price. The current preferred distribution rate is 3.8 percent on the Extended Units and 6.5 percent on all other Aspen preferred OP units. On January 2, 2024 (or January 2, 2034 with respect to the Extended Units), we are required to redeem for cash all Aspen preferred OP units that have not been converted to common OP units. As of March 31, 2020, 270,000 of the Extended Units and 1,013,819 other Aspen preferred units were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Equity - Sun NG Resorts - mandatorily redeemable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investment in Sun NG Resorts, $35.3 million of mandatorily redeemable Preferred Equity (“Preferred Equity - Sun NG Resorts”) was purchased by unrelated third parties. The Preferred Equity - Sun NG Resorts carries a preferred rate of return of 6.0 percent per annum. The Preferred Equity - Sun NG Resorts has a seven-year term and can be redeemed in the fourth quarter of 2022 at the holders’ option. The Preferred Equity - Sun NG Resorts as of March 31, 2020 was $35.2 million. Refer to Note 3, “Real Estate Acquisitions,” Note 7, “Consolidated Variable Interest Entities,” and Note 9, “Equity and Temporary Equity”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Credit agreement - </w:t>
      </w:r>
      <w:r>
        <w:rPr>
          <w:rFonts w:ascii="Arial" w:cs="Arial" w:eastAsia="Arial" w:hAnsi="Arial"/>
          <w:sz w:val="17"/>
          <w:szCs w:val="17"/>
          <w:color w:val="auto"/>
        </w:rPr>
        <w:t>In May 2019, we amended and restated our credit agreement with Citibank, N.A. and certain other lenders. Pursuant to the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we entered into a senior credit facility with Citibank and certain lenders in the amount of $750.0 million, comprised of a $650.0 million revolving loan, with the ability to use up to $100.0 million for advances in Australian dollars, and a $100.0 million term loan (the “A&amp;R Facility”). As of March 31, 2020, the term loan was fully drawn. The A&amp;R Credit Agreement has a four-year term ending May 21, 2023, which can be extended for two additional six-month periods, subject to the satisfaction of certain conditions as defined in the credit agreement. The credit agreement also provides for additional commitments in an amount not to exceed $350.0 million. The funding of these additional commitments is subject to certain conditions, including obtaining the consent of the lenders, some of which are outside of our control. If additional borrowings are made pursuant to any such additional commitments, the aggregate borrowing limit under the A&amp;R Facility may be increased up to $1.1 billion.</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A&amp;R Facility bears interest at a floating rate based on the Eurodollar rate or Bank Bill Swap Bid Rate plus a margin that is determined based on our leverage ratio calculated in accordance with the credit agreement, which margin can range from 1.20 percent to 2.10 percent for the revolving loan and 1.20 percent to 2.05 percent for the term loan. As of March 31, 2020, the margin based on our leverage ratio was 1.2 percent on the revolving loan and 1.2 percent on the term loan. We had $424.9 million and $100.0 million of borrowings on the revolving loan and the term loan, respectively, as of March 31, 2020. We had $123.6 million of borrowings on the revolving loan and no borrowings on the term loan, as of December 31, 2019.</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March 31, 2020 and December 31, 2019, we had approximately $2.6 million and $2.8 million of availability, respectively.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Floor plan - </w:t>
      </w:r>
      <w:r>
        <w:rPr>
          <w:rFonts w:ascii="Arial" w:cs="Arial" w:eastAsia="Arial" w:hAnsi="Arial"/>
          <w:sz w:val="18"/>
          <w:szCs w:val="18"/>
          <w:color w:val="auto"/>
        </w:rPr>
        <w:t>We have a $12.0 million manufactured home floor plan facility renewable indefinitely until our lender provides us at least a twelve month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notice of their intent to terminate the agreement. The interest rate is 100 basis points over the greater of the prime rate as quoted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first business day of each month or 6.0 percent. At March 31, 2020, the effective interest rate was 7.0 percent. The outstanding balance was $4.0 million as of March 31, 2020 and $3.3 million as of December 31, 2019</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In October 2019, we assumed a term loan facility with Citibank N.A. (“Citibank”), in the amount of $58.0 million in relation to an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has a four-year term ending October 29, 2023, and bears interest at a floating rate based on the Eurodollar rate or Prime rate. The outstanding balance was $54.2 million at March 31, 2020 and $57.0 million at December 31, 2019, respectively.</w:t>
      </w:r>
    </w:p>
    <w:p>
      <w:pPr>
        <w:sectPr>
          <w:pgSz w:w="11900" w:h="16838" w:orient="portrait"/>
          <w:cols w:equalWidth="0" w:num="1">
            <w:col w:w="11240"/>
          </w:cols>
          <w:pgMar w:left="320" w:top="126"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6"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A&amp;R Facility, we are subject to various financial and other covenants. The most restrictive of our debt agreements place limitations on secured borrowings and contain minimum fixed charge coverage, leverage, distribution, and net worth requirements. At March 31, 2020, we were in compliance with all covenants.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the debts and other obligations of the Company, any of its other subsidiaries or any other person or entity.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 Nonconsolidated Affiliate Indebtedness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40 percent investment in GTSC, a nonconsolidated affiliate. During September 2019, GTSC entered into a warehouse line of credit with a maximum loan amount of $125.0 million. During February 2020, the maximum amount was increased to $140.0 million. As of March 31, 2020, the aggregate carrying amount of debt, including both our and our partners’ share, incurred by GTSC was approximately $139.9 million (of which our proportionate share is approximately $56.0 million). The debt bears interest at a variable rate based on LIBOR plus 1.65 percent per annum and matures on September 15, 2023. As of December 31, 2019, the aggregate carrying amount of debt, including both our and our partner’s share, incurred by GTSC was approximately $123.4 million (of which our proportionate share is approximately $49.4 million).</w:t>
      </w:r>
    </w:p>
    <w:p>
      <w:pPr>
        <w:spacing w:after="0" w:line="174"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Temporary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2019, we closed an underwritten registered public offering of 3,737,500 shares of common stock. Proceeds from the offering were $452.1 million after deducting expenses related to the offering. We used the net proceeds of this offering to repay borrowings outstanding under the revolving loan under our senior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2017, we entered into a new at the market offering sales agreement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from time to time under the Sales Agreement. Through March 31, 2020, we have sold shares of our common stock for gross proceeds of $163.8 million under the Sales Agreement. There were no issuances of common stock under the Sales Agreement during the three months ended March 31, 2020 or the year ended December 31, 2019.</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Issuance of Series E Preferred OP Units </w:t>
      </w:r>
      <w:r>
        <w:rPr>
          <w:rFonts w:ascii="Arial" w:cs="Arial" w:eastAsia="Arial" w:hAnsi="Arial"/>
          <w:sz w:val="18"/>
          <w:szCs w:val="18"/>
          <w:color w:val="auto"/>
        </w:rPr>
        <w:t>- In January 2020, we issued 90,000 Series E preferred OP units in connection with the acquisition of Cape Cod</w:t>
      </w:r>
      <w:r>
        <w:rPr>
          <w:rFonts w:ascii="Arial" w:cs="Arial" w:eastAsia="Arial" w:hAnsi="Arial"/>
          <w:sz w:val="18"/>
          <w:szCs w:val="18"/>
          <w:i w:val="1"/>
          <w:iCs w:val="1"/>
          <w:color w:val="auto"/>
        </w:rPr>
        <w:t xml:space="preserve"> </w:t>
      </w:r>
      <w:r>
        <w:rPr>
          <w:rFonts w:ascii="Arial" w:cs="Arial" w:eastAsia="Arial" w:hAnsi="Arial"/>
          <w:sz w:val="18"/>
          <w:szCs w:val="18"/>
          <w:color w:val="auto"/>
        </w:rPr>
        <w:t>RV Resort. The Series E preferred OP units have a stated issuance price of $100.00 per OP Unit and carry a preferred return of 5.25 percent until the second anniversary of the issuance date. Commencing with the second anniversary of the issuance date, the Series E Preferred OP Units carry a preferred return of 5.50 percent. Commencing the first anniversary of the issuance date, subject to certain limitation, each Series E Preferred OP Unit can be exchanged for our common stock equal to the quotient obtained by dividing $100.00 by $145.00 (as such ratio is subject to adjustments for certain capital events). As of March 31, 2020, 90,000 Series E preferred OP Units were outstanding. Refer to Note 3, “Real Estate Acquisitions”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Equity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Equity Interests - NG Sun Whitewater RV LLC - </w:t>
      </w:r>
      <w:r>
        <w:rPr>
          <w:rFonts w:ascii="Arial" w:cs="Arial" w:eastAsia="Arial" w:hAnsi="Arial"/>
          <w:sz w:val="18"/>
          <w:szCs w:val="18"/>
          <w:color w:val="auto"/>
        </w:rPr>
        <w:t>In August 2019, in connection with the investment in land at the property known as Whitewater, NG Sun</w:t>
      </w:r>
      <w:r>
        <w:rPr>
          <w:rFonts w:ascii="Arial" w:cs="Arial" w:eastAsia="Arial" w:hAnsi="Arial"/>
          <w:sz w:val="18"/>
          <w:szCs w:val="18"/>
          <w:i w:val="1"/>
          <w:iCs w:val="1"/>
          <w:color w:val="auto"/>
        </w:rPr>
        <w:t xml:space="preserve"> </w:t>
      </w:r>
      <w:r>
        <w:rPr>
          <w:rFonts w:ascii="Arial" w:cs="Arial" w:eastAsia="Arial" w:hAnsi="Arial"/>
          <w:sz w:val="18"/>
          <w:szCs w:val="18"/>
          <w:color w:val="auto"/>
        </w:rPr>
        <w:t>Whitewater LLC purchased $2.4 million of common equity interest in Sun NG Whitewater RV LLC Resorts (referred to as “Equity Interests - NG Sun Whitewater RV LLC”). The Equity Interests - NG Sun Whitewater RV LLC do not have a fixed maturity date. Upon the occurrence of certain events, either NG Sun Whitewater LLC or Sun NG LLC, our subsidiary, can trigger a process under which we may be required to purchase the Equity Interests - NG Sun Whitewater RV LLC from NG Sun Whitewater LLC. Refer to Note 3, “Real Estate Acquisitions,” and Note 7, “Consolidated Variable Interest Entities,” for additional information.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26"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Issuance of Series D Preferred OP Units - </w:t>
      </w:r>
      <w:r>
        <w:rPr>
          <w:rFonts w:ascii="Arial" w:cs="Arial" w:eastAsia="Arial" w:hAnsi="Arial"/>
          <w:sz w:val="16"/>
          <w:szCs w:val="16"/>
          <w:color w:val="auto"/>
        </w:rPr>
        <w:t>In February 2019, we issued 488,958 Series D preferred OP units in connection with the acquisition of Country</w:t>
      </w:r>
      <w:r>
        <w:rPr>
          <w:rFonts w:ascii="Arial" w:cs="Arial" w:eastAsia="Arial" w:hAnsi="Arial"/>
          <w:sz w:val="16"/>
          <w:szCs w:val="16"/>
          <w:i w:val="1"/>
          <w:iCs w:val="1"/>
          <w:color w:val="auto"/>
        </w:rPr>
        <w:t xml:space="preserve"> </w:t>
      </w:r>
      <w:r>
        <w:rPr>
          <w:rFonts w:ascii="Arial" w:cs="Arial" w:eastAsia="Arial" w:hAnsi="Arial"/>
          <w:sz w:val="16"/>
          <w:szCs w:val="16"/>
          <w:color w:val="auto"/>
        </w:rPr>
        <w:t>Village Estates. The Series D preferred OP units have a stated issuance price of $100.00 per OP Unit and carry a preferred return of 3.75 percent until the second anniversary of the issuance date. Commencing with the second anniversary of the issuance date, the Series D Preferred OP Units carry a preferred return of 4.0 percent. Commencing with the first anniversary of the issuance date, each Series D Preferred OP Unit can be exchanged for our common stock equal to the quotient obtained by dividing $100.00 by $125.00 (as such ratio is subject to adjustments for certain capital events) at the holder’s option. The holders may require redemption in cash after the fifth anniversary of the Series D issuance date or upon the holder’s death. As of March 31, 2020, 488,958 Series D preferred OP units were outstanding. Refer to Note 3, “Real Estate Acquisitions” for additional information.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Equity Interests - NG Sun LLC - </w:t>
      </w:r>
      <w:r>
        <w:rPr>
          <w:rFonts w:ascii="Arial" w:cs="Arial" w:eastAsia="Arial" w:hAnsi="Arial"/>
          <w:sz w:val="17"/>
          <w:szCs w:val="17"/>
          <w:color w:val="auto"/>
        </w:rPr>
        <w:t>In June 2018, in connection with the investment in Sun NG Resorts, unrelated third parties purchased $6.5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Series B preferred equity interests and $15.4 million of common equity interest in Sun NG Resorts (herein jointly referred to as “Equity Interest - NG Sun LLC”). The Series B preferred equity interests carry a preferred return at a rate that, at any time, is equal to the interest rate on Sun NG Resorts’ indebtedness at such time. The current rate of return is 5.0 percent. The Equity Interests - NG Sun LLC do not have a fixed maturity date and can be redeemed in the fourth quarter of 2022 at the holders’ option. Sun NG LLC, our subsidiary, has the right during certain periods each year, with or without cause, or for cause at any time, to elect to buy NG Sun LLC’s interest. During a limited period in 2022, NG Sun LLC has the right to put its interest to Sun NG LLC. If either party exercises their option, the property management agreement will be terminated, and the Company is required to purchase the remaining interests of NG Sun LLC and the property management agreement at fair value. Refer to Note 3, “Real Estate Acquisitions,” Note 7, “Consolidated Variable Interest Entities,” and Note 8, “Debt and Lines of Credit”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A-4 Preferred OP Units</w:t>
      </w:r>
    </w:p>
    <w:p>
      <w:pPr>
        <w:spacing w:after="0" w:line="225" w:lineRule="exact"/>
        <w:rPr>
          <w:sz w:val="20"/>
          <w:szCs w:val="20"/>
          <w:color w:val="auto"/>
        </w:rPr>
      </w:pPr>
    </w:p>
    <w:p>
      <w:pPr>
        <w:ind w:right="1540"/>
        <w:spacing w:after="0" w:line="291" w:lineRule="auto"/>
        <w:rPr>
          <w:sz w:val="20"/>
          <w:szCs w:val="20"/>
          <w:color w:val="auto"/>
        </w:rPr>
      </w:pPr>
      <w:r>
        <w:rPr>
          <w:rFonts w:ascii="Arial" w:cs="Arial" w:eastAsia="Arial" w:hAnsi="Arial"/>
          <w:sz w:val="16"/>
          <w:szCs w:val="16"/>
          <w:color w:val="auto"/>
        </w:rPr>
        <w:t>On December 13, 2019, all outstanding shares of the Company’s 6.50% Series A-4 Cumulative Convertible Preferred Stock, and all of the Operating Partnership’s Series A-4 Preferred OP Units were converted into common stock and common OP units, respectively. All</w:t>
      </w:r>
    </w:p>
    <w:p>
      <w:pPr>
        <w:jc w:val="both"/>
        <w:spacing w:after="0" w:line="255" w:lineRule="auto"/>
        <w:rPr>
          <w:sz w:val="20"/>
          <w:szCs w:val="20"/>
          <w:color w:val="auto"/>
        </w:rPr>
      </w:pPr>
      <w:r>
        <w:rPr>
          <w:rFonts w:ascii="Arial" w:cs="Arial" w:eastAsia="Arial" w:hAnsi="Arial"/>
          <w:sz w:val="18"/>
          <w:szCs w:val="18"/>
          <w:color w:val="auto"/>
        </w:rPr>
        <w:t>1,031,747 shares of Series A-4 preferred stock were converted into 458,541 shares of common stock (net of fractional shares paid in cash). All 405,656 Series A-4 preferred OP units were converted into 180,277 common OP units (net of fractional units paid in cash). The Series A-4 preferred shares and units were issued to the sellers of the American Land Lease portfolio which we acquired in 2014 and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Common Stock and Common OP Units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in connection with the acquisition of the Jensen Portfolio, we issued 1,972,876 shares of common stock, net of fractional shares paid in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Conversions to Common Stock - </w:t>
      </w:r>
      <w:r>
        <w:rPr>
          <w:rFonts w:ascii="Arial" w:cs="Arial" w:eastAsia="Arial" w:hAnsi="Arial"/>
          <w:sz w:val="18"/>
          <w:szCs w:val="18"/>
          <w:color w:val="auto"/>
        </w:rPr>
        <w:t>Subject to certain limitations, holders can convert certain series of stock and OP units to shares of our common stock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Below is the activity of conversions during the three months ended March 31, 2020 and 2019:</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3"/>
          </w:tcPr>
          <w:p>
            <w:pPr>
              <w:ind w:left="600"/>
              <w:spacing w:after="0"/>
              <w:rPr>
                <w:sz w:val="20"/>
                <w:szCs w:val="20"/>
                <w:color w:val="auto"/>
              </w:rPr>
            </w:pPr>
            <w:r>
              <w:rPr>
                <w:rFonts w:ascii="Arial" w:cs="Arial" w:eastAsia="Arial" w:hAnsi="Arial"/>
                <w:sz w:val="15"/>
                <w:szCs w:val="15"/>
                <w:b w:val="1"/>
                <w:bCs w:val="1"/>
                <w:color w:val="auto"/>
              </w:rPr>
              <w:t>Three Months Ended</w:t>
            </w:r>
          </w:p>
        </w:tc>
        <w:tc>
          <w:tcPr>
            <w:tcW w:w="2560" w:type="dxa"/>
            <w:vAlign w:val="bottom"/>
            <w:gridSpan w:val="2"/>
          </w:tcPr>
          <w:p>
            <w:pPr>
              <w:jc w:val="right"/>
              <w:ind w:right="507"/>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328"/>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Borders>
              <w:bottom w:val="single" w:sz="8" w:color="auto"/>
            </w:tcBorders>
            <w:gridSpan w:val="2"/>
          </w:tcPr>
          <w:p>
            <w:pPr>
              <w:jc w:val="right"/>
              <w:ind w:right="707"/>
              <w:spacing w:after="0"/>
              <w:rPr>
                <w:sz w:val="20"/>
                <w:szCs w:val="20"/>
                <w:color w:val="auto"/>
              </w:rPr>
            </w:pPr>
            <w:r>
              <w:rPr>
                <w:rFonts w:ascii="Arial" w:cs="Arial" w:eastAsia="Arial" w:hAnsi="Arial"/>
                <w:sz w:val="15"/>
                <w:szCs w:val="15"/>
                <w:b w:val="1"/>
                <w:bCs w:val="1"/>
                <w:color w:val="auto"/>
              </w:rPr>
              <w:t>March 31, 2020</w:t>
            </w:r>
          </w:p>
        </w:tc>
        <w:tc>
          <w:tcPr>
            <w:tcW w:w="220" w:type="dxa"/>
            <w:vAlign w:val="bottom"/>
          </w:tcPr>
          <w:p>
            <w:pPr>
              <w:spacing w:after="0"/>
              <w:rPr>
                <w:sz w:val="24"/>
                <w:szCs w:val="24"/>
                <w:color w:val="auto"/>
              </w:rPr>
            </w:pPr>
          </w:p>
        </w:tc>
        <w:tc>
          <w:tcPr>
            <w:tcW w:w="2560" w:type="dxa"/>
            <w:vAlign w:val="bottom"/>
            <w:tcBorders>
              <w:bottom w:val="single" w:sz="8" w:color="auto"/>
            </w:tcBorders>
            <w:gridSpan w:val="2"/>
          </w:tcPr>
          <w:p>
            <w:pPr>
              <w:jc w:val="right"/>
              <w:ind w:right="687"/>
              <w:spacing w:after="0"/>
              <w:rPr>
                <w:sz w:val="20"/>
                <w:szCs w:val="20"/>
                <w:color w:val="auto"/>
              </w:rPr>
            </w:pPr>
            <w:r>
              <w:rPr>
                <w:rFonts w:ascii="Arial" w:cs="Arial" w:eastAsia="Arial" w:hAnsi="Arial"/>
                <w:sz w:val="15"/>
                <w:szCs w:val="15"/>
                <w:b w:val="1"/>
                <w:bCs w:val="1"/>
                <w:color w:val="auto"/>
              </w:rPr>
              <w:t>March 31, 2019</w:t>
            </w:r>
          </w:p>
        </w:tc>
        <w:tc>
          <w:tcPr>
            <w:tcW w:w="0" w:type="dxa"/>
            <w:vAlign w:val="bottom"/>
          </w:tcPr>
          <w:p>
            <w:pPr>
              <w:spacing w:after="0"/>
              <w:rPr>
                <w:sz w:val="1"/>
                <w:szCs w:val="1"/>
                <w:color w:val="auto"/>
              </w:rPr>
            </w:pPr>
          </w:p>
        </w:tc>
      </w:tr>
      <w:tr>
        <w:trPr>
          <w:trHeight w:val="173"/>
        </w:trPr>
        <w:tc>
          <w:tcPr>
            <w:tcW w:w="406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Series</w:t>
            </w:r>
          </w:p>
        </w:tc>
        <w:tc>
          <w:tcPr>
            <w:tcW w:w="220" w:type="dxa"/>
            <w:vAlign w:val="bottom"/>
            <w:vMerge w:val="restart"/>
          </w:tcPr>
          <w:p>
            <w:pPr>
              <w:spacing w:after="0"/>
              <w:rPr>
                <w:sz w:val="15"/>
                <w:szCs w:val="15"/>
                <w:color w:val="auto"/>
              </w:rPr>
            </w:pPr>
          </w:p>
        </w:tc>
        <w:tc>
          <w:tcPr>
            <w:tcW w:w="138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Conversion Rate</w:t>
            </w:r>
          </w:p>
        </w:tc>
        <w:tc>
          <w:tcPr>
            <w:tcW w:w="220" w:type="dxa"/>
            <w:vAlign w:val="bottom"/>
            <w:vMerge w:val="restart"/>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Arial" w:cs="Arial" w:eastAsia="Arial" w:hAnsi="Arial"/>
                <w:sz w:val="15"/>
                <w:szCs w:val="15"/>
                <w:b w:val="1"/>
                <w:bCs w:val="1"/>
                <w:color w:val="auto"/>
              </w:rPr>
              <w:t>Units/Shares</w:t>
            </w:r>
          </w:p>
        </w:tc>
        <w:tc>
          <w:tcPr>
            <w:tcW w:w="14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8"/>
              </w:rPr>
              <w:t>Common Stock</w:t>
            </w:r>
          </w:p>
        </w:tc>
        <w:tc>
          <w:tcPr>
            <w:tcW w:w="1340" w:type="dxa"/>
            <w:vAlign w:val="bottom"/>
          </w:tcPr>
          <w:p>
            <w:pPr>
              <w:jc w:val="right"/>
              <w:ind w:right="184"/>
              <w:spacing w:after="0"/>
              <w:rPr>
                <w:sz w:val="20"/>
                <w:szCs w:val="20"/>
                <w:color w:val="auto"/>
              </w:rPr>
            </w:pPr>
            <w:r>
              <w:rPr>
                <w:rFonts w:ascii="Arial" w:cs="Arial" w:eastAsia="Arial" w:hAnsi="Arial"/>
                <w:sz w:val="15"/>
                <w:szCs w:val="15"/>
                <w:b w:val="1"/>
                <w:bCs w:val="1"/>
                <w:color w:val="auto"/>
              </w:rPr>
              <w:t>Units/Shares</w:t>
            </w:r>
          </w:p>
        </w:tc>
        <w:tc>
          <w:tcPr>
            <w:tcW w:w="1220" w:type="dxa"/>
            <w:vAlign w:val="bottom"/>
          </w:tcPr>
          <w:p>
            <w:pPr>
              <w:jc w:val="right"/>
              <w:ind w:right="47"/>
              <w:spacing w:after="0"/>
              <w:rPr>
                <w:sz w:val="20"/>
                <w:szCs w:val="20"/>
                <w:color w:val="auto"/>
              </w:rPr>
            </w:pPr>
            <w:r>
              <w:rPr>
                <w:rFonts w:ascii="Arial" w:cs="Arial" w:eastAsia="Arial" w:hAnsi="Arial"/>
                <w:sz w:val="15"/>
                <w:szCs w:val="15"/>
                <w:b w:val="1"/>
                <w:bCs w:val="1"/>
                <w:color w:val="auto"/>
                <w:w w:val="98"/>
              </w:rPr>
              <w:t>Common Stock</w:t>
            </w:r>
          </w:p>
        </w:tc>
        <w:tc>
          <w:tcPr>
            <w:tcW w:w="0" w:type="dxa"/>
            <w:vAlign w:val="bottom"/>
          </w:tcPr>
          <w:p>
            <w:pPr>
              <w:spacing w:after="0"/>
              <w:rPr>
                <w:sz w:val="1"/>
                <w:szCs w:val="1"/>
                <w:color w:val="auto"/>
              </w:rPr>
            </w:pPr>
          </w:p>
        </w:tc>
      </w:tr>
      <w:tr>
        <w:trPr>
          <w:trHeight w:val="200"/>
        </w:trPr>
        <w:tc>
          <w:tcPr>
            <w:tcW w:w="40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Converted</w:t>
            </w:r>
          </w:p>
        </w:tc>
        <w:tc>
          <w:tcPr>
            <w:tcW w:w="122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(1)</w:t>
            </w:r>
          </w:p>
        </w:tc>
        <w:tc>
          <w:tcPr>
            <w:tcW w:w="2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Converted</w:t>
            </w:r>
          </w:p>
        </w:tc>
        <w:tc>
          <w:tcPr>
            <w:tcW w:w="122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252"/>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Common OP unit</w:t>
            </w: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1.0000</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11,949</w:t>
            </w:r>
          </w:p>
        </w:tc>
        <w:tc>
          <w:tcPr>
            <w:tcW w:w="12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11,949</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6,533</w:t>
            </w:r>
          </w:p>
        </w:tc>
        <w:tc>
          <w:tcPr>
            <w:tcW w:w="12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6,533</w:t>
            </w:r>
          </w:p>
        </w:tc>
        <w:tc>
          <w:tcPr>
            <w:tcW w:w="0" w:type="dxa"/>
            <w:vAlign w:val="bottom"/>
          </w:tcPr>
          <w:p>
            <w:pPr>
              <w:spacing w:after="0"/>
              <w:rPr>
                <w:sz w:val="1"/>
                <w:szCs w:val="1"/>
                <w:color w:val="auto"/>
              </w:rPr>
            </w:pPr>
          </w:p>
        </w:tc>
      </w:tr>
      <w:tr>
        <w:trPr>
          <w:trHeight w:val="262"/>
        </w:trPr>
        <w:tc>
          <w:tcPr>
            <w:tcW w:w="4280" w:type="dxa"/>
            <w:vAlign w:val="bottom"/>
            <w:gridSpan w:val="2"/>
          </w:tcPr>
          <w:p>
            <w:pPr>
              <w:ind w:left="40"/>
              <w:spacing w:after="0"/>
              <w:rPr>
                <w:sz w:val="20"/>
                <w:szCs w:val="20"/>
                <w:color w:val="auto"/>
              </w:rPr>
            </w:pPr>
            <w:r>
              <w:rPr>
                <w:rFonts w:ascii="Arial" w:cs="Arial" w:eastAsia="Arial" w:hAnsi="Arial"/>
                <w:sz w:val="15"/>
                <w:szCs w:val="15"/>
                <w:color w:val="auto"/>
              </w:rPr>
              <w:t>Series A-1 preferred OP unit</w:t>
            </w: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2.4390</w:t>
            </w:r>
          </w:p>
        </w:tc>
        <w:tc>
          <w:tcPr>
            <w:tcW w:w="220" w:type="dxa"/>
            <w:vAlign w:val="bottom"/>
          </w:tcPr>
          <w:p>
            <w:pPr>
              <w:spacing w:after="0"/>
              <w:rPr>
                <w:sz w:val="22"/>
                <w:szCs w:val="22"/>
                <w:color w:val="auto"/>
              </w:rPr>
            </w:pPr>
          </w:p>
        </w:tc>
        <w:tc>
          <w:tcPr>
            <w:tcW w:w="1360" w:type="dxa"/>
            <w:vAlign w:val="bottom"/>
          </w:tcPr>
          <w:p>
            <w:pPr>
              <w:jc w:val="right"/>
              <w:ind w:right="44"/>
              <w:spacing w:after="0"/>
              <w:rPr>
                <w:sz w:val="20"/>
                <w:szCs w:val="20"/>
                <w:color w:val="auto"/>
              </w:rPr>
            </w:pPr>
            <w:r>
              <w:rPr>
                <w:rFonts w:ascii="Arial" w:cs="Arial" w:eastAsia="Arial" w:hAnsi="Arial"/>
                <w:sz w:val="15"/>
                <w:szCs w:val="15"/>
                <w:color w:val="auto"/>
              </w:rPr>
              <w:t>6,677</w:t>
            </w: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16,283</w:t>
            </w:r>
          </w:p>
        </w:tc>
        <w:tc>
          <w:tcPr>
            <w:tcW w:w="220" w:type="dxa"/>
            <w:vAlign w:val="bottom"/>
          </w:tcPr>
          <w:p>
            <w:pPr>
              <w:spacing w:after="0"/>
              <w:rPr>
                <w:sz w:val="22"/>
                <w:szCs w:val="22"/>
                <w:color w:val="auto"/>
              </w:rPr>
            </w:pP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3,950</w:t>
            </w: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9,633</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w:t>
      </w:r>
      <w:r>
        <w:rPr>
          <w:rFonts w:ascii="Arial" w:cs="Arial" w:eastAsia="Arial" w:hAnsi="Arial"/>
          <w:sz w:val="14"/>
          <w:szCs w:val="14"/>
          <w:color w:val="auto"/>
        </w:rPr>
        <w:t>alculation may yield minor differences due to rounding incorporated in the above numbers.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for the three months ended March 31, 2020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84"/>
              <w:spacing w:after="0"/>
              <w:rPr>
                <w:sz w:val="20"/>
                <w:szCs w:val="20"/>
                <w:color w:val="auto"/>
              </w:rPr>
            </w:pPr>
            <w:r>
              <w:rPr>
                <w:rFonts w:ascii="Arial" w:cs="Arial" w:eastAsia="Arial" w:hAnsi="Arial"/>
                <w:sz w:val="15"/>
                <w:szCs w:val="15"/>
                <w:b w:val="1"/>
                <w:bCs w:val="1"/>
                <w:color w:val="auto"/>
                <w:w w:val="94"/>
              </w:rPr>
              <w:t>Total</w:t>
            </w:r>
          </w:p>
        </w:tc>
      </w:tr>
      <w:tr>
        <w:trPr>
          <w:trHeight w:val="162"/>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w w:val="94"/>
              </w:rPr>
              <w:t>Distribution per</w:t>
            </w:r>
          </w:p>
        </w:tc>
        <w:tc>
          <w:tcPr>
            <w:tcW w:w="160" w:type="dxa"/>
            <w:vAlign w:val="bottom"/>
          </w:tcPr>
          <w:p>
            <w:pPr>
              <w:spacing w:after="0"/>
              <w:rPr>
                <w:sz w:val="14"/>
                <w:szCs w:val="14"/>
                <w:color w:val="auto"/>
              </w:rPr>
            </w:pPr>
          </w:p>
        </w:tc>
        <w:tc>
          <w:tcPr>
            <w:tcW w:w="1060" w:type="dxa"/>
            <w:vAlign w:val="bottom"/>
          </w:tcPr>
          <w:p>
            <w:pPr>
              <w:jc w:val="center"/>
              <w:ind w:right="64"/>
              <w:spacing w:after="0" w:line="162" w:lineRule="exact"/>
              <w:rPr>
                <w:sz w:val="20"/>
                <w:szCs w:val="20"/>
                <w:color w:val="auto"/>
              </w:rPr>
            </w:pPr>
            <w:r>
              <w:rPr>
                <w:rFonts w:ascii="Arial" w:cs="Arial" w:eastAsia="Arial" w:hAnsi="Arial"/>
                <w:sz w:val="15"/>
                <w:szCs w:val="15"/>
                <w:b w:val="1"/>
                <w:bCs w:val="1"/>
                <w:color w:val="auto"/>
                <w:w w:val="94"/>
              </w:rPr>
              <w:t>Distribution</w:t>
            </w:r>
          </w:p>
        </w:tc>
      </w:tr>
      <w:tr>
        <w:trPr>
          <w:trHeight w:val="202"/>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Cash Distributions</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Record Date</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Payment Date</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b w:val="1"/>
                <w:bCs w:val="1"/>
                <w:color w:val="auto"/>
                <w:w w:val="91"/>
              </w:rPr>
              <w:t>Share</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88"/>
              </w:rPr>
              <w:t>(thousands)</w:t>
            </w:r>
          </w:p>
        </w:tc>
      </w:tr>
      <w:tr>
        <w:trPr>
          <w:trHeight w:val="254"/>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Common Stock, Common OP units and Restricted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3/31/2020</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4/15/2020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0.79</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75,631</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6"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March 31, 2020, we had two share-based compensation plans: the Sun Communities, Inc. 2015 Equity Incentive Plan (“2015 Equity Incentive Plan”) and the First Amended and Restated 2004 Non-Employee Director Option Plan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and 2019, shares were granted as follow: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44"/>
              <w:spacing w:after="0"/>
              <w:rPr>
                <w:sz w:val="20"/>
                <w:szCs w:val="20"/>
                <w:color w:val="auto"/>
              </w:rPr>
            </w:pPr>
            <w:r>
              <w:rPr>
                <w:rFonts w:ascii="Arial" w:cs="Arial" w:eastAsia="Arial" w:hAnsi="Arial"/>
                <w:sz w:val="15"/>
                <w:szCs w:val="15"/>
                <w:b w:val="1"/>
                <w:bCs w:val="1"/>
                <w:color w:val="auto"/>
                <w:w w:val="96"/>
              </w:rPr>
              <w:t>Grant Date</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44"/>
              <w:spacing w:after="0" w:line="162" w:lineRule="exact"/>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4"/>
                <w:szCs w:val="14"/>
                <w:color w:val="auto"/>
              </w:rPr>
            </w:pPr>
          </w:p>
        </w:tc>
        <w:tc>
          <w:tcPr>
            <w:tcW w:w="108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5"/>
              </w:rPr>
              <w:t>Fair Value Per</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88"/>
              </w:rPr>
              <w:t>Vesting</w:t>
            </w:r>
          </w:p>
        </w:tc>
        <w:tc>
          <w:tcPr>
            <w:tcW w:w="1040" w:type="dxa"/>
            <w:vAlign w:val="bottom"/>
          </w:tcPr>
          <w:p>
            <w:pPr>
              <w:spacing w:after="0"/>
              <w:rPr>
                <w:sz w:val="14"/>
                <w:szCs w:val="14"/>
                <w:color w:val="auto"/>
              </w:rPr>
            </w:pPr>
          </w:p>
        </w:tc>
      </w:tr>
      <w:tr>
        <w:trPr>
          <w:trHeight w:val="202"/>
        </w:trPr>
        <w:tc>
          <w:tcPr>
            <w:tcW w:w="11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6"/>
              </w:rPr>
              <w:t>Grant Period</w:t>
            </w:r>
          </w:p>
        </w:tc>
        <w:tc>
          <w:tcPr>
            <w:tcW w:w="1540" w:type="dxa"/>
            <w:vAlign w:val="bottom"/>
            <w:gridSpan w:val="2"/>
          </w:tcPr>
          <w:p>
            <w:pPr>
              <w:ind w:left="560"/>
              <w:spacing w:after="0"/>
              <w:rPr>
                <w:sz w:val="20"/>
                <w:szCs w:val="20"/>
                <w:color w:val="auto"/>
              </w:rPr>
            </w:pPr>
            <w:r>
              <w:rPr>
                <w:rFonts w:ascii="Arial" w:cs="Arial" w:eastAsia="Arial" w:hAnsi="Arial"/>
                <w:sz w:val="15"/>
                <w:szCs w:val="15"/>
                <w:b w:val="1"/>
                <w:bCs w:val="1"/>
                <w:color w:val="auto"/>
              </w:rPr>
              <w:t>Type</w:t>
            </w:r>
          </w:p>
        </w:tc>
        <w:tc>
          <w:tcPr>
            <w:tcW w:w="360" w:type="dxa"/>
            <w:vAlign w:val="bottom"/>
          </w:tcPr>
          <w:p>
            <w:pPr>
              <w:spacing w:after="0"/>
              <w:rPr>
                <w:sz w:val="17"/>
                <w:szCs w:val="17"/>
                <w:color w:val="auto"/>
              </w:rPr>
            </w:pPr>
          </w:p>
        </w:tc>
        <w:tc>
          <w:tcPr>
            <w:tcW w:w="1860" w:type="dxa"/>
            <w:vAlign w:val="bottom"/>
            <w:gridSpan w:val="2"/>
          </w:tcPr>
          <w:p>
            <w:pPr>
              <w:ind w:left="540"/>
              <w:spacing w:after="0"/>
              <w:rPr>
                <w:sz w:val="20"/>
                <w:szCs w:val="20"/>
                <w:color w:val="auto"/>
              </w:rPr>
            </w:pPr>
            <w:r>
              <w:rPr>
                <w:rFonts w:ascii="Arial" w:cs="Arial" w:eastAsia="Arial" w:hAnsi="Arial"/>
                <w:sz w:val="15"/>
                <w:szCs w:val="15"/>
                <w:b w:val="1"/>
                <w:bCs w:val="1"/>
                <w:color w:val="auto"/>
              </w:rPr>
              <w:t>Plan</w:t>
            </w:r>
          </w:p>
        </w:tc>
        <w:tc>
          <w:tcPr>
            <w:tcW w:w="880" w:type="dxa"/>
            <w:vAlign w:val="bottom"/>
          </w:tcPr>
          <w:p>
            <w:pPr>
              <w:jc w:val="right"/>
              <w:ind w:right="104"/>
              <w:spacing w:after="0"/>
              <w:rPr>
                <w:sz w:val="20"/>
                <w:szCs w:val="20"/>
                <w:color w:val="auto"/>
              </w:rPr>
            </w:pPr>
            <w:r>
              <w:rPr>
                <w:rFonts w:ascii="Arial" w:cs="Arial" w:eastAsia="Arial" w:hAnsi="Arial"/>
                <w:sz w:val="15"/>
                <w:szCs w:val="15"/>
                <w:b w:val="1"/>
                <w:bCs w:val="1"/>
                <w:color w:val="auto"/>
              </w:rPr>
              <w:t>Granted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44"/>
              <w:spacing w:after="0"/>
              <w:rPr>
                <w:sz w:val="20"/>
                <w:szCs w:val="20"/>
                <w:color w:val="auto"/>
              </w:rPr>
            </w:pPr>
            <w:r>
              <w:rPr>
                <w:rFonts w:ascii="Arial" w:cs="Arial" w:eastAsia="Arial" w:hAnsi="Arial"/>
                <w:sz w:val="15"/>
                <w:szCs w:val="15"/>
                <w:b w:val="1"/>
                <w:bCs w:val="1"/>
                <w:color w:val="auto"/>
                <w:w w:val="91"/>
              </w:rPr>
              <w:t>Share</w:t>
            </w:r>
          </w:p>
        </w:tc>
        <w:tc>
          <w:tcPr>
            <w:tcW w:w="260" w:type="dxa"/>
            <w:vAlign w:val="bottom"/>
          </w:tcPr>
          <w:p>
            <w:pPr>
              <w:spacing w:after="0"/>
              <w:rPr>
                <w:sz w:val="17"/>
                <w:szCs w:val="17"/>
                <w:color w:val="auto"/>
              </w:rPr>
            </w:pPr>
          </w:p>
        </w:tc>
        <w:tc>
          <w:tcPr>
            <w:tcW w:w="1540" w:type="dxa"/>
            <w:vAlign w:val="bottom"/>
            <w:gridSpan w:val="2"/>
          </w:tcPr>
          <w:p>
            <w:pPr>
              <w:ind w:left="280"/>
              <w:spacing w:after="0"/>
              <w:rPr>
                <w:sz w:val="20"/>
                <w:szCs w:val="20"/>
                <w:color w:val="auto"/>
              </w:rPr>
            </w:pPr>
            <w:r>
              <w:rPr>
                <w:rFonts w:ascii="Arial" w:cs="Arial" w:eastAsia="Arial" w:hAnsi="Arial"/>
                <w:sz w:val="15"/>
                <w:szCs w:val="15"/>
                <w:b w:val="1"/>
                <w:bCs w:val="1"/>
                <w:color w:val="auto"/>
              </w:rPr>
              <w:t>Vesting Type</w:t>
            </w:r>
          </w:p>
        </w:tc>
        <w:tc>
          <w:tcPr>
            <w:tcW w:w="12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Anniversary</w:t>
            </w:r>
          </w:p>
        </w:tc>
        <w:tc>
          <w:tcPr>
            <w:tcW w:w="1040" w:type="dxa"/>
            <w:vAlign w:val="bottom"/>
          </w:tcPr>
          <w:p>
            <w:pPr>
              <w:jc w:val="right"/>
              <w:ind w:right="84"/>
              <w:spacing w:after="0"/>
              <w:rPr>
                <w:sz w:val="20"/>
                <w:szCs w:val="20"/>
                <w:color w:val="auto"/>
              </w:rPr>
            </w:pPr>
            <w:r>
              <w:rPr>
                <w:rFonts w:ascii="Arial" w:cs="Arial" w:eastAsia="Arial" w:hAnsi="Arial"/>
                <w:sz w:val="15"/>
                <w:szCs w:val="15"/>
                <w:b w:val="1"/>
                <w:bCs w:val="1"/>
                <w:color w:val="auto"/>
              </w:rPr>
              <w:t>Percentage</w:t>
            </w:r>
          </w:p>
        </w:tc>
      </w:tr>
      <w:tr>
        <w:trPr>
          <w:trHeight w:val="281"/>
        </w:trPr>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7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14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08"/>
        </w:trPr>
        <w:tc>
          <w:tcPr>
            <w:tcW w:w="1000" w:type="dxa"/>
            <w:vAlign w:val="bottom"/>
          </w:tcPr>
          <w:p>
            <w:pPr>
              <w:jc w:val="center"/>
              <w:spacing w:after="0"/>
              <w:rPr>
                <w:sz w:val="20"/>
                <w:szCs w:val="20"/>
                <w:color w:val="auto"/>
              </w:rPr>
            </w:pPr>
            <w:r>
              <w:rPr>
                <w:rFonts w:ascii="Arial" w:cs="Arial" w:eastAsia="Arial" w:hAnsi="Arial"/>
                <w:sz w:val="15"/>
                <w:szCs w:val="15"/>
                <w:color w:val="auto"/>
                <w:w w:val="95"/>
              </w:rPr>
              <w:t>2020</w:t>
            </w:r>
          </w:p>
        </w:tc>
        <w:tc>
          <w:tcPr>
            <w:tcW w:w="1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60" w:type="dxa"/>
            <w:vAlign w:val="bottom"/>
          </w:tcPr>
          <w:p>
            <w:pPr>
              <w:ind w:left="20"/>
              <w:spacing w:after="0"/>
              <w:rPr>
                <w:sz w:val="20"/>
                <w:szCs w:val="20"/>
                <w:color w:val="auto"/>
              </w:rPr>
            </w:pPr>
            <w:r>
              <w:rPr>
                <w:rFonts w:ascii="Arial" w:cs="Arial" w:eastAsia="Arial" w:hAnsi="Arial"/>
                <w:sz w:val="15"/>
                <w:szCs w:val="15"/>
                <w:color w:val="auto"/>
                <w:w w:val="95"/>
              </w:rPr>
              <w:t>2015</w:t>
            </w:r>
          </w:p>
        </w:tc>
        <w:tc>
          <w:tcPr>
            <w:tcW w:w="186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51,790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162.42</w:t>
            </w:r>
          </w:p>
        </w:tc>
        <w:tc>
          <w:tcPr>
            <w:tcW w:w="26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240" w:type="dxa"/>
            <w:vAlign w:val="bottom"/>
            <w:gridSpan w:val="3"/>
          </w:tcPr>
          <w:p>
            <w:pPr>
              <w:jc w:val="right"/>
              <w:ind w:right="164"/>
              <w:spacing w:after="0"/>
              <w:rPr>
                <w:sz w:val="20"/>
                <w:szCs w:val="20"/>
                <w:color w:val="auto"/>
              </w:rPr>
            </w:pPr>
            <w:r>
              <w:rPr>
                <w:rFonts w:ascii="Arial" w:cs="Arial" w:eastAsia="Arial" w:hAnsi="Arial"/>
                <w:sz w:val="15"/>
                <w:szCs w:val="15"/>
                <w:color w:val="auto"/>
              </w:rPr>
              <w:t>20.0% annually over 5 years</w:t>
            </w:r>
          </w:p>
        </w:tc>
      </w:tr>
      <w:tr>
        <w:trPr>
          <w:trHeight w:val="62"/>
        </w:trPr>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gridSpan w:val="2"/>
          </w:tcPr>
          <w:p>
            <w:pPr>
              <w:spacing w:after="0"/>
              <w:rPr>
                <w:sz w:val="5"/>
                <w:szCs w:val="5"/>
                <w:color w:val="auto"/>
              </w:rPr>
            </w:pPr>
          </w:p>
        </w:tc>
      </w:tr>
      <w:tr>
        <w:trPr>
          <w:trHeight w:val="208"/>
        </w:trPr>
        <w:tc>
          <w:tcPr>
            <w:tcW w:w="1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2020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Executive Officers</w:t>
            </w: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2015</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Equity Incentive Plan</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46,000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165.97</w:t>
            </w: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Time Based</w:t>
            </w:r>
          </w:p>
        </w:tc>
        <w:tc>
          <w:tcPr>
            <w:tcW w:w="2240" w:type="dxa"/>
            <w:vAlign w:val="bottom"/>
            <w:gridSpan w:val="3"/>
            <w:shd w:val="clear" w:color="auto" w:fill="CCEEFF"/>
          </w:tcPr>
          <w:p>
            <w:pPr>
              <w:jc w:val="right"/>
              <w:ind w:right="164"/>
              <w:spacing w:after="0"/>
              <w:rPr>
                <w:sz w:val="20"/>
                <w:szCs w:val="20"/>
                <w:color w:val="auto"/>
              </w:rPr>
            </w:pPr>
            <w:r>
              <w:rPr>
                <w:rFonts w:ascii="Arial" w:cs="Arial" w:eastAsia="Arial" w:hAnsi="Arial"/>
                <w:sz w:val="15"/>
                <w:szCs w:val="15"/>
                <w:color w:val="auto"/>
              </w:rPr>
              <w:t>20.0% annually over 5 years</w:t>
            </w:r>
          </w:p>
        </w:tc>
      </w:tr>
      <w:tr>
        <w:trPr>
          <w:trHeight w:val="62"/>
        </w:trPr>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08"/>
        </w:trPr>
        <w:tc>
          <w:tcPr>
            <w:tcW w:w="1000" w:type="dxa"/>
            <w:vAlign w:val="bottom"/>
          </w:tcPr>
          <w:p>
            <w:pPr>
              <w:jc w:val="center"/>
              <w:spacing w:after="0"/>
              <w:rPr>
                <w:sz w:val="20"/>
                <w:szCs w:val="20"/>
                <w:color w:val="auto"/>
              </w:rPr>
            </w:pPr>
            <w:r>
              <w:rPr>
                <w:rFonts w:ascii="Arial" w:cs="Arial" w:eastAsia="Arial" w:hAnsi="Arial"/>
                <w:sz w:val="15"/>
                <w:szCs w:val="15"/>
                <w:color w:val="auto"/>
                <w:w w:val="95"/>
              </w:rPr>
              <w:t>2020</w:t>
            </w:r>
          </w:p>
        </w:tc>
        <w:tc>
          <w:tcPr>
            <w:tcW w:w="1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60" w:type="dxa"/>
            <w:vAlign w:val="bottom"/>
          </w:tcPr>
          <w:p>
            <w:pPr>
              <w:ind w:left="20"/>
              <w:spacing w:after="0"/>
              <w:rPr>
                <w:sz w:val="20"/>
                <w:szCs w:val="20"/>
                <w:color w:val="auto"/>
              </w:rPr>
            </w:pPr>
            <w:r>
              <w:rPr>
                <w:rFonts w:ascii="Arial" w:cs="Arial" w:eastAsia="Arial" w:hAnsi="Arial"/>
                <w:sz w:val="15"/>
                <w:szCs w:val="15"/>
                <w:color w:val="auto"/>
                <w:w w:val="95"/>
              </w:rPr>
              <w:t>2015</w:t>
            </w:r>
          </w:p>
        </w:tc>
        <w:tc>
          <w:tcPr>
            <w:tcW w:w="186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69,000</w:t>
            </w:r>
          </w:p>
        </w:tc>
        <w:tc>
          <w:tcPr>
            <w:tcW w:w="240" w:type="dxa"/>
            <w:vAlign w:val="bottom"/>
          </w:tcPr>
          <w:p>
            <w:pPr>
              <w:jc w:val="right"/>
              <w:ind w:right="16"/>
              <w:spacing w:after="0"/>
              <w:rPr>
                <w:sz w:val="20"/>
                <w:szCs w:val="20"/>
                <w:color w:val="auto"/>
              </w:rPr>
            </w:pPr>
            <w:r>
              <w:rPr>
                <w:rFonts w:ascii="Arial" w:cs="Arial" w:eastAsia="Arial" w:hAnsi="Arial"/>
                <w:sz w:val="13"/>
                <w:szCs w:val="13"/>
                <w:color w:val="auto"/>
                <w:w w:val="87"/>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125.47</w:t>
            </w:r>
          </w:p>
        </w:tc>
        <w:tc>
          <w:tcPr>
            <w:tcW w:w="26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20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3rd</w:t>
            </w:r>
          </w:p>
        </w:tc>
        <w:tc>
          <w:tcPr>
            <w:tcW w:w="104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62"/>
        </w:trPr>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6"/>
        </w:trPr>
        <w:tc>
          <w:tcPr>
            <w:tcW w:w="1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2020</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Directors</w:t>
            </w: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2004</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Non-Employee Director</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10,200</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147.97</w:t>
            </w: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Time Based</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2"/>
              </w:rPr>
              <w:t>3rd</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202"/>
        </w:trPr>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Option Plan</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8"/>
        </w:trPr>
        <w:tc>
          <w:tcPr>
            <w:tcW w:w="1000" w:type="dxa"/>
            <w:vAlign w:val="bottom"/>
          </w:tcPr>
          <w:p>
            <w:pPr>
              <w:jc w:val="center"/>
              <w:spacing w:after="0"/>
              <w:rPr>
                <w:sz w:val="20"/>
                <w:szCs w:val="20"/>
                <w:color w:val="auto"/>
              </w:rPr>
            </w:pPr>
            <w:r>
              <w:rPr>
                <w:rFonts w:ascii="Arial" w:cs="Arial" w:eastAsia="Arial" w:hAnsi="Arial"/>
                <w:sz w:val="15"/>
                <w:szCs w:val="15"/>
                <w:color w:val="auto"/>
                <w:w w:val="95"/>
              </w:rPr>
              <w:t>2019</w:t>
            </w:r>
          </w:p>
        </w:tc>
        <w:tc>
          <w:tcPr>
            <w:tcW w:w="1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60" w:type="dxa"/>
            <w:vAlign w:val="bottom"/>
          </w:tcPr>
          <w:p>
            <w:pPr>
              <w:ind w:left="20"/>
              <w:spacing w:after="0"/>
              <w:rPr>
                <w:sz w:val="20"/>
                <w:szCs w:val="20"/>
                <w:color w:val="auto"/>
              </w:rPr>
            </w:pPr>
            <w:r>
              <w:rPr>
                <w:rFonts w:ascii="Arial" w:cs="Arial" w:eastAsia="Arial" w:hAnsi="Arial"/>
                <w:sz w:val="15"/>
                <w:szCs w:val="15"/>
                <w:color w:val="auto"/>
                <w:w w:val="95"/>
              </w:rPr>
              <w:t>2015</w:t>
            </w:r>
          </w:p>
        </w:tc>
        <w:tc>
          <w:tcPr>
            <w:tcW w:w="186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44,000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115.39</w:t>
            </w:r>
          </w:p>
        </w:tc>
        <w:tc>
          <w:tcPr>
            <w:tcW w:w="26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240" w:type="dxa"/>
            <w:vAlign w:val="bottom"/>
            <w:gridSpan w:val="3"/>
          </w:tcPr>
          <w:p>
            <w:pPr>
              <w:jc w:val="right"/>
              <w:ind w:right="164"/>
              <w:spacing w:after="0"/>
              <w:rPr>
                <w:sz w:val="20"/>
                <w:szCs w:val="20"/>
                <w:color w:val="auto"/>
              </w:rPr>
            </w:pPr>
            <w:r>
              <w:rPr>
                <w:rFonts w:ascii="Arial" w:cs="Arial" w:eastAsia="Arial" w:hAnsi="Arial"/>
                <w:sz w:val="15"/>
                <w:szCs w:val="15"/>
                <w:color w:val="auto"/>
              </w:rPr>
              <w:t>20.0% annually over 5 years</w:t>
            </w:r>
          </w:p>
        </w:tc>
      </w:tr>
      <w:tr>
        <w:trPr>
          <w:trHeight w:val="62"/>
        </w:trPr>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08"/>
        </w:trPr>
        <w:tc>
          <w:tcPr>
            <w:tcW w:w="1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2019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Executive Officers</w:t>
            </w: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2015</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Equity Incentive Plan</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66,000</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7"/>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115.39</w:t>
            </w: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Market Condition</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2"/>
              </w:rPr>
              <w:t>3rd</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62"/>
        </w:trPr>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188"/>
        </w:trPr>
        <w:tc>
          <w:tcPr>
            <w:tcW w:w="1000" w:type="dxa"/>
            <w:vAlign w:val="bottom"/>
          </w:tcPr>
          <w:p>
            <w:pPr>
              <w:jc w:val="center"/>
              <w:spacing w:after="0"/>
              <w:rPr>
                <w:sz w:val="20"/>
                <w:szCs w:val="20"/>
                <w:color w:val="auto"/>
              </w:rPr>
            </w:pPr>
            <w:r>
              <w:rPr>
                <w:rFonts w:ascii="Arial" w:cs="Arial" w:eastAsia="Arial" w:hAnsi="Arial"/>
                <w:sz w:val="15"/>
                <w:szCs w:val="15"/>
                <w:color w:val="auto"/>
                <w:w w:val="95"/>
              </w:rPr>
              <w:t>2019</w:t>
            </w:r>
          </w:p>
        </w:tc>
        <w:tc>
          <w:tcPr>
            <w:tcW w:w="10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Directors</w:t>
            </w:r>
          </w:p>
        </w:tc>
        <w:tc>
          <w:tcPr>
            <w:tcW w:w="360" w:type="dxa"/>
            <w:vAlign w:val="bottom"/>
          </w:tcPr>
          <w:p>
            <w:pPr>
              <w:ind w:left="20"/>
              <w:spacing w:after="0"/>
              <w:rPr>
                <w:sz w:val="20"/>
                <w:szCs w:val="20"/>
                <w:color w:val="auto"/>
              </w:rPr>
            </w:pPr>
            <w:r>
              <w:rPr>
                <w:rFonts w:ascii="Arial" w:cs="Arial" w:eastAsia="Arial" w:hAnsi="Arial"/>
                <w:sz w:val="15"/>
                <w:szCs w:val="15"/>
                <w:color w:val="auto"/>
                <w:w w:val="95"/>
              </w:rPr>
              <w:t>2004</w:t>
            </w:r>
          </w:p>
        </w:tc>
        <w:tc>
          <w:tcPr>
            <w:tcW w:w="1860" w:type="dxa"/>
            <w:vAlign w:val="bottom"/>
            <w:gridSpan w:val="2"/>
          </w:tcPr>
          <w:p>
            <w:pPr>
              <w:ind w:left="20"/>
              <w:spacing w:after="0"/>
              <w:rPr>
                <w:sz w:val="20"/>
                <w:szCs w:val="20"/>
                <w:color w:val="auto"/>
              </w:rPr>
            </w:pPr>
            <w:r>
              <w:rPr>
                <w:rFonts w:ascii="Arial" w:cs="Arial" w:eastAsia="Arial" w:hAnsi="Arial"/>
                <w:sz w:val="15"/>
                <w:szCs w:val="15"/>
                <w:color w:val="auto"/>
              </w:rPr>
              <w:t>Non-Employee Director</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18,000</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113.68</w:t>
            </w:r>
          </w:p>
        </w:tc>
        <w:tc>
          <w:tcPr>
            <w:tcW w:w="26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154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120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3rd</w:t>
            </w:r>
          </w:p>
        </w:tc>
        <w:tc>
          <w:tcPr>
            <w:tcW w:w="1040" w:type="dxa"/>
            <w:vAlign w:val="bottom"/>
          </w:tcPr>
          <w:p>
            <w:pPr>
              <w:jc w:val="right"/>
              <w:spacing w:after="0"/>
              <w:rPr>
                <w:sz w:val="20"/>
                <w:szCs w:val="20"/>
                <w:color w:val="auto"/>
              </w:rPr>
            </w:pPr>
            <w:r>
              <w:rPr>
                <w:rFonts w:ascii="Arial" w:cs="Arial" w:eastAsia="Arial" w:hAnsi="Arial"/>
                <w:sz w:val="15"/>
                <w:szCs w:val="15"/>
                <w:color w:val="auto"/>
              </w:rPr>
              <w:t>100.0%</w:t>
            </w:r>
          </w:p>
        </w:tc>
      </w:tr>
    </w:tbl>
    <w:p>
      <w:pPr>
        <w:ind w:left="2660"/>
        <w:spacing w:after="0"/>
        <w:rPr>
          <w:sz w:val="20"/>
          <w:szCs w:val="20"/>
          <w:color w:val="auto"/>
        </w:rPr>
      </w:pPr>
      <w:r>
        <w:rPr>
          <w:rFonts w:ascii="Arial" w:cs="Arial" w:eastAsia="Arial" w:hAnsi="Arial"/>
          <w:sz w:val="15"/>
          <w:szCs w:val="15"/>
          <w:color w:val="auto"/>
        </w:rPr>
        <w:t>Option Plan</w:t>
      </w:r>
    </w:p>
    <w:p>
      <w:pPr>
        <w:spacing w:after="0" w:line="382"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 fair values of the grants were determined by using the average closing price of our common stock on the dates the shares were issued.</w:t>
      </w:r>
    </w:p>
    <w:p>
      <w:pPr>
        <w:ind w:left="260" w:hanging="252"/>
        <w:spacing w:after="0" w:line="241" w:lineRule="auto"/>
        <w:tabs>
          <w:tab w:leader="none" w:pos="17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$165.97. Based on the Monte Carlo simulation we expect 75.6% of the 69,000 shares to vest.</w:t>
      </w:r>
    </w:p>
    <w:p>
      <w:pPr>
        <w:spacing w:after="0" w:line="1" w:lineRule="exact"/>
        <w:rPr>
          <w:rFonts w:ascii="Arial" w:cs="Arial" w:eastAsia="Arial" w:hAnsi="Arial"/>
          <w:sz w:val="19"/>
          <w:szCs w:val="19"/>
          <w:color w:val="auto"/>
          <w:vertAlign w:val="superscript"/>
        </w:rPr>
      </w:pPr>
    </w:p>
    <w:p>
      <w:pPr>
        <w:ind w:left="260" w:hanging="252"/>
        <w:spacing w:after="0" w:line="244" w:lineRule="auto"/>
        <w:tabs>
          <w:tab w:leader="none" w:pos="17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$115.39. Based on the Monte Carlo simulation we expect 75.1% of the 66,000 shares to vest.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stock option exercises during the three months ended March 31, 2020. During the three months ended March 31, 2019, 1,500 shares of common stock were issued in connection with the exercise of stock options with net proceeds of less than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vesting requirements for 144,231 restricted shares granted to our executives, directors and employees were satisfied during the three months ended March 31, 2020.</w:t>
      </w:r>
    </w:p>
    <w:p>
      <w:pPr>
        <w:spacing w:after="0" w:line="166"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56"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We group our operating segments into reportable segments that provide similar products and services. Each operating segment has discrete financial information evaluated regularly by our chief operating decision maker in evaluating and assessing performance. We have two reportable segments: (i) Real Property Operations and (ii) Home Sales and Rentals. The Real Property Operations segment owns, operates, has an interest in a portfolio, and develops MH communities and RV communities, and is in the business of acquiring, operating, and expanding MH and RV communities. The Home Sales and Rentals segment offers manufactured home sales and leasing services to tenants and prospective tenants of our communities</w:t>
      </w:r>
      <w:r>
        <w:rPr>
          <w:rFonts w:ascii="Arial" w:cs="Arial" w:eastAsia="Arial" w:hAnsi="Arial"/>
          <w:sz w:val="20"/>
          <w:szCs w:val="20"/>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Transactions between our segments are eliminated in consolidation. Transient RV revenue is included in the Real Property Operations segment revenues.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Transient revenue was $25.3 million for the quarter ended March 31, 2020. Transient revenue was $121.5 million for the year ended December 31,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recognized 20.1 percent in the first quarter, 23.2 percent in the second quarter, 40.3 percent in the third quarter, and 16.4 percent in the fourth quarter.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A presentation of segment financial information is summarized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38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March 31, 2020</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w w:val="97"/>
              </w:rPr>
              <w:t>March 31, 2019</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1160" w:type="dxa"/>
            <w:vAlign w:val="bottom"/>
            <w:gridSpan w:val="3"/>
          </w:tcPr>
          <w:p>
            <w:pPr>
              <w:jc w:val="center"/>
              <w:ind w:right="12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20" w:type="dxa"/>
            <w:vAlign w:val="bottom"/>
          </w:tcPr>
          <w:p>
            <w:pPr>
              <w:spacing w:after="0"/>
              <w:rPr>
                <w:sz w:val="14"/>
                <w:szCs w:val="14"/>
                <w:color w:val="auto"/>
              </w:rPr>
            </w:pPr>
          </w:p>
        </w:tc>
        <w:tc>
          <w:tcPr>
            <w:tcW w:w="104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Home Sales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40"/>
              <w:spacing w:after="0" w:line="169" w:lineRule="exact"/>
              <w:rPr>
                <w:sz w:val="20"/>
                <w:szCs w:val="20"/>
                <w:color w:val="auto"/>
              </w:rPr>
            </w:pPr>
            <w:r>
              <w:rPr>
                <w:rFonts w:ascii="Arial" w:cs="Arial" w:eastAsia="Arial" w:hAnsi="Arial"/>
                <w:sz w:val="15"/>
                <w:szCs w:val="15"/>
                <w:b w:val="1"/>
                <w:bCs w:val="1"/>
                <w:color w:val="auto"/>
              </w:rPr>
              <w:t>Real Property</w:t>
            </w:r>
          </w:p>
        </w:tc>
        <w:tc>
          <w:tcPr>
            <w:tcW w:w="120" w:type="dxa"/>
            <w:vAlign w:val="bottom"/>
          </w:tcPr>
          <w:p>
            <w:pPr>
              <w:spacing w:after="0"/>
              <w:rPr>
                <w:sz w:val="14"/>
                <w:szCs w:val="14"/>
                <w:color w:val="auto"/>
              </w:rPr>
            </w:pPr>
          </w:p>
        </w:tc>
        <w:tc>
          <w:tcPr>
            <w:tcW w:w="10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Home Sales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Operations</w:t>
            </w: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5"/>
                <w:szCs w:val="15"/>
                <w:b w:val="1"/>
                <w:bCs w:val="1"/>
                <w:color w:val="auto"/>
              </w:rPr>
              <w:t>and Rentals</w:t>
            </w:r>
          </w:p>
        </w:tc>
        <w:tc>
          <w:tcPr>
            <w:tcW w:w="10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5"/>
                <w:szCs w:val="15"/>
                <w:b w:val="1"/>
                <w:bCs w:val="1"/>
                <w:color w:val="auto"/>
              </w:rPr>
              <w:t>Consolidated</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Operations</w:t>
            </w: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5"/>
                <w:szCs w:val="15"/>
                <w:b w:val="1"/>
                <w:bCs w:val="1"/>
                <w:color w:val="auto"/>
              </w:rPr>
              <w:t>and Rentals</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254"/>
        </w:trPr>
        <w:tc>
          <w:tcPr>
            <w:tcW w:w="4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247,980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56,059</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304,039</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225,261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53,589</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278,850</w:t>
            </w:r>
          </w:p>
        </w:tc>
        <w:tc>
          <w:tcPr>
            <w:tcW w:w="0" w:type="dxa"/>
            <w:vAlign w:val="bottom"/>
          </w:tcPr>
          <w:p>
            <w:pPr>
              <w:spacing w:after="0"/>
              <w:rPr>
                <w:sz w:val="1"/>
                <w:szCs w:val="1"/>
                <w:color w:val="auto"/>
              </w:rPr>
            </w:pPr>
          </w:p>
        </w:tc>
      </w:tr>
      <w:tr>
        <w:trPr>
          <w:trHeight w:val="266"/>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Operating expenses / Cost of sales</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88,715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35,526</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124,241</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80,340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34,109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114,449</w:t>
            </w:r>
          </w:p>
        </w:tc>
        <w:tc>
          <w:tcPr>
            <w:tcW w:w="0" w:type="dxa"/>
            <w:vAlign w:val="bottom"/>
          </w:tcPr>
          <w:p>
            <w:pPr>
              <w:spacing w:after="0"/>
              <w:rPr>
                <w:sz w:val="1"/>
                <w:szCs w:val="1"/>
                <w:color w:val="auto"/>
              </w:rPr>
            </w:pPr>
          </w:p>
        </w:tc>
      </w:tr>
      <w:tr>
        <w:trPr>
          <w:trHeight w:val="254"/>
        </w:trPr>
        <w:tc>
          <w:tcPr>
            <w:tcW w:w="428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Net Operating Income / Gross Profit</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159,265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20,533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179,798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144,921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19,480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164,401</w:t>
            </w:r>
          </w:p>
        </w:tc>
        <w:tc>
          <w:tcPr>
            <w:tcW w:w="0" w:type="dxa"/>
            <w:vAlign w:val="bottom"/>
          </w:tcPr>
          <w:p>
            <w:pPr>
              <w:spacing w:after="0"/>
              <w:rPr>
                <w:sz w:val="1"/>
                <w:szCs w:val="1"/>
                <w:color w:val="auto"/>
              </w:rPr>
            </w:pPr>
          </w:p>
        </w:tc>
      </w:tr>
      <w:tr>
        <w:trPr>
          <w:trHeight w:val="266"/>
        </w:trPr>
        <w:tc>
          <w:tcPr>
            <w:tcW w:w="4280" w:type="dxa"/>
            <w:vAlign w:val="bottom"/>
          </w:tcPr>
          <w:p>
            <w:pPr>
              <w:ind w:left="40"/>
              <w:spacing w:after="0"/>
              <w:rPr>
                <w:sz w:val="20"/>
                <w:szCs w:val="20"/>
                <w:color w:val="auto"/>
              </w:rPr>
            </w:pPr>
            <w:r>
              <w:rPr>
                <w:rFonts w:ascii="Arial" w:cs="Arial" w:eastAsia="Arial" w:hAnsi="Arial"/>
                <w:sz w:val="15"/>
                <w:szCs w:val="15"/>
                <w:color w:val="auto"/>
              </w:rPr>
              <w:t>Adjustments to arrive at net income / (loss)</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and other revenues, net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6,263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6,263</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8,480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8,480</w:t>
            </w:r>
          </w:p>
        </w:tc>
        <w:tc>
          <w:tcPr>
            <w:tcW w:w="0" w:type="dxa"/>
            <w:vAlign w:val="bottom"/>
          </w:tcPr>
          <w:p>
            <w:pPr>
              <w:spacing w:after="0"/>
              <w:rPr>
                <w:sz w:val="1"/>
                <w:szCs w:val="1"/>
                <w:color w:val="auto"/>
              </w:rPr>
            </w:pPr>
          </w:p>
        </w:tc>
      </w:tr>
      <w:tr>
        <w:trPr>
          <w:trHeight w:val="266"/>
        </w:trPr>
        <w:tc>
          <w:tcPr>
            <w:tcW w:w="4280" w:type="dxa"/>
            <w:vAlign w:val="bottom"/>
          </w:tcPr>
          <w:p>
            <w:pPr>
              <w:ind w:left="180"/>
              <w:spacing w:after="0"/>
              <w:rPr>
                <w:sz w:val="20"/>
                <w:szCs w:val="20"/>
                <w:color w:val="auto"/>
              </w:rPr>
            </w:pPr>
            <w:r>
              <w:rPr>
                <w:rFonts w:ascii="Arial" w:cs="Arial" w:eastAsia="Arial" w:hAnsi="Arial"/>
                <w:sz w:val="15"/>
                <w:szCs w:val="15"/>
                <w:color w:val="auto"/>
              </w:rPr>
              <w:t>Home selling expenses</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(3,992)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(3,992)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(3,324)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(3,324)</w:t>
            </w:r>
          </w:p>
        </w:tc>
        <w:tc>
          <w:tcPr>
            <w:tcW w:w="0" w:type="dxa"/>
            <w:vAlign w:val="bottom"/>
          </w:tcPr>
          <w:p>
            <w:pPr>
              <w:spacing w:after="0"/>
              <w:rPr>
                <w:sz w:val="1"/>
                <w:szCs w:val="1"/>
                <w:color w:val="auto"/>
              </w:rPr>
            </w:pPr>
          </w:p>
        </w:tc>
      </w:tr>
      <w:tr>
        <w:trPr>
          <w:trHeight w:val="274"/>
        </w:trPr>
        <w:tc>
          <w:tcPr>
            <w:tcW w:w="4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(19,234)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(21,887)</w:t>
            </w:r>
          </w:p>
        </w:tc>
        <w:tc>
          <w:tcPr>
            <w:tcW w:w="0" w:type="dxa"/>
            <w:vAlign w:val="bottom"/>
          </w:tcPr>
          <w:p>
            <w:pPr>
              <w:spacing w:after="0"/>
              <w:rPr>
                <w:sz w:val="1"/>
                <w:szCs w:val="1"/>
                <w:color w:val="auto"/>
              </w:rPr>
            </w:pPr>
          </w:p>
        </w:tc>
      </w:tr>
      <w:tr>
        <w:trPr>
          <w:trHeight w:val="266"/>
        </w:trPr>
        <w:tc>
          <w:tcPr>
            <w:tcW w:w="4280" w:type="dxa"/>
            <w:vAlign w:val="bottom"/>
          </w:tcPr>
          <w:p>
            <w:pPr>
              <w:ind w:left="180"/>
              <w:spacing w:after="0"/>
              <w:rPr>
                <w:sz w:val="20"/>
                <w:szCs w:val="20"/>
                <w:color w:val="auto"/>
              </w:rPr>
            </w:pPr>
            <w:r>
              <w:rPr>
                <w:rFonts w:ascii="Arial" w:cs="Arial" w:eastAsia="Arial" w:hAnsi="Arial"/>
                <w:sz w:val="15"/>
                <w:szCs w:val="15"/>
                <w:color w:val="auto"/>
              </w:rPr>
              <w:t>Catastrophic weather-related charges, net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(782)</w:t>
            </w:r>
          </w:p>
        </w:tc>
        <w:tc>
          <w:tcPr>
            <w:tcW w:w="0" w:type="dxa"/>
            <w:vAlign w:val="bottom"/>
          </w:tcPr>
          <w:p>
            <w:pPr>
              <w:spacing w:after="0"/>
              <w:rPr>
                <w:sz w:val="1"/>
                <w:szCs w:val="1"/>
                <w:color w:val="auto"/>
              </w:rPr>
            </w:pPr>
          </w:p>
        </w:tc>
      </w:tr>
      <w:tr>
        <w:trPr>
          <w:trHeight w:val="274"/>
        </w:trPr>
        <w:tc>
          <w:tcPr>
            <w:tcW w:w="4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(20,983)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(83,689)</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(58,245)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(18,311)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(76,556)</w:t>
            </w:r>
          </w:p>
        </w:tc>
        <w:tc>
          <w:tcPr>
            <w:tcW w:w="0" w:type="dxa"/>
            <w:vAlign w:val="bottom"/>
          </w:tcPr>
          <w:p>
            <w:pPr>
              <w:spacing w:after="0"/>
              <w:rPr>
                <w:sz w:val="1"/>
                <w:szCs w:val="1"/>
                <w:color w:val="auto"/>
              </w:rPr>
            </w:pPr>
          </w:p>
        </w:tc>
      </w:tr>
      <w:tr>
        <w:trPr>
          <w:trHeight w:val="266"/>
        </w:trPr>
        <w:tc>
          <w:tcPr>
            <w:tcW w:w="4280" w:type="dxa"/>
            <w:vAlign w:val="bottom"/>
          </w:tcPr>
          <w:p>
            <w:pPr>
              <w:ind w:left="18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(3,279)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(3,279)</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(653)</w:t>
            </w:r>
          </w:p>
        </w:tc>
        <w:tc>
          <w:tcPr>
            <w:tcW w:w="0" w:type="dxa"/>
            <w:vAlign w:val="bottom"/>
          </w:tcPr>
          <w:p>
            <w:pPr>
              <w:spacing w:after="0"/>
              <w:rPr>
                <w:sz w:val="1"/>
                <w:szCs w:val="1"/>
                <w:color w:val="auto"/>
              </w:rPr>
            </w:pPr>
          </w:p>
        </w:tc>
      </w:tr>
      <w:tr>
        <w:trPr>
          <w:trHeight w:val="274"/>
        </w:trPr>
        <w:tc>
          <w:tcPr>
            <w:tcW w:w="4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(32,416)</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(34,014)</w:t>
            </w:r>
          </w:p>
        </w:tc>
        <w:tc>
          <w:tcPr>
            <w:tcW w:w="0" w:type="dxa"/>
            <w:vAlign w:val="bottom"/>
          </w:tcPr>
          <w:p>
            <w:pPr>
              <w:spacing w:after="0"/>
              <w:rPr>
                <w:sz w:val="1"/>
                <w:szCs w:val="1"/>
                <w:color w:val="auto"/>
              </w:rPr>
            </w:pPr>
          </w:p>
        </w:tc>
      </w:tr>
      <w:tr>
        <w:trPr>
          <w:trHeight w:val="266"/>
        </w:trPr>
        <w:tc>
          <w:tcPr>
            <w:tcW w:w="4280" w:type="dxa"/>
            <w:vAlign w:val="bottom"/>
          </w:tcPr>
          <w:p>
            <w:pPr>
              <w:ind w:left="180"/>
              <w:spacing w:after="0"/>
              <w:rPr>
                <w:sz w:val="20"/>
                <w:szCs w:val="20"/>
                <w:color w:val="auto"/>
              </w:rPr>
            </w:pPr>
            <w:r>
              <w:rPr>
                <w:rFonts w:ascii="Arial" w:cs="Arial" w:eastAsia="Arial" w:hAnsi="Arial"/>
                <w:sz w:val="15"/>
                <w:szCs w:val="15"/>
                <w:color w:val="auto"/>
                <w:w w:val="98"/>
              </w:rPr>
              <w:t>Interest on mandatorily redeemable preferred OP units / equity</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(1,041)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(1,094)</w:t>
            </w:r>
          </w:p>
        </w:tc>
        <w:tc>
          <w:tcPr>
            <w:tcW w:w="0" w:type="dxa"/>
            <w:vAlign w:val="bottom"/>
          </w:tcPr>
          <w:p>
            <w:pPr>
              <w:spacing w:after="0"/>
              <w:rPr>
                <w:sz w:val="1"/>
                <w:szCs w:val="1"/>
                <w:color w:val="auto"/>
              </w:rPr>
            </w:pPr>
          </w:p>
        </w:tc>
      </w:tr>
      <w:tr>
        <w:trPr>
          <w:trHeight w:val="274"/>
        </w:trPr>
        <w:tc>
          <w:tcPr>
            <w:tcW w:w="4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Gain / (loss) on remeasurement of marketable securities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(28,647)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(28,647)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266"/>
        </w:trPr>
        <w:tc>
          <w:tcPr>
            <w:tcW w:w="4280" w:type="dxa"/>
            <w:vAlign w:val="bottom"/>
          </w:tcPr>
          <w:p>
            <w:pPr>
              <w:ind w:left="180"/>
              <w:spacing w:after="0"/>
              <w:rPr>
                <w:sz w:val="20"/>
                <w:szCs w:val="20"/>
                <w:color w:val="auto"/>
              </w:rPr>
            </w:pPr>
            <w:r>
              <w:rPr>
                <w:rFonts w:ascii="Arial" w:cs="Arial" w:eastAsia="Arial" w:hAnsi="Arial"/>
                <w:sz w:val="15"/>
                <w:szCs w:val="15"/>
                <w:color w:val="auto"/>
              </w:rPr>
              <w:t>Gain / (loss) on foreign currency translation</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(17,462)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(17,479)</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1,964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1,965</w:t>
            </w:r>
          </w:p>
        </w:tc>
        <w:tc>
          <w:tcPr>
            <w:tcW w:w="0" w:type="dxa"/>
            <w:vAlign w:val="bottom"/>
          </w:tcPr>
          <w:p>
            <w:pPr>
              <w:spacing w:after="0"/>
              <w:rPr>
                <w:sz w:val="1"/>
                <w:szCs w:val="1"/>
                <w:color w:val="auto"/>
              </w:rPr>
            </w:pPr>
          </w:p>
        </w:tc>
      </w:tr>
      <w:tr>
        <w:trPr>
          <w:trHeight w:val="274"/>
        </w:trPr>
        <w:tc>
          <w:tcPr>
            <w:tcW w:w="4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income / (expense), net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66"/>
        </w:trPr>
        <w:tc>
          <w:tcPr>
            <w:tcW w:w="4280" w:type="dxa"/>
            <w:vAlign w:val="bottom"/>
          </w:tcPr>
          <w:p>
            <w:pPr>
              <w:ind w:left="180"/>
              <w:spacing w:after="0"/>
              <w:rPr>
                <w:sz w:val="20"/>
                <w:szCs w:val="20"/>
                <w:color w:val="auto"/>
              </w:rPr>
            </w:pPr>
            <w:r>
              <w:rPr>
                <w:rFonts w:ascii="Arial" w:cs="Arial" w:eastAsia="Arial" w:hAnsi="Arial"/>
                <w:sz w:val="15"/>
                <w:szCs w:val="15"/>
                <w:color w:val="auto"/>
              </w:rPr>
              <w:t>Loss on remeasurement of notes receivable</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(2,112)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4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Income from nonconsolidated affiliates</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52</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388</w:t>
            </w:r>
          </w:p>
        </w:tc>
        <w:tc>
          <w:tcPr>
            <w:tcW w:w="0" w:type="dxa"/>
            <w:vAlign w:val="bottom"/>
          </w:tcPr>
          <w:p>
            <w:pPr>
              <w:spacing w:after="0"/>
              <w:rPr>
                <w:sz w:val="1"/>
                <w:szCs w:val="1"/>
                <w:color w:val="auto"/>
              </w:rPr>
            </w:pPr>
          </w:p>
        </w:tc>
      </w:tr>
      <w:tr>
        <w:trPr>
          <w:trHeight w:val="176"/>
        </w:trPr>
        <w:tc>
          <w:tcPr>
            <w:tcW w:w="4280" w:type="dxa"/>
            <w:vAlign w:val="bottom"/>
          </w:tcPr>
          <w:p>
            <w:pPr>
              <w:ind w:left="180"/>
              <w:spacing w:after="0"/>
              <w:rPr>
                <w:sz w:val="20"/>
                <w:szCs w:val="20"/>
                <w:color w:val="auto"/>
              </w:rPr>
            </w:pPr>
            <w:r>
              <w:rPr>
                <w:rFonts w:ascii="Arial" w:cs="Arial" w:eastAsia="Arial" w:hAnsi="Arial"/>
                <w:sz w:val="15"/>
                <w:szCs w:val="15"/>
                <w:color w:val="auto"/>
              </w:rPr>
              <w:t>Loss on remeasurement of investment in nonconsolidated</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80" w:type="dxa"/>
            <w:vAlign w:val="bottom"/>
          </w:tcPr>
          <w:p>
            <w:pPr>
              <w:ind w:left="180"/>
              <w:spacing w:after="0"/>
              <w:rPr>
                <w:sz w:val="20"/>
                <w:szCs w:val="20"/>
                <w:color w:val="auto"/>
              </w:rPr>
            </w:pPr>
            <w:r>
              <w:rPr>
                <w:rFonts w:ascii="Arial" w:cs="Arial" w:eastAsia="Arial" w:hAnsi="Arial"/>
                <w:sz w:val="15"/>
                <w:szCs w:val="15"/>
                <w:color w:val="auto"/>
              </w:rPr>
              <w:t>affiliates</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(2,191)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4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Current tax expense</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266"/>
        </w:trPr>
        <w:tc>
          <w:tcPr>
            <w:tcW w:w="4280" w:type="dxa"/>
            <w:vAlign w:val="bottom"/>
          </w:tcPr>
          <w:p>
            <w:pPr>
              <w:ind w:left="180"/>
              <w:spacing w:after="0"/>
              <w:rPr>
                <w:sz w:val="20"/>
                <w:szCs w:val="20"/>
                <w:color w:val="auto"/>
              </w:rPr>
            </w:pPr>
            <w:r>
              <w:rPr>
                <w:rFonts w:ascii="Arial" w:cs="Arial" w:eastAsia="Arial" w:hAnsi="Arial"/>
                <w:sz w:val="15"/>
                <w:szCs w:val="15"/>
                <w:color w:val="auto"/>
              </w:rPr>
              <w:t>Deferred tax benefit</w:t>
            </w:r>
          </w:p>
        </w:tc>
        <w:tc>
          <w:tcPr>
            <w:tcW w:w="140" w:type="dxa"/>
            <w:vAlign w:val="bottom"/>
          </w:tcPr>
          <w:p>
            <w:pPr>
              <w:spacing w:after="0"/>
              <w:rPr>
                <w:sz w:val="23"/>
                <w:szCs w:val="23"/>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130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217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254"/>
        </w:trPr>
        <w:tc>
          <w:tcPr>
            <w:tcW w:w="4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Net Income / (Loss)</w:t>
            </w:r>
          </w:p>
        </w:tc>
        <w:tc>
          <w:tcPr>
            <w:tcW w:w="1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(5,758)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(15,478)</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41,605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37,127</w:t>
            </w:r>
          </w:p>
        </w:tc>
        <w:tc>
          <w:tcPr>
            <w:tcW w:w="0" w:type="dxa"/>
            <w:vAlign w:val="bottom"/>
          </w:tcPr>
          <w:p>
            <w:pPr>
              <w:spacing w:after="0"/>
              <w:rPr>
                <w:sz w:val="1"/>
                <w:szCs w:val="1"/>
                <w:color w:val="auto"/>
              </w:rPr>
            </w:pPr>
          </w:p>
        </w:tc>
      </w:tr>
      <w:tr>
        <w:trPr>
          <w:trHeight w:val="266"/>
        </w:trPr>
        <w:tc>
          <w:tcPr>
            <w:tcW w:w="4280" w:type="dxa"/>
            <w:vAlign w:val="bottom"/>
          </w:tcPr>
          <w:p>
            <w:pPr>
              <w:ind w:left="380"/>
              <w:spacing w:after="0"/>
              <w:rPr>
                <w:sz w:val="20"/>
                <w:szCs w:val="20"/>
                <w:color w:val="auto"/>
              </w:rPr>
            </w:pPr>
            <w:r>
              <w:rPr>
                <w:rFonts w:ascii="Arial" w:cs="Arial" w:eastAsia="Arial" w:hAnsi="Arial"/>
                <w:sz w:val="15"/>
                <w:szCs w:val="15"/>
                <w:color w:val="auto"/>
              </w:rPr>
              <w:t>Less: Preferred return to preferred OP units / equity</w:t>
            </w:r>
          </w:p>
        </w:tc>
        <w:tc>
          <w:tcPr>
            <w:tcW w:w="140" w:type="dxa"/>
            <w:vAlign w:val="bottom"/>
          </w:tcPr>
          <w:p>
            <w:pPr>
              <w:spacing w:after="0"/>
              <w:rPr>
                <w:sz w:val="23"/>
                <w:szCs w:val="23"/>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1,570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1,570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1,323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1,323</w:t>
            </w:r>
          </w:p>
        </w:tc>
        <w:tc>
          <w:tcPr>
            <w:tcW w:w="0" w:type="dxa"/>
            <w:vAlign w:val="bottom"/>
          </w:tcPr>
          <w:p>
            <w:pPr>
              <w:spacing w:after="0"/>
              <w:rPr>
                <w:sz w:val="1"/>
                <w:szCs w:val="1"/>
                <w:color w:val="auto"/>
              </w:rPr>
            </w:pPr>
          </w:p>
        </w:tc>
      </w:tr>
      <w:tr>
        <w:trPr>
          <w:trHeight w:val="274"/>
        </w:trPr>
        <w:tc>
          <w:tcPr>
            <w:tcW w:w="4280" w:type="dxa"/>
            <w:vAlign w:val="bottom"/>
            <w:shd w:val="clear" w:color="auto" w:fill="CCEEFF"/>
          </w:tcPr>
          <w:p>
            <w:pPr>
              <w:ind w:left="380"/>
              <w:spacing w:after="0"/>
              <w:rPr>
                <w:sz w:val="20"/>
                <w:szCs w:val="20"/>
                <w:color w:val="auto"/>
              </w:rPr>
            </w:pPr>
            <w:r>
              <w:rPr>
                <w:rFonts w:ascii="Arial" w:cs="Arial" w:eastAsia="Arial" w:hAnsi="Arial"/>
                <w:sz w:val="15"/>
                <w:szCs w:val="15"/>
                <w:color w:val="auto"/>
                <w:w w:val="99"/>
              </w:rPr>
              <w:t>Less: Income / (loss) attributable to noncontrolling interests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(962)</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1,259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1,041</w:t>
            </w:r>
          </w:p>
        </w:tc>
        <w:tc>
          <w:tcPr>
            <w:tcW w:w="0" w:type="dxa"/>
            <w:vAlign w:val="bottom"/>
          </w:tcPr>
          <w:p>
            <w:pPr>
              <w:spacing w:after="0"/>
              <w:rPr>
                <w:sz w:val="1"/>
                <w:szCs w:val="1"/>
                <w:color w:val="auto"/>
              </w:rPr>
            </w:pPr>
          </w:p>
        </w:tc>
      </w:tr>
      <w:tr>
        <w:trPr>
          <w:trHeight w:val="246"/>
        </w:trPr>
        <w:tc>
          <w:tcPr>
            <w:tcW w:w="4280" w:type="dxa"/>
            <w:vAlign w:val="bottom"/>
          </w:tcPr>
          <w:p>
            <w:pPr>
              <w:ind w:left="180"/>
              <w:spacing w:after="0"/>
              <w:rPr>
                <w:sz w:val="20"/>
                <w:szCs w:val="20"/>
                <w:color w:val="auto"/>
              </w:rPr>
            </w:pPr>
            <w:r>
              <w:rPr>
                <w:rFonts w:ascii="Arial" w:cs="Arial" w:eastAsia="Arial" w:hAnsi="Arial"/>
                <w:sz w:val="15"/>
                <w:szCs w:val="15"/>
                <w:b w:val="1"/>
                <w:bCs w:val="1"/>
                <w:color w:val="auto"/>
                <w:w w:val="99"/>
              </w:rPr>
              <w:t>Net Income / (Loss) Attributable to Sun Communities, Inc.</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(6,773)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(9,313)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(16,086)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39,023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(4,260)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34,763</w:t>
            </w:r>
          </w:p>
        </w:tc>
        <w:tc>
          <w:tcPr>
            <w:tcW w:w="0" w:type="dxa"/>
            <w:vAlign w:val="bottom"/>
          </w:tcPr>
          <w:p>
            <w:pPr>
              <w:spacing w:after="0"/>
              <w:rPr>
                <w:sz w:val="1"/>
                <w:szCs w:val="1"/>
                <w:color w:val="auto"/>
              </w:rPr>
            </w:pPr>
          </w:p>
        </w:tc>
      </w:tr>
      <w:tr>
        <w:trPr>
          <w:trHeight w:val="274"/>
        </w:trPr>
        <w:tc>
          <w:tcPr>
            <w:tcW w:w="42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Preferred stock distribution</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432</w:t>
            </w:r>
          </w:p>
        </w:tc>
        <w:tc>
          <w:tcPr>
            <w:tcW w:w="0" w:type="dxa"/>
            <w:vAlign w:val="bottom"/>
          </w:tcPr>
          <w:p>
            <w:pPr>
              <w:spacing w:after="0"/>
              <w:rPr>
                <w:sz w:val="1"/>
                <w:szCs w:val="1"/>
                <w:color w:val="auto"/>
              </w:rPr>
            </w:pPr>
          </w:p>
        </w:tc>
      </w:tr>
      <w:tr>
        <w:trPr>
          <w:trHeight w:val="152"/>
        </w:trPr>
        <w:tc>
          <w:tcPr>
            <w:tcW w:w="4280" w:type="dxa"/>
            <w:vAlign w:val="bottom"/>
          </w:tcPr>
          <w:p>
            <w:pPr>
              <w:ind w:left="180"/>
              <w:spacing w:after="0" w:line="152" w:lineRule="exact"/>
              <w:rPr>
                <w:sz w:val="20"/>
                <w:szCs w:val="20"/>
                <w:color w:val="auto"/>
              </w:rPr>
            </w:pPr>
            <w:r>
              <w:rPr>
                <w:rFonts w:ascii="Arial" w:cs="Arial" w:eastAsia="Arial" w:hAnsi="Arial"/>
                <w:sz w:val="15"/>
                <w:szCs w:val="15"/>
                <w:b w:val="1"/>
                <w:bCs w:val="1"/>
                <w:color w:val="auto"/>
                <w:w w:val="99"/>
              </w:rPr>
              <w:t>Net Income / (Loss) Attributable to Sun Communities, Inc.</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(6,773)</w:t>
            </w:r>
          </w:p>
        </w:tc>
        <w:tc>
          <w:tcPr>
            <w:tcW w:w="12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(9,313)</w:t>
            </w:r>
          </w:p>
        </w:tc>
        <w:tc>
          <w:tcPr>
            <w:tcW w:w="12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(16,086)</w:t>
            </w:r>
          </w:p>
        </w:tc>
        <w:tc>
          <w:tcPr>
            <w:tcW w:w="220" w:type="dxa"/>
            <w:vAlign w:val="bottom"/>
          </w:tcPr>
          <w:p>
            <w:pPr>
              <w:spacing w:after="0"/>
              <w:rPr>
                <w:sz w:val="13"/>
                <w:szCs w:val="13"/>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38,591</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(4,260)</w:t>
            </w:r>
          </w:p>
        </w:tc>
        <w:tc>
          <w:tcPr>
            <w:tcW w:w="12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34,331</w:t>
            </w:r>
          </w:p>
        </w:tc>
        <w:tc>
          <w:tcPr>
            <w:tcW w:w="0" w:type="dxa"/>
            <w:vAlign w:val="bottom"/>
          </w:tcPr>
          <w:p>
            <w:pPr>
              <w:spacing w:after="0"/>
              <w:rPr>
                <w:sz w:val="1"/>
                <w:szCs w:val="1"/>
                <w:color w:val="auto"/>
              </w:rPr>
            </w:pPr>
          </w:p>
        </w:tc>
      </w:tr>
      <w:tr>
        <w:trPr>
          <w:trHeight w:val="198"/>
        </w:trPr>
        <w:tc>
          <w:tcPr>
            <w:tcW w:w="4280" w:type="dxa"/>
            <w:vAlign w:val="bottom"/>
          </w:tcPr>
          <w:p>
            <w:pPr>
              <w:ind w:left="180"/>
              <w:spacing w:after="0"/>
              <w:rPr>
                <w:sz w:val="20"/>
                <w:szCs w:val="20"/>
                <w:color w:val="auto"/>
              </w:rPr>
            </w:pPr>
            <w:r>
              <w:rPr>
                <w:rFonts w:ascii="Arial" w:cs="Arial" w:eastAsia="Arial" w:hAnsi="Arial"/>
                <w:sz w:val="15"/>
                <w:szCs w:val="15"/>
                <w:b w:val="1"/>
                <w:bCs w:val="1"/>
                <w:color w:val="auto"/>
              </w:rPr>
              <w:t>Common Stockholders</w:t>
            </w:r>
          </w:p>
        </w:tc>
        <w:tc>
          <w:tcPr>
            <w:tcW w:w="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3"/>
              </w:rPr>
              <w:t>March 31, 2020</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7"/>
          </w:tcPr>
          <w:p>
            <w:pPr>
              <w:jc w:val="right"/>
              <w:ind w:right="884"/>
              <w:spacing w:after="0"/>
              <w:rPr>
                <w:sz w:val="20"/>
                <w:szCs w:val="20"/>
                <w:color w:val="auto"/>
              </w:rPr>
            </w:pPr>
            <w:r>
              <w:rPr>
                <w:rFonts w:ascii="Arial" w:cs="Arial" w:eastAsia="Arial" w:hAnsi="Arial"/>
                <w:sz w:val="15"/>
                <w:szCs w:val="15"/>
                <w:b w:val="1"/>
                <w:bCs w:val="1"/>
                <w:color w:val="auto"/>
                <w:w w:val="91"/>
              </w:rPr>
              <w:t>December 31, 2019</w:t>
            </w:r>
          </w:p>
        </w:tc>
      </w:tr>
      <w:tr>
        <w:trPr>
          <w:trHeight w:val="169"/>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44"/>
              <w:spacing w:after="0" w:line="169" w:lineRule="exact"/>
              <w:rPr>
                <w:sz w:val="20"/>
                <w:szCs w:val="20"/>
                <w:color w:val="auto"/>
              </w:rPr>
            </w:pPr>
            <w:r>
              <w:rPr>
                <w:rFonts w:ascii="Arial" w:cs="Arial" w:eastAsia="Arial" w:hAnsi="Arial"/>
                <w:sz w:val="15"/>
                <w:szCs w:val="15"/>
                <w:b w:val="1"/>
                <w:bCs w:val="1"/>
                <w:color w:val="auto"/>
                <w:w w:val="92"/>
              </w:rPr>
              <w:t>Real Property</w:t>
            </w:r>
          </w:p>
        </w:tc>
        <w:tc>
          <w:tcPr>
            <w:tcW w:w="120" w:type="dxa"/>
            <w:vAlign w:val="bottom"/>
          </w:tcPr>
          <w:p>
            <w:pPr>
              <w:spacing w:after="0"/>
              <w:rPr>
                <w:sz w:val="14"/>
                <w:szCs w:val="14"/>
                <w:color w:val="auto"/>
              </w:rPr>
            </w:pPr>
          </w:p>
        </w:tc>
        <w:tc>
          <w:tcPr>
            <w:tcW w:w="1040" w:type="dxa"/>
            <w:vAlign w:val="bottom"/>
            <w:gridSpan w:val="3"/>
          </w:tcPr>
          <w:p>
            <w:pPr>
              <w:jc w:val="center"/>
              <w:ind w:right="120"/>
              <w:spacing w:after="0" w:line="169" w:lineRule="exact"/>
              <w:rPr>
                <w:sz w:val="20"/>
                <w:szCs w:val="20"/>
                <w:color w:val="auto"/>
              </w:rPr>
            </w:pPr>
            <w:r>
              <w:rPr>
                <w:rFonts w:ascii="Arial" w:cs="Arial" w:eastAsia="Arial" w:hAnsi="Arial"/>
                <w:sz w:val="15"/>
                <w:szCs w:val="15"/>
                <w:b w:val="1"/>
                <w:bCs w:val="1"/>
                <w:color w:val="auto"/>
                <w:w w:val="89"/>
              </w:rPr>
              <w:t>Home Sales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60"/>
              <w:spacing w:after="0" w:line="169" w:lineRule="exact"/>
              <w:rPr>
                <w:sz w:val="20"/>
                <w:szCs w:val="20"/>
                <w:color w:val="auto"/>
              </w:rPr>
            </w:pPr>
            <w:r>
              <w:rPr>
                <w:rFonts w:ascii="Arial" w:cs="Arial" w:eastAsia="Arial" w:hAnsi="Arial"/>
                <w:sz w:val="15"/>
                <w:szCs w:val="15"/>
                <w:b w:val="1"/>
                <w:bCs w:val="1"/>
                <w:color w:val="auto"/>
              </w:rPr>
              <w:t>Home Sales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0"/>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24"/>
              <w:spacing w:after="0"/>
              <w:rPr>
                <w:sz w:val="20"/>
                <w:szCs w:val="20"/>
                <w:color w:val="auto"/>
              </w:rPr>
            </w:pPr>
            <w:r>
              <w:rPr>
                <w:rFonts w:ascii="Arial" w:cs="Arial" w:eastAsia="Arial" w:hAnsi="Arial"/>
                <w:sz w:val="15"/>
                <w:szCs w:val="15"/>
                <w:b w:val="1"/>
                <w:bCs w:val="1"/>
                <w:color w:val="auto"/>
              </w:rPr>
              <w:t>Operations</w:t>
            </w:r>
          </w:p>
        </w:tc>
        <w:tc>
          <w:tcPr>
            <w:tcW w:w="120" w:type="dxa"/>
            <w:vAlign w:val="bottom"/>
          </w:tcPr>
          <w:p>
            <w:pPr>
              <w:spacing w:after="0"/>
              <w:rPr>
                <w:sz w:val="17"/>
                <w:szCs w:val="17"/>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1"/>
              </w:rPr>
              <w:t>and Rentals</w:t>
            </w: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5"/>
                <w:szCs w:val="15"/>
                <w:b w:val="1"/>
                <w:bCs w:val="1"/>
                <w:color w:val="auto"/>
              </w:rPr>
              <w:t>Consolidated</w:t>
            </w:r>
          </w:p>
        </w:tc>
        <w:tc>
          <w:tcPr>
            <w:tcW w:w="12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Operations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ind w:left="60"/>
              <w:spacing w:after="0"/>
              <w:rPr>
                <w:sz w:val="20"/>
                <w:szCs w:val="20"/>
                <w:color w:val="auto"/>
              </w:rPr>
            </w:pPr>
            <w:r>
              <w:rPr>
                <w:rFonts w:ascii="Arial" w:cs="Arial" w:eastAsia="Arial" w:hAnsi="Arial"/>
                <w:sz w:val="15"/>
                <w:szCs w:val="15"/>
                <w:b w:val="1"/>
                <w:bCs w:val="1"/>
                <w:color w:val="auto"/>
              </w:rPr>
              <w:t>and Rentals</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r>
      <w:tr>
        <w:trPr>
          <w:trHeight w:val="252"/>
        </w:trPr>
        <w:tc>
          <w:tcPr>
            <w:tcW w:w="4400" w:type="dxa"/>
            <w:vAlign w:val="bottom"/>
          </w:tcPr>
          <w:p>
            <w:pPr>
              <w:ind w:left="40"/>
              <w:spacing w:after="0"/>
              <w:rPr>
                <w:sz w:val="20"/>
                <w:szCs w:val="20"/>
                <w:color w:val="auto"/>
              </w:rPr>
            </w:pPr>
            <w:r>
              <w:rPr>
                <w:rFonts w:ascii="Arial" w:cs="Arial" w:eastAsia="Arial" w:hAnsi="Arial"/>
                <w:sz w:val="15"/>
                <w:szCs w:val="15"/>
                <w:b w:val="1"/>
                <w:bCs w:val="1"/>
                <w:color w:val="auto"/>
              </w:rPr>
              <w:t>Identifiable assets</w:t>
            </w:r>
          </w:p>
        </w:tc>
        <w:tc>
          <w:tcPr>
            <w:tcW w:w="1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74"/>
        </w:trPr>
        <w:tc>
          <w:tcPr>
            <w:tcW w:w="4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 property,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6,689,866</w:t>
            </w:r>
          </w:p>
        </w:tc>
        <w:tc>
          <w:tcPr>
            <w:tcW w:w="32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598,535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7,288,401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6,651,275</w:t>
            </w:r>
          </w:p>
        </w:tc>
        <w:tc>
          <w:tcPr>
            <w:tcW w:w="320" w:type="dxa"/>
            <w:vAlign w:val="bottom"/>
            <w:gridSpan w:val="3"/>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581,345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7,232,620</w:t>
            </w:r>
          </w:p>
        </w:tc>
      </w:tr>
      <w:tr>
        <w:trPr>
          <w:trHeight w:val="266"/>
        </w:trPr>
        <w:tc>
          <w:tcPr>
            <w:tcW w:w="4400" w:type="dxa"/>
            <w:vAlign w:val="bottom"/>
          </w:tcPr>
          <w:p>
            <w:pPr>
              <w:ind w:left="180"/>
              <w:spacing w:after="0"/>
              <w:rPr>
                <w:sz w:val="20"/>
                <w:szCs w:val="20"/>
                <w:color w:val="auto"/>
              </w:rPr>
            </w:pPr>
            <w:r>
              <w:rPr>
                <w:rFonts w:ascii="Arial" w:cs="Arial" w:eastAsia="Arial" w:hAnsi="Arial"/>
                <w:sz w:val="15"/>
                <w:szCs w:val="15"/>
                <w:color w:val="auto"/>
              </w:rPr>
              <w:t>Cash, cash equivalents and restricted cash</w:t>
            </w:r>
          </w:p>
        </w:tc>
        <w:tc>
          <w:tcPr>
            <w:tcW w:w="100" w:type="dxa"/>
            <w:vAlign w:val="bottom"/>
          </w:tcPr>
          <w:p>
            <w:pPr>
              <w:spacing w:after="0"/>
              <w:rPr>
                <w:sz w:val="23"/>
                <w:szCs w:val="23"/>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348,470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46,270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394,740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(8,346)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43,176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34,830</w:t>
            </w:r>
          </w:p>
        </w:tc>
      </w:tr>
      <w:tr>
        <w:trPr>
          <w:trHeight w:val="274"/>
        </w:trPr>
        <w:tc>
          <w:tcPr>
            <w:tcW w:w="4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Marketable securities</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55,602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55,602</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94,727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94,727</w:t>
            </w:r>
          </w:p>
        </w:tc>
      </w:tr>
      <w:tr>
        <w:trPr>
          <w:trHeight w:val="266"/>
        </w:trPr>
        <w:tc>
          <w:tcPr>
            <w:tcW w:w="4400" w:type="dxa"/>
            <w:vAlign w:val="bottom"/>
          </w:tcPr>
          <w:p>
            <w:pPr>
              <w:ind w:left="180"/>
              <w:spacing w:after="0"/>
              <w:rPr>
                <w:sz w:val="20"/>
                <w:szCs w:val="20"/>
                <w:color w:val="auto"/>
              </w:rPr>
            </w:pPr>
            <w:r>
              <w:rPr>
                <w:rFonts w:ascii="Arial" w:cs="Arial" w:eastAsia="Arial" w:hAnsi="Arial"/>
                <w:sz w:val="15"/>
                <w:szCs w:val="15"/>
                <w:color w:val="auto"/>
              </w:rPr>
              <w:t>Inventory of manufactured homes</w:t>
            </w:r>
          </w:p>
        </w:tc>
        <w:tc>
          <w:tcPr>
            <w:tcW w:w="100" w:type="dxa"/>
            <w:vAlign w:val="bottom"/>
          </w:tcPr>
          <w:p>
            <w:pPr>
              <w:spacing w:after="0"/>
              <w:rPr>
                <w:sz w:val="23"/>
                <w:szCs w:val="23"/>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128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64,308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64,436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62,061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62,061</w:t>
            </w:r>
          </w:p>
        </w:tc>
      </w:tr>
      <w:tr>
        <w:trPr>
          <w:trHeight w:val="274"/>
        </w:trPr>
        <w:tc>
          <w:tcPr>
            <w:tcW w:w="4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Notes and other receivables, net</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170,569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16,123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186,692</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142,509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15,417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157,926</w:t>
            </w:r>
          </w:p>
        </w:tc>
      </w:tr>
      <w:tr>
        <w:trPr>
          <w:trHeight w:val="266"/>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assets, net</w:t>
            </w: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163,864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55,312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219,176</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167,804</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52,092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219,896</w:t>
            </w:r>
          </w:p>
        </w:tc>
      </w:tr>
      <w:tr>
        <w:trPr>
          <w:trHeight w:val="240"/>
        </w:trPr>
        <w:tc>
          <w:tcPr>
            <w:tcW w:w="4400" w:type="dxa"/>
            <w:vAlign w:val="bottom"/>
            <w:shd w:val="clear" w:color="auto" w:fill="CCEEFF"/>
          </w:tcPr>
          <w:p>
            <w:pPr>
              <w:ind w:left="280"/>
              <w:spacing w:after="0"/>
              <w:rPr>
                <w:sz w:val="20"/>
                <w:szCs w:val="20"/>
                <w:color w:val="auto"/>
              </w:rPr>
            </w:pPr>
            <w:r>
              <w:rPr>
                <w:rFonts w:ascii="Arial" w:cs="Arial" w:eastAsia="Arial" w:hAnsi="Arial"/>
                <w:sz w:val="15"/>
                <w:szCs w:val="15"/>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7,428,499</w:t>
            </w:r>
          </w:p>
        </w:tc>
        <w:tc>
          <w:tcPr>
            <w:tcW w:w="32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780,548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8,209,047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7,047,969</w:t>
            </w:r>
          </w:p>
        </w:tc>
        <w:tc>
          <w:tcPr>
            <w:tcW w:w="320" w:type="dxa"/>
            <w:vAlign w:val="bottom"/>
            <w:gridSpan w:val="3"/>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754,091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7,802,060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6"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be taxed as a real estate investment trust (“REIT”) pursuant to Section 856(c) of the Internal Revenue Code of 1986, as amended (“Code”). In order for us to qualify as a REIT, at least 95 percent of our gross income in any year must be derived from qualifying sources. In addition, a REIT must distribute annually at least 90 percent of its REIT taxable income (calculated without any deduction for dividends paid and excluding capital gain) to its stockholders and meet other tests.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quarter ended March 31, 2020.</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REIT, we generally will not be subject to United States (“U.S.”) federal income taxes at the corporate level on the ordinary taxable income we distribute to our stockholders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The Company is also subject to local income taxes in Canada as a result of the acquisition in 2016 of certain properties located in Canada. We do not provide for withholding taxes on our undistributed earnings from our Canadian subsidiaries as they are reinvested and will continue to be reinvested indefinitely outside of the U.S. However, we are subject to Australian withholding taxes on distributions from our investment in Ingenia Communities Group.</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tax assets and liabilities reflect the impact of temporary differences between the amounts of assets and liabilities for financial reporting purposes and the bases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and basis differences between tax and U.S. GAAP on our Canadian investments. Our deferred tax assets that have a full valuation allowance relate to our taxable REIT subsidiaries business. Net deferred tax liabilities of $19.1 million and $21.0 million for Canadian entities have been recorded in relation to corporate entities and included in “Other liabilities” in our Consolidated Balance Sheets as of March 31, 2020 and December 31, 2019, respectively. There are no U.S. federal deferred tax assets or liabilities included in our Consolidated Balance Sheets as of March 31, 2020 and December 31, 2019.</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unrecognized tax benefits as of March 31, 2020 and 2019. We do not expect significant changes in tax positions that would result in unrecognized tax benefits within one year of March 31, 2020.</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March 31, 2020 we recorded a current tax expense for federal, state, Canadian income taxes and Australian withholding taxes of $0.5 million. For the three months ended March 31, 2019 we recorded a current tax expense for federal, state and Canadian income taxes of $0.2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and 2019, we recorded a deferred tax benefit of $0.1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 (Loss)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outstanding stock options and unvested restricted common shares. Our Operating Partnership has outstanding common OP units, Series A-1 preferred OP units, Series A-3 preferred OP units, Series C preferred OP units, Series D preferred OP units, Series E preferred OP units, and Aspen preferred OP Units, which, if converted or exercised, may impact dilution.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Computations of basic and diluted earnings / (loss) per share were as follows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61"/>
        </w:trPr>
        <w:tc>
          <w:tcPr>
            <w:tcW w:w="8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2020</w:t>
            </w:r>
          </w:p>
        </w:tc>
        <w:tc>
          <w:tcPr>
            <w:tcW w:w="160" w:type="dxa"/>
            <w:vAlign w:val="bottom"/>
          </w:tcPr>
          <w:p>
            <w:pPr>
              <w:spacing w:after="0"/>
              <w:rPr>
                <w:sz w:val="22"/>
                <w:szCs w:val="22"/>
                <w:color w:val="auto"/>
              </w:rPr>
            </w:pPr>
          </w:p>
        </w:tc>
        <w:tc>
          <w:tcPr>
            <w:tcW w:w="1280" w:type="dxa"/>
            <w:vAlign w:val="bottom"/>
          </w:tcPr>
          <w:p>
            <w:pPr>
              <w:jc w:val="right"/>
              <w:ind w:right="144"/>
              <w:spacing w:after="0"/>
              <w:rPr>
                <w:sz w:val="20"/>
                <w:szCs w:val="20"/>
                <w:color w:val="auto"/>
              </w:rPr>
            </w:pPr>
            <w:r>
              <w:rPr>
                <w:rFonts w:ascii="Arial" w:cs="Arial" w:eastAsia="Arial" w:hAnsi="Arial"/>
                <w:sz w:val="15"/>
                <w:szCs w:val="15"/>
                <w:b w:val="1"/>
                <w:bCs w:val="1"/>
                <w:color w:val="auto"/>
                <w:w w:val="97"/>
              </w:rPr>
              <w:t>March 31, 2019</w:t>
            </w:r>
          </w:p>
        </w:tc>
        <w:tc>
          <w:tcPr>
            <w:tcW w:w="0" w:type="dxa"/>
            <w:vAlign w:val="bottom"/>
          </w:tcPr>
          <w:p>
            <w:pPr>
              <w:spacing w:after="0"/>
              <w:rPr>
                <w:sz w:val="1"/>
                <w:szCs w:val="1"/>
                <w:color w:val="auto"/>
              </w:rPr>
            </w:pPr>
          </w:p>
        </w:tc>
      </w:tr>
      <w:tr>
        <w:trPr>
          <w:trHeight w:val="266"/>
        </w:trPr>
        <w:tc>
          <w:tcPr>
            <w:tcW w:w="8220" w:type="dxa"/>
            <w:vAlign w:val="bottom"/>
          </w:tcPr>
          <w:p>
            <w:pPr>
              <w:ind w:left="40"/>
              <w:spacing w:after="0"/>
              <w:rPr>
                <w:sz w:val="20"/>
                <w:szCs w:val="20"/>
                <w:color w:val="auto"/>
              </w:rPr>
            </w:pPr>
            <w:r>
              <w:rPr>
                <w:rFonts w:ascii="Arial" w:cs="Arial" w:eastAsia="Arial" w:hAnsi="Arial"/>
                <w:sz w:val="15"/>
                <w:szCs w:val="15"/>
                <w:b w:val="1"/>
                <w:bCs w:val="1"/>
                <w:color w:val="auto"/>
              </w:rPr>
              <w:t>Numerator</w:t>
            </w: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 / (Loss) Attributable to Sun Communities, Inc. Common Stockholders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34,331</w:t>
            </w:r>
          </w:p>
        </w:tc>
        <w:tc>
          <w:tcPr>
            <w:tcW w:w="0" w:type="dxa"/>
            <w:vAlign w:val="bottom"/>
          </w:tcPr>
          <w:p>
            <w:pPr>
              <w:spacing w:after="0"/>
              <w:rPr>
                <w:sz w:val="1"/>
                <w:szCs w:val="1"/>
                <w:color w:val="auto"/>
              </w:rPr>
            </w:pPr>
          </w:p>
        </w:tc>
      </w:tr>
      <w:tr>
        <w:trPr>
          <w:trHeight w:val="266"/>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Less allocation to restricted stock awards</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437</w:t>
            </w:r>
          </w:p>
        </w:tc>
        <w:tc>
          <w:tcPr>
            <w:tcW w:w="0" w:type="dxa"/>
            <w:vAlign w:val="bottom"/>
          </w:tcPr>
          <w:p>
            <w:pPr>
              <w:spacing w:after="0"/>
              <w:rPr>
                <w:sz w:val="1"/>
                <w:szCs w:val="1"/>
                <w:color w:val="auto"/>
              </w:rPr>
            </w:pPr>
          </w:p>
        </w:tc>
      </w:tr>
      <w:tr>
        <w:trPr>
          <w:trHeight w:val="254"/>
        </w:trPr>
        <w:tc>
          <w:tcPr>
            <w:tcW w:w="8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Basic earnings - Net income / (loss) attributable to common stockholders after allocation to restricted stock awards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(15,832)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33,894</w:t>
            </w:r>
          </w:p>
        </w:tc>
        <w:tc>
          <w:tcPr>
            <w:tcW w:w="0" w:type="dxa"/>
            <w:vAlign w:val="bottom"/>
          </w:tcPr>
          <w:p>
            <w:pPr>
              <w:spacing w:after="0"/>
              <w:rPr>
                <w:sz w:val="1"/>
                <w:szCs w:val="1"/>
                <w:color w:val="auto"/>
              </w:rPr>
            </w:pPr>
          </w:p>
        </w:tc>
      </w:tr>
      <w:tr>
        <w:trPr>
          <w:trHeight w:val="266"/>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Add allocation to restricted stock awards</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437</w:t>
            </w:r>
          </w:p>
        </w:tc>
        <w:tc>
          <w:tcPr>
            <w:tcW w:w="0" w:type="dxa"/>
            <w:vAlign w:val="bottom"/>
          </w:tcPr>
          <w:p>
            <w:pPr>
              <w:spacing w:after="0"/>
              <w:rPr>
                <w:sz w:val="1"/>
                <w:szCs w:val="1"/>
                <w:color w:val="auto"/>
              </w:rPr>
            </w:pPr>
          </w:p>
        </w:tc>
      </w:tr>
      <w:tr>
        <w:trPr>
          <w:trHeight w:val="241"/>
        </w:trPr>
        <w:tc>
          <w:tcPr>
            <w:tcW w:w="8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Diluted earnings - Net income attributable to common stockholders after allocation to restricted stock awards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(16,086)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34,331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b w:val="1"/>
                <w:bCs w:val="1"/>
                <w:color w:val="auto"/>
              </w:rPr>
              <w:t>Denominator</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8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Weighted average common shares outstanding</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92,410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85,520</w:t>
            </w:r>
          </w:p>
        </w:tc>
        <w:tc>
          <w:tcPr>
            <w:tcW w:w="0" w:type="dxa"/>
            <w:vAlign w:val="bottom"/>
          </w:tcPr>
          <w:p>
            <w:pPr>
              <w:spacing w:after="0"/>
              <w:rPr>
                <w:sz w:val="1"/>
                <w:szCs w:val="1"/>
                <w:color w:val="auto"/>
              </w:rPr>
            </w:pPr>
          </w:p>
        </w:tc>
      </w:tr>
      <w:tr>
        <w:trPr>
          <w:trHeight w:val="266"/>
        </w:trPr>
        <w:tc>
          <w:tcPr>
            <w:tcW w:w="8220" w:type="dxa"/>
            <w:vAlign w:val="bottom"/>
          </w:tcPr>
          <w:p>
            <w:pPr>
              <w:ind w:left="180"/>
              <w:spacing w:after="0"/>
              <w:rPr>
                <w:sz w:val="20"/>
                <w:szCs w:val="20"/>
                <w:color w:val="auto"/>
              </w:rPr>
            </w:pPr>
            <w:r>
              <w:rPr>
                <w:rFonts w:ascii="Arial" w:cs="Arial" w:eastAsia="Arial" w:hAnsi="Arial"/>
                <w:sz w:val="15"/>
                <w:szCs w:val="15"/>
                <w:color w:val="auto"/>
              </w:rPr>
              <w:t>Add: dilutive stock options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0"/>
        </w:trPr>
        <w:tc>
          <w:tcPr>
            <w:tcW w:w="8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Add: dilutive restricted stock</w:t>
            </w: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524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512</w:t>
            </w:r>
          </w:p>
        </w:tc>
        <w:tc>
          <w:tcPr>
            <w:tcW w:w="0" w:type="dxa"/>
            <w:vAlign w:val="bottom"/>
          </w:tcPr>
          <w:p>
            <w:pPr>
              <w:spacing w:after="0"/>
              <w:rPr>
                <w:sz w:val="1"/>
                <w:szCs w:val="1"/>
                <w:color w:val="auto"/>
              </w:rPr>
            </w:pPr>
          </w:p>
        </w:tc>
      </w:tr>
      <w:tr>
        <w:trPr>
          <w:trHeight w:val="281"/>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Diluted weighted average common shares and securities</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92,935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86,033</w:t>
            </w: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Earnings / (Loss) Per Share Available to Common Stockholders After Allocation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220" w:type="dxa"/>
            <w:vAlign w:val="bottom"/>
          </w:tcPr>
          <w:p>
            <w:pPr>
              <w:ind w:left="180"/>
              <w:spacing w:after="0"/>
              <w:rPr>
                <w:sz w:val="20"/>
                <w:szCs w:val="20"/>
                <w:color w:val="auto"/>
              </w:rPr>
            </w:pPr>
            <w:r>
              <w:rPr>
                <w:rFonts w:ascii="Arial" w:cs="Arial" w:eastAsia="Arial" w:hAnsi="Arial"/>
                <w:sz w:val="15"/>
                <w:szCs w:val="15"/>
                <w:color w:val="auto"/>
              </w:rPr>
              <w:t>Basic earnings / (loss) per share</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(0.17)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274"/>
        </w:trPr>
        <w:tc>
          <w:tcPr>
            <w:tcW w:w="8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Diluted earnings /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excluded certain convertible securities from the computation of diluted earnings per share because the inclusion of those securities would have been anti-dilutive for the periods presented. The following table presents the outstanding securities that were excluded from the computation of diluted earnings per share as of March 31, 2020 and 2019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1244"/>
              <w:spacing w:after="0"/>
              <w:rPr>
                <w:sz w:val="20"/>
                <w:szCs w:val="20"/>
                <w:color w:val="auto"/>
              </w:rPr>
            </w:pPr>
            <w:r>
              <w:rPr>
                <w:rFonts w:ascii="Arial" w:cs="Arial" w:eastAsia="Arial" w:hAnsi="Arial"/>
                <w:sz w:val="15"/>
                <w:szCs w:val="15"/>
                <w:b w:val="1"/>
                <w:bCs w:val="1"/>
                <w:color w:val="auto"/>
                <w:w w:val="85"/>
              </w:rPr>
              <w:t>As of</w:t>
            </w:r>
          </w:p>
        </w:tc>
      </w:tr>
      <w:tr>
        <w:trPr>
          <w:trHeight w:val="264"/>
        </w:trPr>
        <w:tc>
          <w:tcPr>
            <w:tcW w:w="82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March 31, 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March 31, 2019</w:t>
            </w:r>
          </w:p>
        </w:tc>
      </w:tr>
      <w:tr>
        <w:trPr>
          <w:trHeight w:val="254"/>
        </w:trPr>
        <w:tc>
          <w:tcPr>
            <w:tcW w:w="8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OP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2,408</w:t>
            </w:r>
          </w:p>
        </w:tc>
        <w:tc>
          <w:tcPr>
            <w:tcW w:w="1660" w:type="dxa"/>
            <w:vAlign w:val="bottom"/>
            <w:gridSpan w:val="3"/>
            <w:shd w:val="clear" w:color="auto" w:fill="CCEEFF"/>
          </w:tcPr>
          <w:p>
            <w:pPr>
              <w:jc w:val="right"/>
              <w:ind w:right="24"/>
              <w:spacing w:after="0"/>
              <w:rPr>
                <w:sz w:val="20"/>
                <w:szCs w:val="20"/>
                <w:color w:val="auto"/>
              </w:rPr>
            </w:pPr>
            <w:r>
              <w:rPr>
                <w:rFonts w:ascii="Arial" w:cs="Arial" w:eastAsia="Arial" w:hAnsi="Arial"/>
                <w:sz w:val="15"/>
                <w:szCs w:val="15"/>
                <w:color w:val="auto"/>
              </w:rPr>
              <w:t>2,719</w:t>
            </w:r>
          </w:p>
        </w:tc>
      </w:tr>
      <w:tr>
        <w:trPr>
          <w:trHeight w:val="266"/>
        </w:trPr>
        <w:tc>
          <w:tcPr>
            <w:tcW w:w="8220" w:type="dxa"/>
            <w:vAlign w:val="bottom"/>
          </w:tcPr>
          <w:p>
            <w:pPr>
              <w:ind w:left="40"/>
              <w:spacing w:after="0"/>
              <w:rPr>
                <w:sz w:val="20"/>
                <w:szCs w:val="20"/>
                <w:color w:val="auto"/>
              </w:rPr>
            </w:pPr>
            <w:r>
              <w:rPr>
                <w:rFonts w:ascii="Arial" w:cs="Arial" w:eastAsia="Arial" w:hAnsi="Arial"/>
                <w:sz w:val="15"/>
                <w:szCs w:val="15"/>
                <w:color w:val="auto"/>
              </w:rPr>
              <w:t>A-3 preferred OP units</w:t>
            </w:r>
          </w:p>
        </w:tc>
        <w:tc>
          <w:tcPr>
            <w:tcW w:w="1360" w:type="dxa"/>
            <w:vAlign w:val="bottom"/>
          </w:tcPr>
          <w:p>
            <w:pPr>
              <w:jc w:val="right"/>
              <w:spacing w:after="0"/>
              <w:rPr>
                <w:sz w:val="20"/>
                <w:szCs w:val="20"/>
                <w:color w:val="auto"/>
              </w:rPr>
            </w:pPr>
            <w:r>
              <w:rPr>
                <w:rFonts w:ascii="Arial" w:cs="Arial" w:eastAsia="Arial" w:hAnsi="Arial"/>
                <w:sz w:val="15"/>
                <w:szCs w:val="15"/>
                <w:color w:val="auto"/>
              </w:rPr>
              <w:t>40</w:t>
            </w:r>
          </w:p>
        </w:tc>
        <w:tc>
          <w:tcPr>
            <w:tcW w:w="1660" w:type="dxa"/>
            <w:vAlign w:val="bottom"/>
            <w:gridSpan w:val="3"/>
          </w:tcPr>
          <w:p>
            <w:pPr>
              <w:jc w:val="right"/>
              <w:ind w:right="24"/>
              <w:spacing w:after="0"/>
              <w:rPr>
                <w:sz w:val="20"/>
                <w:szCs w:val="20"/>
                <w:color w:val="auto"/>
              </w:rPr>
            </w:pPr>
            <w:r>
              <w:rPr>
                <w:rFonts w:ascii="Arial" w:cs="Arial" w:eastAsia="Arial" w:hAnsi="Arial"/>
                <w:sz w:val="15"/>
                <w:szCs w:val="15"/>
                <w:color w:val="auto"/>
              </w:rPr>
              <w:t>40</w:t>
            </w:r>
          </w:p>
        </w:tc>
      </w:tr>
      <w:tr>
        <w:trPr>
          <w:trHeight w:val="274"/>
        </w:trPr>
        <w:tc>
          <w:tcPr>
            <w:tcW w:w="8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A-1 preferred OP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w:t>
            </w:r>
          </w:p>
        </w:tc>
        <w:tc>
          <w:tcPr>
            <w:tcW w:w="1660" w:type="dxa"/>
            <w:vAlign w:val="bottom"/>
            <w:gridSpan w:val="3"/>
            <w:shd w:val="clear" w:color="auto" w:fill="CCEEFF"/>
          </w:tcPr>
          <w:p>
            <w:pPr>
              <w:jc w:val="right"/>
              <w:ind w:right="24"/>
              <w:spacing w:after="0"/>
              <w:rPr>
                <w:sz w:val="20"/>
                <w:szCs w:val="20"/>
                <w:color w:val="auto"/>
              </w:rPr>
            </w:pPr>
            <w:r>
              <w:rPr>
                <w:rFonts w:ascii="Arial" w:cs="Arial" w:eastAsia="Arial" w:hAnsi="Arial"/>
                <w:sz w:val="15"/>
                <w:szCs w:val="15"/>
                <w:color w:val="auto"/>
              </w:rPr>
              <w:t>328</w:t>
            </w:r>
          </w:p>
        </w:tc>
      </w:tr>
      <w:tr>
        <w:trPr>
          <w:trHeight w:val="266"/>
        </w:trPr>
        <w:tc>
          <w:tcPr>
            <w:tcW w:w="8220" w:type="dxa"/>
            <w:vAlign w:val="bottom"/>
          </w:tcPr>
          <w:p>
            <w:pPr>
              <w:ind w:left="40"/>
              <w:spacing w:after="0"/>
              <w:rPr>
                <w:sz w:val="20"/>
                <w:szCs w:val="20"/>
                <w:color w:val="auto"/>
              </w:rPr>
            </w:pPr>
            <w:r>
              <w:rPr>
                <w:rFonts w:ascii="Arial" w:cs="Arial" w:eastAsia="Arial" w:hAnsi="Arial"/>
                <w:sz w:val="15"/>
                <w:szCs w:val="15"/>
                <w:color w:val="auto"/>
              </w:rPr>
              <w:t>Series C preferred OP units</w:t>
            </w:r>
          </w:p>
        </w:tc>
        <w:tc>
          <w:tcPr>
            <w:tcW w:w="1360" w:type="dxa"/>
            <w:vAlign w:val="bottom"/>
          </w:tcPr>
          <w:p>
            <w:pPr>
              <w:jc w:val="right"/>
              <w:spacing w:after="0"/>
              <w:rPr>
                <w:sz w:val="20"/>
                <w:szCs w:val="20"/>
                <w:color w:val="auto"/>
              </w:rPr>
            </w:pPr>
            <w:r>
              <w:rPr>
                <w:rFonts w:ascii="Arial" w:cs="Arial" w:eastAsia="Arial" w:hAnsi="Arial"/>
                <w:sz w:val="15"/>
                <w:szCs w:val="15"/>
                <w:color w:val="auto"/>
              </w:rPr>
              <w:t>310</w:t>
            </w:r>
          </w:p>
        </w:tc>
        <w:tc>
          <w:tcPr>
            <w:tcW w:w="1660" w:type="dxa"/>
            <w:vAlign w:val="bottom"/>
            <w:gridSpan w:val="3"/>
          </w:tcPr>
          <w:p>
            <w:pPr>
              <w:jc w:val="right"/>
              <w:ind w:right="24"/>
              <w:spacing w:after="0"/>
              <w:rPr>
                <w:sz w:val="20"/>
                <w:szCs w:val="20"/>
                <w:color w:val="auto"/>
              </w:rPr>
            </w:pPr>
            <w:r>
              <w:rPr>
                <w:rFonts w:ascii="Arial" w:cs="Arial" w:eastAsia="Arial" w:hAnsi="Arial"/>
                <w:sz w:val="15"/>
                <w:szCs w:val="15"/>
                <w:color w:val="auto"/>
              </w:rPr>
              <w:t>314</w:t>
            </w:r>
          </w:p>
        </w:tc>
      </w:tr>
      <w:tr>
        <w:trPr>
          <w:trHeight w:val="274"/>
        </w:trPr>
        <w:tc>
          <w:tcPr>
            <w:tcW w:w="8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Series D preferred OP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w:t>
            </w:r>
          </w:p>
        </w:tc>
        <w:tc>
          <w:tcPr>
            <w:tcW w:w="1660" w:type="dxa"/>
            <w:vAlign w:val="bottom"/>
            <w:gridSpan w:val="3"/>
            <w:shd w:val="clear" w:color="auto" w:fill="CCEEFF"/>
          </w:tcPr>
          <w:p>
            <w:pPr>
              <w:jc w:val="right"/>
              <w:ind w:right="24"/>
              <w:spacing w:after="0"/>
              <w:rPr>
                <w:sz w:val="20"/>
                <w:szCs w:val="20"/>
                <w:color w:val="auto"/>
              </w:rPr>
            </w:pPr>
            <w:r>
              <w:rPr>
                <w:rFonts w:ascii="Arial" w:cs="Arial" w:eastAsia="Arial" w:hAnsi="Arial"/>
                <w:sz w:val="15"/>
                <w:szCs w:val="15"/>
                <w:color w:val="auto"/>
              </w:rPr>
              <w:t>489</w:t>
            </w:r>
          </w:p>
        </w:tc>
      </w:tr>
      <w:tr>
        <w:trPr>
          <w:trHeight w:val="266"/>
        </w:trPr>
        <w:tc>
          <w:tcPr>
            <w:tcW w:w="8220" w:type="dxa"/>
            <w:vAlign w:val="bottom"/>
          </w:tcPr>
          <w:p>
            <w:pPr>
              <w:ind w:left="40"/>
              <w:spacing w:after="0"/>
              <w:rPr>
                <w:sz w:val="20"/>
                <w:szCs w:val="20"/>
                <w:color w:val="auto"/>
              </w:rPr>
            </w:pPr>
            <w:r>
              <w:rPr>
                <w:rFonts w:ascii="Arial" w:cs="Arial" w:eastAsia="Arial" w:hAnsi="Arial"/>
                <w:sz w:val="15"/>
                <w:szCs w:val="15"/>
                <w:color w:val="auto"/>
              </w:rPr>
              <w:t>Aspen preferred OP units</w:t>
            </w:r>
          </w:p>
        </w:tc>
        <w:tc>
          <w:tcPr>
            <w:tcW w:w="1360" w:type="dxa"/>
            <w:vAlign w:val="bottom"/>
          </w:tcPr>
          <w:p>
            <w:pPr>
              <w:jc w:val="right"/>
              <w:spacing w:after="0"/>
              <w:rPr>
                <w:sz w:val="20"/>
                <w:szCs w:val="20"/>
                <w:color w:val="auto"/>
              </w:rPr>
            </w:pPr>
            <w:r>
              <w:rPr>
                <w:rFonts w:ascii="Arial" w:cs="Arial" w:eastAsia="Arial" w:hAnsi="Arial"/>
                <w:sz w:val="15"/>
                <w:szCs w:val="15"/>
                <w:color w:val="auto"/>
              </w:rPr>
              <w:t>1,284</w:t>
            </w:r>
          </w:p>
        </w:tc>
        <w:tc>
          <w:tcPr>
            <w:tcW w:w="1660" w:type="dxa"/>
            <w:vAlign w:val="bottom"/>
            <w:gridSpan w:val="3"/>
          </w:tcPr>
          <w:p>
            <w:pPr>
              <w:jc w:val="right"/>
              <w:ind w:right="24"/>
              <w:spacing w:after="0"/>
              <w:rPr>
                <w:sz w:val="20"/>
                <w:szCs w:val="20"/>
                <w:color w:val="auto"/>
              </w:rPr>
            </w:pPr>
            <w:r>
              <w:rPr>
                <w:rFonts w:ascii="Arial" w:cs="Arial" w:eastAsia="Arial" w:hAnsi="Arial"/>
                <w:sz w:val="15"/>
                <w:szCs w:val="15"/>
                <w:color w:val="auto"/>
              </w:rPr>
              <w:t>1,284</w:t>
            </w:r>
          </w:p>
        </w:tc>
      </w:tr>
      <w:tr>
        <w:trPr>
          <w:trHeight w:val="274"/>
        </w:trPr>
        <w:tc>
          <w:tcPr>
            <w:tcW w:w="8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Series E preferred OP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8220" w:type="dxa"/>
            <w:vAlign w:val="bottom"/>
          </w:tcPr>
          <w:p>
            <w:pPr>
              <w:ind w:left="40"/>
              <w:spacing w:after="0"/>
              <w:rPr>
                <w:sz w:val="20"/>
                <w:szCs w:val="20"/>
                <w:color w:val="auto"/>
              </w:rPr>
            </w:pPr>
            <w:r>
              <w:rPr>
                <w:rFonts w:ascii="Arial" w:cs="Arial" w:eastAsia="Arial" w:hAnsi="Arial"/>
                <w:sz w:val="15"/>
                <w:szCs w:val="15"/>
                <w:color w:val="auto"/>
              </w:rPr>
              <w:t>Series A-4 preferred stock</w:t>
            </w: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c>
          <w:tcPr>
            <w:tcW w:w="1660" w:type="dxa"/>
            <w:vAlign w:val="bottom"/>
            <w:gridSpan w:val="3"/>
          </w:tcPr>
          <w:p>
            <w:pPr>
              <w:jc w:val="right"/>
              <w:ind w:right="24"/>
              <w:spacing w:after="0"/>
              <w:rPr>
                <w:sz w:val="20"/>
                <w:szCs w:val="20"/>
                <w:color w:val="auto"/>
              </w:rPr>
            </w:pPr>
            <w:r>
              <w:rPr>
                <w:rFonts w:ascii="Arial" w:cs="Arial" w:eastAsia="Arial" w:hAnsi="Arial"/>
                <w:sz w:val="15"/>
                <w:szCs w:val="15"/>
                <w:color w:val="auto"/>
              </w:rPr>
              <w:t>1,063</w:t>
            </w: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A-4 preferred OP units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410</w:t>
            </w:r>
          </w:p>
        </w:tc>
      </w:tr>
      <w:tr>
        <w:trPr>
          <w:trHeight w:val="240"/>
        </w:trPr>
        <w:tc>
          <w:tcPr>
            <w:tcW w:w="8220" w:type="dxa"/>
            <w:vAlign w:val="bottom"/>
          </w:tcPr>
          <w:p>
            <w:pPr>
              <w:ind w:left="380"/>
              <w:spacing w:after="0"/>
              <w:rPr>
                <w:sz w:val="20"/>
                <w:szCs w:val="20"/>
                <w:color w:val="auto"/>
              </w:rPr>
            </w:pPr>
            <w:r>
              <w:rPr>
                <w:rFonts w:ascii="Arial" w:cs="Arial" w:eastAsia="Arial" w:hAnsi="Arial"/>
                <w:sz w:val="15"/>
                <w:szCs w:val="15"/>
                <w:b w:val="1"/>
                <w:bCs w:val="1"/>
                <w:color w:val="auto"/>
              </w:rPr>
              <w:t>Total Securities</w:t>
            </w:r>
          </w:p>
        </w:tc>
        <w:tc>
          <w:tcPr>
            <w:tcW w:w="1360" w:type="dxa"/>
            <w:vAlign w:val="bottom"/>
          </w:tcPr>
          <w:p>
            <w:pPr>
              <w:jc w:val="right"/>
              <w:spacing w:after="0"/>
              <w:rPr>
                <w:sz w:val="20"/>
                <w:szCs w:val="20"/>
                <w:color w:val="auto"/>
              </w:rPr>
            </w:pPr>
            <w:r>
              <w:rPr>
                <w:rFonts w:ascii="Arial" w:cs="Arial" w:eastAsia="Arial" w:hAnsi="Arial"/>
                <w:sz w:val="15"/>
                <w:szCs w:val="15"/>
                <w:color w:val="auto"/>
              </w:rPr>
              <w:t>4,924</w:t>
            </w:r>
          </w:p>
        </w:tc>
        <w:tc>
          <w:tcPr>
            <w:tcW w:w="1660" w:type="dxa"/>
            <w:vAlign w:val="bottom"/>
            <w:gridSpan w:val="3"/>
          </w:tcPr>
          <w:p>
            <w:pPr>
              <w:jc w:val="right"/>
              <w:ind w:right="24"/>
              <w:spacing w:after="0"/>
              <w:rPr>
                <w:sz w:val="20"/>
                <w:szCs w:val="20"/>
                <w:color w:val="auto"/>
              </w:rPr>
            </w:pPr>
            <w:r>
              <w:rPr>
                <w:rFonts w:ascii="Arial" w:cs="Arial" w:eastAsia="Arial" w:hAnsi="Arial"/>
                <w:sz w:val="15"/>
                <w:szCs w:val="15"/>
                <w:color w:val="auto"/>
              </w:rPr>
              <w:t>6,647</w:t>
            </w:r>
          </w:p>
        </w:tc>
      </w:tr>
      <w:tr>
        <w:trPr>
          <w:trHeight w:val="20"/>
        </w:trPr>
        <w:tc>
          <w:tcPr>
            <w:tcW w:w="8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instruments consist primarily of cash, cash equivalents and restricted cash, marketable securities, notes and other receivables, accounts payable, and debt.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the Company’s market assumption. This hierarchy requires the use of observable market data when available. These two types of inputs have created the following fair 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unadjusted prices for identical instruments in active markets;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3—Valuations derived from valuation techniques in which one or more significant inputs or significant value drivers are unobservable.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Marketable securities held by us and accounted for under the ASC 321 “</w:t>
      </w:r>
      <w:r>
        <w:rPr>
          <w:rFonts w:ascii="Arial" w:cs="Arial" w:eastAsia="Arial" w:hAnsi="Arial"/>
          <w:sz w:val="18"/>
          <w:szCs w:val="18"/>
          <w:i w:val="1"/>
          <w:iCs w:val="1"/>
          <w:color w:val="auto"/>
        </w:rPr>
        <w:t>Investment Equity Securities</w:t>
      </w:r>
      <w:r>
        <w:rPr>
          <w:rFonts w:ascii="Arial" w:cs="Arial" w:eastAsia="Arial" w:hAnsi="Arial"/>
          <w:sz w:val="18"/>
          <w:szCs w:val="18"/>
          <w:color w:val="auto"/>
        </w:rPr>
        <w:t>” are measured at fair value. Any change in fair value is recognized in the Consolidated Statement of Operations in Remeasurement of marketable securities in accordance with ASU 2016-01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Overall (Subtopic 825-10): Recognition and measurement of financial assets and financial liabilities</w:t>
      </w:r>
      <w:r>
        <w:rPr>
          <w:rFonts w:ascii="Arial" w:cs="Arial" w:eastAsia="Arial" w:hAnsi="Arial"/>
          <w:sz w:val="18"/>
          <w:szCs w:val="18"/>
          <w:color w:val="auto"/>
        </w:rPr>
        <w:t>.” The fair value is measured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quoted unadjusted share price which is readily available in active markets (Level 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marketable securities balance is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2020</w:t>
            </w:r>
          </w:p>
        </w:tc>
        <w:tc>
          <w:tcPr>
            <w:tcW w:w="180" w:type="dxa"/>
            <w:vAlign w:val="bottom"/>
          </w:tcPr>
          <w:p>
            <w:pPr>
              <w:spacing w:after="0"/>
              <w:rPr>
                <w:sz w:val="17"/>
                <w:szCs w:val="17"/>
                <w:color w:val="auto"/>
              </w:rPr>
            </w:pPr>
          </w:p>
        </w:tc>
        <w:tc>
          <w:tcPr>
            <w:tcW w:w="1600" w:type="dxa"/>
            <w:vAlign w:val="bottom"/>
          </w:tcPr>
          <w:p>
            <w:pPr>
              <w:jc w:val="right"/>
              <w:ind w:right="204"/>
              <w:spacing w:after="0"/>
              <w:rPr>
                <w:sz w:val="20"/>
                <w:szCs w:val="20"/>
                <w:color w:val="auto"/>
              </w:rPr>
            </w:pPr>
            <w:r>
              <w:rPr>
                <w:rFonts w:ascii="Arial" w:cs="Arial" w:eastAsia="Arial" w:hAnsi="Arial"/>
                <w:sz w:val="15"/>
                <w:szCs w:val="15"/>
                <w:b w:val="1"/>
                <w:bCs w:val="1"/>
                <w:color w:val="auto"/>
                <w:w w:val="96"/>
              </w:rPr>
              <w:t>December 31, 2019</w:t>
            </w:r>
          </w:p>
        </w:tc>
      </w:tr>
      <w:tr>
        <w:trPr>
          <w:trHeight w:val="254"/>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Beginning Balance</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94,727</w:t>
            </w:r>
          </w:p>
        </w:tc>
        <w:tc>
          <w:tcPr>
            <w:tcW w:w="2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49,037</w:t>
            </w:r>
          </w:p>
        </w:tc>
      </w:tr>
      <w:tr>
        <w:trPr>
          <w:trHeight w:val="266"/>
        </w:trPr>
        <w:tc>
          <w:tcPr>
            <w:tcW w:w="7440" w:type="dxa"/>
            <w:vAlign w:val="bottom"/>
          </w:tcPr>
          <w:p>
            <w:pPr>
              <w:ind w:left="280"/>
              <w:spacing w:after="0"/>
              <w:rPr>
                <w:sz w:val="20"/>
                <w:szCs w:val="20"/>
                <w:color w:val="auto"/>
              </w:rPr>
            </w:pPr>
            <w:r>
              <w:rPr>
                <w:rFonts w:ascii="Arial" w:cs="Arial" w:eastAsia="Arial" w:hAnsi="Arial"/>
                <w:sz w:val="15"/>
                <w:szCs w:val="15"/>
                <w:color w:val="auto"/>
              </w:rPr>
              <w:t>Additional purchase</w:t>
            </w:r>
          </w:p>
        </w:tc>
        <w:tc>
          <w:tcPr>
            <w:tcW w:w="240" w:type="dxa"/>
            <w:vAlign w:val="bottom"/>
          </w:tcPr>
          <w:p>
            <w:pPr>
              <w:spacing w:after="0"/>
              <w:rPr>
                <w:sz w:val="23"/>
                <w:szCs w:val="23"/>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8,995</w:t>
            </w:r>
          </w:p>
        </w:tc>
      </w:tr>
      <w:tr>
        <w:trPr>
          <w:trHeight w:val="274"/>
        </w:trPr>
        <w:tc>
          <w:tcPr>
            <w:tcW w:w="7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Change in fair value measurement</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(28,647)</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34,240</w:t>
            </w:r>
          </w:p>
        </w:tc>
      </w:tr>
      <w:tr>
        <w:trPr>
          <w:trHeight w:val="266"/>
        </w:trPr>
        <w:tc>
          <w:tcPr>
            <w:tcW w:w="7440" w:type="dxa"/>
            <w:vAlign w:val="bottom"/>
          </w:tcPr>
          <w:p>
            <w:pPr>
              <w:ind w:left="280"/>
              <w:spacing w:after="0"/>
              <w:rPr>
                <w:sz w:val="20"/>
                <w:szCs w:val="20"/>
                <w:color w:val="auto"/>
              </w:rPr>
            </w:pPr>
            <w:r>
              <w:rPr>
                <w:rFonts w:ascii="Arial" w:cs="Arial" w:eastAsia="Arial" w:hAnsi="Arial"/>
                <w:sz w:val="15"/>
                <w:szCs w:val="15"/>
                <w:color w:val="auto"/>
              </w:rPr>
              <w:t>Foreign currency translation adjustment</w:t>
            </w:r>
          </w:p>
        </w:tc>
        <w:tc>
          <w:tcPr>
            <w:tcW w:w="2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(11,414)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816</w:t>
            </w: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Dividend reinvestment, net of tax</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936</w:t>
            </w:r>
          </w:p>
        </w:tc>
        <w:tc>
          <w:tcPr>
            <w:tcW w:w="2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1,639</w:t>
            </w:r>
          </w:p>
        </w:tc>
      </w:tr>
      <w:tr>
        <w:trPr>
          <w:trHeight w:val="240"/>
        </w:trPr>
        <w:tc>
          <w:tcPr>
            <w:tcW w:w="7440" w:type="dxa"/>
            <w:vAlign w:val="bottom"/>
          </w:tcPr>
          <w:p>
            <w:pPr>
              <w:ind w:left="40"/>
              <w:spacing w:after="0"/>
              <w:rPr>
                <w:sz w:val="20"/>
                <w:szCs w:val="20"/>
                <w:color w:val="auto"/>
              </w:rPr>
            </w:pPr>
            <w:r>
              <w:rPr>
                <w:rFonts w:ascii="Arial" w:cs="Arial" w:eastAsia="Arial" w:hAnsi="Arial"/>
                <w:sz w:val="15"/>
                <w:szCs w:val="15"/>
                <w:b w:val="1"/>
                <w:bCs w:val="1"/>
                <w:color w:val="auto"/>
              </w:rPr>
              <w:t>Ending Balance</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55,602</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94,727</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Installment notes receivable on manufactured homes are recorded at fair value and are measured using model-derived indicative pricing using observable inputs, inclusive of default rates, interest rates and recovery rates (Level 2). Refer to Note 4, “Notes and Other Receivables.” and Note 17, “Recent Accounting Pronouncement.” for additional detail.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receivable from real estate developers are recorded at fair value and are measured using prevailing market interest rates (Level 2).The carrying values of those notes generally approximate their fair market values either due to the short-term nature of the note and/or the note being secured by underlying collateral and/or personal guarantees. Refer to Note 4, “Notes and Other Receivables.” and Note 17, “Recent Accounting Pronouncement.” for additional detail.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and Lines of Credit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long-term debt is based on the estimates of management and on rates currently quoted, rates currently prevailing for comparable loans, and instruments of comparable maturities (Level 2). Refer to Note 8, “Debt and Lines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the fair value of our contingent consideration liability based on discounting of future cash flows using market interest rates and adjusting for non-performance risk over the remaining term of the liability (Level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other receivables, and accounts payable approximate their fair market values due to the short-term nature of those instruments.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table below sets forth our financial assets and liabilities that required disclosure of fair value on a recurring basis as of March 31, 2020. The table presents the carrying values and fair values of our financial instruments as of March 31, 2020 and December 31, 2019, that were measured using the valuation techniques described above (in thousands). The table excludes other financial instruments such as cash and cash equivalents, other receivables, and accounts payable as the carrying values associated with these instruments approximate fair value since their maturities are less than one year.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5"/>
                <w:szCs w:val="15"/>
                <w:b w:val="1"/>
                <w:bCs w:val="1"/>
                <w:color w:val="auto"/>
              </w:rPr>
              <w:t>March 31, 2020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rPr>
              <w:t>December 31, 2019</w:t>
            </w:r>
          </w:p>
        </w:tc>
      </w:tr>
      <w:tr>
        <w:trPr>
          <w:trHeight w:val="169"/>
        </w:trPr>
        <w:tc>
          <w:tcPr>
            <w:tcW w:w="6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460"/>
              <w:spacing w:after="0" w:line="169" w:lineRule="exact"/>
              <w:rPr>
                <w:sz w:val="20"/>
                <w:szCs w:val="20"/>
                <w:color w:val="auto"/>
              </w:rPr>
            </w:pPr>
            <w:r>
              <w:rPr>
                <w:rFonts w:ascii="Arial" w:cs="Arial" w:eastAsia="Arial" w:hAnsi="Arial"/>
                <w:sz w:val="15"/>
                <w:szCs w:val="15"/>
                <w:b w:val="1"/>
                <w:bCs w:val="1"/>
                <w:color w:val="auto"/>
              </w:rPr>
              <w:t>Fair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44"/>
              <w:spacing w:after="0" w:line="169" w:lineRule="exact"/>
              <w:rPr>
                <w:sz w:val="20"/>
                <w:szCs w:val="20"/>
                <w:color w:val="auto"/>
              </w:rPr>
            </w:pPr>
            <w:r>
              <w:rPr>
                <w:rFonts w:ascii="Arial" w:cs="Arial" w:eastAsia="Arial" w:hAnsi="Arial"/>
                <w:sz w:val="15"/>
                <w:szCs w:val="15"/>
                <w:b w:val="1"/>
                <w:bCs w:val="1"/>
                <w:color w:val="auto"/>
              </w:rPr>
              <w:t>Fair</w:t>
            </w:r>
          </w:p>
        </w:tc>
      </w:tr>
      <w:tr>
        <w:trPr>
          <w:trHeight w:val="202"/>
        </w:trPr>
        <w:tc>
          <w:tcPr>
            <w:tcW w:w="6320" w:type="dxa"/>
            <w:vAlign w:val="bottom"/>
          </w:tcPr>
          <w:p>
            <w:pPr>
              <w:ind w:left="40"/>
              <w:spacing w:after="0"/>
              <w:rPr>
                <w:sz w:val="20"/>
                <w:szCs w:val="20"/>
                <w:color w:val="auto"/>
              </w:rPr>
            </w:pPr>
            <w:r>
              <w:rPr>
                <w:rFonts w:ascii="Arial" w:cs="Arial" w:eastAsia="Arial" w:hAnsi="Arial"/>
                <w:sz w:val="15"/>
                <w:szCs w:val="15"/>
                <w:b w:val="1"/>
                <w:bCs w:val="1"/>
                <w:color w:val="auto"/>
              </w:rPr>
              <w:t>Financial Assets</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Pr>
          <w:p>
            <w:pPr>
              <w:spacing w:after="0"/>
              <w:rPr>
                <w:sz w:val="17"/>
                <w:szCs w:val="17"/>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w w:val="89"/>
              </w:rPr>
              <w:t>Value</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Carrying Value</w:t>
            </w:r>
          </w:p>
        </w:tc>
        <w:tc>
          <w:tcPr>
            <w:tcW w:w="220" w:type="dxa"/>
            <w:vAlign w:val="bottom"/>
          </w:tcPr>
          <w:p>
            <w:pPr>
              <w:spacing w:after="0"/>
              <w:rPr>
                <w:sz w:val="17"/>
                <w:szCs w:val="17"/>
                <w:color w:val="auto"/>
              </w:rPr>
            </w:pPr>
          </w:p>
        </w:tc>
        <w:tc>
          <w:tcPr>
            <w:tcW w:w="880" w:type="dxa"/>
            <w:vAlign w:val="bottom"/>
          </w:tcPr>
          <w:p>
            <w:pPr>
              <w:jc w:val="right"/>
              <w:ind w:right="284"/>
              <w:spacing w:after="0"/>
              <w:rPr>
                <w:sz w:val="20"/>
                <w:szCs w:val="20"/>
                <w:color w:val="auto"/>
              </w:rPr>
            </w:pPr>
            <w:r>
              <w:rPr>
                <w:rFonts w:ascii="Arial" w:cs="Arial" w:eastAsia="Arial" w:hAnsi="Arial"/>
                <w:sz w:val="15"/>
                <w:szCs w:val="15"/>
                <w:b w:val="1"/>
                <w:bCs w:val="1"/>
                <w:color w:val="auto"/>
              </w:rPr>
              <w:t>Value</w:t>
            </w:r>
          </w:p>
        </w:tc>
      </w:tr>
      <w:tr>
        <w:trPr>
          <w:trHeight w:val="254"/>
        </w:trPr>
        <w:tc>
          <w:tcPr>
            <w:tcW w:w="6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Marketable securities</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55,602</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55,602</w:t>
            </w:r>
          </w:p>
        </w:tc>
        <w:tc>
          <w:tcPr>
            <w:tcW w:w="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94,727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94,727</w:t>
            </w:r>
          </w:p>
        </w:tc>
      </w:tr>
      <w:tr>
        <w:trPr>
          <w:trHeight w:val="266"/>
        </w:trPr>
        <w:tc>
          <w:tcPr>
            <w:tcW w:w="6320" w:type="dxa"/>
            <w:vAlign w:val="bottom"/>
          </w:tcPr>
          <w:p>
            <w:pPr>
              <w:ind w:left="180"/>
              <w:spacing w:after="0"/>
              <w:rPr>
                <w:sz w:val="20"/>
                <w:szCs w:val="20"/>
                <w:color w:val="auto"/>
              </w:rPr>
            </w:pPr>
            <w:r>
              <w:rPr>
                <w:rFonts w:ascii="Arial" w:cs="Arial" w:eastAsia="Arial" w:hAnsi="Arial"/>
                <w:sz w:val="15"/>
                <w:szCs w:val="15"/>
                <w:color w:val="auto"/>
              </w:rPr>
              <w:t>Installment notes receivable on manufactured homes, net</w:t>
            </w:r>
          </w:p>
        </w:tc>
        <w:tc>
          <w:tcPr>
            <w:tcW w:w="260" w:type="dxa"/>
            <w:vAlign w:val="bottom"/>
          </w:tcPr>
          <w:p>
            <w:pPr>
              <w:spacing w:after="0"/>
              <w:rPr>
                <w:sz w:val="23"/>
                <w:szCs w:val="23"/>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92,208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92,208</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95,580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95,580</w:t>
            </w:r>
          </w:p>
        </w:tc>
      </w:tr>
      <w:tr>
        <w:trPr>
          <w:trHeight w:val="270"/>
        </w:trPr>
        <w:tc>
          <w:tcPr>
            <w:tcW w:w="63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Notes receivable from real estate developers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37,481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37,481</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18,960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18,960</w:t>
            </w:r>
          </w:p>
        </w:tc>
      </w:tr>
      <w:tr>
        <w:trPr>
          <w:trHeight w:val="280"/>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5"/>
                <w:szCs w:val="15"/>
                <w:b w:val="1"/>
                <w:bCs w:val="1"/>
                <w:color w:val="auto"/>
              </w:rPr>
              <w:t>Total</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185,291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185,291</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209,267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209,267</w:t>
            </w:r>
          </w:p>
        </w:tc>
      </w:tr>
      <w:tr>
        <w:trPr>
          <w:trHeight w:val="264"/>
        </w:trPr>
        <w:tc>
          <w:tcPr>
            <w:tcW w:w="6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66"/>
        </w:trPr>
        <w:tc>
          <w:tcPr>
            <w:tcW w:w="6320" w:type="dxa"/>
            <w:vAlign w:val="bottom"/>
          </w:tcPr>
          <w:p>
            <w:pPr>
              <w:ind w:left="40"/>
              <w:spacing w:after="0"/>
              <w:rPr>
                <w:sz w:val="20"/>
                <w:szCs w:val="20"/>
                <w:color w:val="auto"/>
              </w:rPr>
            </w:pPr>
            <w:r>
              <w:rPr>
                <w:rFonts w:ascii="Arial" w:cs="Arial" w:eastAsia="Arial" w:hAnsi="Arial"/>
                <w:sz w:val="15"/>
                <w:szCs w:val="15"/>
                <w:b w:val="1"/>
                <w:bCs w:val="1"/>
                <w:color w:val="auto"/>
              </w:rPr>
              <w:t>Financial Liabilities</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63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Debt</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3,343,720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3,381,041</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3,250,504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3,270,544</w:t>
            </w:r>
          </w:p>
        </w:tc>
      </w:tr>
      <w:tr>
        <w:trPr>
          <w:trHeight w:val="266"/>
        </w:trPr>
        <w:tc>
          <w:tcPr>
            <w:tcW w:w="6320" w:type="dxa"/>
            <w:vAlign w:val="bottom"/>
          </w:tcPr>
          <w:p>
            <w:pPr>
              <w:ind w:left="180"/>
              <w:spacing w:after="0"/>
              <w:rPr>
                <w:sz w:val="20"/>
                <w:szCs w:val="20"/>
                <w:color w:val="auto"/>
              </w:rPr>
            </w:pPr>
            <w:r>
              <w:rPr>
                <w:rFonts w:ascii="Arial" w:cs="Arial" w:eastAsia="Arial" w:hAnsi="Arial"/>
                <w:sz w:val="15"/>
                <w:szCs w:val="15"/>
                <w:color w:val="auto"/>
              </w:rPr>
              <w:t>Lines of credit</w:t>
            </w:r>
          </w:p>
        </w:tc>
        <w:tc>
          <w:tcPr>
            <w:tcW w:w="260" w:type="dxa"/>
            <w:vAlign w:val="bottom"/>
          </w:tcPr>
          <w:p>
            <w:pPr>
              <w:spacing w:after="0"/>
              <w:rPr>
                <w:sz w:val="23"/>
                <w:szCs w:val="23"/>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582,774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582,774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183,898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183,898</w:t>
            </w:r>
          </w:p>
        </w:tc>
      </w:tr>
      <w:tr>
        <w:trPr>
          <w:trHeight w:val="270"/>
        </w:trPr>
        <w:tc>
          <w:tcPr>
            <w:tcW w:w="63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liabilities (contingent consideration)</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4,133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4,133</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6,134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6,134</w:t>
            </w:r>
          </w:p>
        </w:tc>
      </w:tr>
      <w:tr>
        <w:trPr>
          <w:trHeight w:val="240"/>
        </w:trPr>
        <w:tc>
          <w:tcPr>
            <w:tcW w:w="6320" w:type="dxa"/>
            <w:vAlign w:val="bottom"/>
          </w:tcPr>
          <w:p>
            <w:pPr>
              <w:ind w:left="180"/>
              <w:spacing w:after="0"/>
              <w:rPr>
                <w:sz w:val="20"/>
                <w:szCs w:val="20"/>
                <w:color w:val="auto"/>
              </w:rPr>
            </w:pPr>
            <w:r>
              <w:rPr>
                <w:rFonts w:ascii="Arial" w:cs="Arial" w:eastAsia="Arial" w:hAnsi="Arial"/>
                <w:sz w:val="15"/>
                <w:szCs w:val="15"/>
                <w:b w:val="1"/>
                <w:bCs w:val="1"/>
                <w:color w:val="auto"/>
              </w:rPr>
              <w:t>Total</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3,930,627</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3,967,948</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3,440,536</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3,460,576</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6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Lessee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non-cancellable leases as of the three months ended March 31, 2020 where we are the lessee include: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40" w:type="dxa"/>
            <w:vAlign w:val="bottom"/>
          </w:tcPr>
          <w:p>
            <w:pPr>
              <w:ind w:left="40"/>
              <w:spacing w:after="0"/>
              <w:rPr>
                <w:sz w:val="20"/>
                <w:szCs w:val="20"/>
                <w:color w:val="auto"/>
              </w:rPr>
            </w:pPr>
            <w:r>
              <w:rPr>
                <w:rFonts w:ascii="Arial" w:cs="Arial" w:eastAsia="Arial" w:hAnsi="Arial"/>
                <w:sz w:val="15"/>
                <w:szCs w:val="15"/>
                <w:b w:val="1"/>
                <w:bCs w:val="1"/>
                <w:color w:val="auto"/>
              </w:rPr>
              <w:t xml:space="preserve">Maturity of lease liabilities </w:t>
            </w:r>
            <w:r>
              <w:rPr>
                <w:rFonts w:ascii="Arial" w:cs="Arial" w:eastAsia="Arial" w:hAnsi="Arial"/>
                <w:sz w:val="15"/>
                <w:szCs w:val="15"/>
                <w:color w:val="auto"/>
              </w:rPr>
              <w:t>(in thousands)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74"/>
        </w:trPr>
        <w:tc>
          <w:tcPr>
            <w:tcW w:w="6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Leases</w:t>
            </w:r>
          </w:p>
        </w:tc>
        <w:tc>
          <w:tcPr>
            <w:tcW w:w="12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Arial" w:cs="Arial" w:eastAsia="Arial" w:hAnsi="Arial"/>
                <w:sz w:val="15"/>
                <w:szCs w:val="15"/>
                <w:b w:val="1"/>
                <w:bCs w:val="1"/>
                <w:color w:val="auto"/>
              </w:rPr>
              <w:t>Finance Leases</w:t>
            </w:r>
          </w:p>
        </w:tc>
        <w:tc>
          <w:tcPr>
            <w:tcW w:w="300" w:type="dxa"/>
            <w:vAlign w:val="bottom"/>
          </w:tcPr>
          <w:p>
            <w:pPr>
              <w:spacing w:after="0"/>
              <w:rPr>
                <w:sz w:val="23"/>
                <w:szCs w:val="23"/>
                <w:color w:val="auto"/>
              </w:rPr>
            </w:pPr>
          </w:p>
        </w:tc>
        <w:tc>
          <w:tcPr>
            <w:tcW w:w="1040" w:type="dxa"/>
            <w:vAlign w:val="bottom"/>
          </w:tcPr>
          <w:p>
            <w:pPr>
              <w:jc w:val="right"/>
              <w:ind w:right="424"/>
              <w:spacing w:after="0"/>
              <w:rPr>
                <w:sz w:val="20"/>
                <w:szCs w:val="20"/>
                <w:color w:val="auto"/>
              </w:rPr>
            </w:pPr>
            <w:r>
              <w:rPr>
                <w:rFonts w:ascii="Arial" w:cs="Arial" w:eastAsia="Arial" w:hAnsi="Arial"/>
                <w:sz w:val="15"/>
                <w:szCs w:val="15"/>
                <w:b w:val="1"/>
                <w:bCs w:val="1"/>
                <w:color w:val="auto"/>
              </w:rPr>
              <w:t>Total</w:t>
            </w:r>
          </w:p>
        </w:tc>
      </w:tr>
      <w:tr>
        <w:trPr>
          <w:trHeight w:val="254"/>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2020 (Excluding three months ended March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2,186</w:t>
            </w:r>
          </w:p>
        </w:tc>
        <w:tc>
          <w:tcPr>
            <w:tcW w:w="2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112</w:t>
            </w:r>
          </w:p>
        </w:tc>
        <w:tc>
          <w:tcPr>
            <w:tcW w:w="2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2,298</w:t>
            </w:r>
          </w:p>
        </w:tc>
      </w:tr>
      <w:tr>
        <w:trPr>
          <w:trHeight w:val="266"/>
        </w:trPr>
        <w:tc>
          <w:tcPr>
            <w:tcW w:w="6640" w:type="dxa"/>
            <w:vAlign w:val="bottom"/>
          </w:tcPr>
          <w:p>
            <w:pPr>
              <w:ind w:left="40"/>
              <w:spacing w:after="0"/>
              <w:rPr>
                <w:sz w:val="20"/>
                <w:szCs w:val="20"/>
                <w:color w:val="auto"/>
              </w:rPr>
            </w:pPr>
            <w:r>
              <w:rPr>
                <w:rFonts w:ascii="Arial" w:cs="Arial" w:eastAsia="Arial" w:hAnsi="Arial"/>
                <w:sz w:val="15"/>
                <w:szCs w:val="15"/>
                <w:color w:val="auto"/>
              </w:rPr>
              <w:t>2021</w:t>
            </w:r>
          </w:p>
        </w:tc>
        <w:tc>
          <w:tcPr>
            <w:tcW w:w="140" w:type="dxa"/>
            <w:vAlign w:val="bottom"/>
          </w:tcPr>
          <w:p>
            <w:pPr>
              <w:spacing w:after="0"/>
              <w:rPr>
                <w:sz w:val="23"/>
                <w:szCs w:val="23"/>
                <w:color w:val="auto"/>
              </w:rPr>
            </w:pP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2,842</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120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2,962</w:t>
            </w:r>
          </w:p>
        </w:tc>
      </w:tr>
      <w:tr>
        <w:trPr>
          <w:trHeight w:val="274"/>
        </w:trPr>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2022</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2,863</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120</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2,983</w:t>
            </w:r>
          </w:p>
        </w:tc>
      </w:tr>
      <w:tr>
        <w:trPr>
          <w:trHeight w:val="266"/>
        </w:trPr>
        <w:tc>
          <w:tcPr>
            <w:tcW w:w="6640" w:type="dxa"/>
            <w:vAlign w:val="bottom"/>
          </w:tcPr>
          <w:p>
            <w:pPr>
              <w:ind w:left="40"/>
              <w:spacing w:after="0"/>
              <w:rPr>
                <w:sz w:val="20"/>
                <w:szCs w:val="20"/>
                <w:color w:val="auto"/>
              </w:rPr>
            </w:pPr>
            <w:r>
              <w:rPr>
                <w:rFonts w:ascii="Arial" w:cs="Arial" w:eastAsia="Arial" w:hAnsi="Arial"/>
                <w:sz w:val="15"/>
                <w:szCs w:val="15"/>
                <w:color w:val="auto"/>
              </w:rPr>
              <w:t>2023</w:t>
            </w:r>
          </w:p>
        </w:tc>
        <w:tc>
          <w:tcPr>
            <w:tcW w:w="140" w:type="dxa"/>
            <w:vAlign w:val="bottom"/>
          </w:tcPr>
          <w:p>
            <w:pPr>
              <w:spacing w:after="0"/>
              <w:rPr>
                <w:sz w:val="23"/>
                <w:szCs w:val="23"/>
                <w:color w:val="auto"/>
              </w:rPr>
            </w:pP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2,994</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120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3,114</w:t>
            </w:r>
          </w:p>
        </w:tc>
      </w:tr>
      <w:tr>
        <w:trPr>
          <w:trHeight w:val="274"/>
        </w:trPr>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2024</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3,300</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4,060</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7,360</w:t>
            </w:r>
          </w:p>
        </w:tc>
      </w:tr>
      <w:tr>
        <w:trPr>
          <w:trHeight w:val="266"/>
        </w:trPr>
        <w:tc>
          <w:tcPr>
            <w:tcW w:w="6640" w:type="dxa"/>
            <w:vAlign w:val="bottom"/>
          </w:tcPr>
          <w:p>
            <w:pPr>
              <w:ind w:left="40"/>
              <w:spacing w:after="0"/>
              <w:rPr>
                <w:sz w:val="20"/>
                <w:szCs w:val="20"/>
                <w:color w:val="auto"/>
              </w:rPr>
            </w:pPr>
            <w:r>
              <w:rPr>
                <w:rFonts w:ascii="Arial" w:cs="Arial" w:eastAsia="Arial" w:hAnsi="Arial"/>
                <w:sz w:val="15"/>
                <w:szCs w:val="15"/>
                <w:color w:val="auto"/>
              </w:rPr>
              <w:t>Thereafter</w:t>
            </w:r>
          </w:p>
        </w:tc>
        <w:tc>
          <w:tcPr>
            <w:tcW w:w="140" w:type="dxa"/>
            <w:vAlign w:val="bottom"/>
          </w:tcPr>
          <w:p>
            <w:pPr>
              <w:spacing w:after="0"/>
              <w:rPr>
                <w:sz w:val="23"/>
                <w:szCs w:val="23"/>
                <w:color w:val="auto"/>
              </w:rPr>
            </w:pP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32,773</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32,773</w:t>
            </w:r>
          </w:p>
        </w:tc>
      </w:tr>
      <w:tr>
        <w:trPr>
          <w:trHeight w:val="254"/>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Total Lease Payments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46,958</w:t>
            </w:r>
          </w:p>
        </w:tc>
        <w:tc>
          <w:tcPr>
            <w:tcW w:w="2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4,532</w:t>
            </w:r>
          </w:p>
        </w:tc>
        <w:tc>
          <w:tcPr>
            <w:tcW w:w="2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51,490</w:t>
            </w:r>
          </w:p>
        </w:tc>
      </w:tr>
      <w:tr>
        <w:trPr>
          <w:trHeight w:val="266"/>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Imputed interest</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(20,875)</w:t>
            </w:r>
          </w:p>
        </w:tc>
        <w:tc>
          <w:tcPr>
            <w:tcW w:w="2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(433)</w:t>
            </w:r>
          </w:p>
        </w:tc>
        <w:tc>
          <w:tcPr>
            <w:tcW w:w="2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(21,308)</w:t>
            </w:r>
          </w:p>
        </w:tc>
      </w:tr>
      <w:tr>
        <w:trPr>
          <w:trHeight w:val="241"/>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26,083</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4,099</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30,182</w:t>
            </w: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ROU assets and lease liabilities for finance and operating leases as included in our Consolidated Financial Statements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40" w:type="dxa"/>
            <w:vAlign w:val="bottom"/>
            <w:gridSpan w:val="2"/>
          </w:tcPr>
          <w:p>
            <w:pPr>
              <w:ind w:left="40"/>
              <w:spacing w:after="0"/>
              <w:rPr>
                <w:sz w:val="20"/>
                <w:szCs w:val="20"/>
                <w:color w:val="auto"/>
              </w:rPr>
            </w:pPr>
            <w:r>
              <w:rPr>
                <w:rFonts w:ascii="Arial" w:cs="Arial" w:eastAsia="Arial" w:hAnsi="Arial"/>
                <w:sz w:val="15"/>
                <w:szCs w:val="15"/>
                <w:b w:val="1"/>
                <w:bCs w:val="1"/>
                <w:color w:val="auto"/>
              </w:rPr>
              <w:t xml:space="preserve">Lease Asset and Liabilities </w:t>
            </w:r>
            <w:r>
              <w:rPr>
                <w:rFonts w:ascii="Arial" w:cs="Arial" w:eastAsia="Arial" w:hAnsi="Arial"/>
                <w:sz w:val="15"/>
                <w:szCs w:val="15"/>
                <w:color w:val="auto"/>
              </w:rPr>
              <w:t>(in thousands)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42"/>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ind w:left="240"/>
              <w:spacing w:after="0"/>
              <w:rPr>
                <w:sz w:val="20"/>
                <w:szCs w:val="20"/>
                <w:color w:val="auto"/>
              </w:rPr>
            </w:pPr>
            <w:r>
              <w:rPr>
                <w:rFonts w:ascii="Arial" w:cs="Arial" w:eastAsia="Arial" w:hAnsi="Arial"/>
                <w:sz w:val="15"/>
                <w:szCs w:val="15"/>
                <w:b w:val="1"/>
                <w:bCs w:val="1"/>
                <w:color w:val="auto"/>
              </w:rPr>
              <w:t>Financial Statement</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2"/>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ind w:left="460"/>
              <w:spacing w:after="0"/>
              <w:rPr>
                <w:sz w:val="20"/>
                <w:szCs w:val="20"/>
                <w:color w:val="auto"/>
              </w:rPr>
            </w:pPr>
            <w:r>
              <w:rPr>
                <w:rFonts w:ascii="Arial" w:cs="Arial" w:eastAsia="Arial" w:hAnsi="Arial"/>
                <w:sz w:val="15"/>
                <w:szCs w:val="15"/>
                <w:b w:val="1"/>
                <w:bCs w:val="1"/>
                <w:color w:val="auto"/>
              </w:rPr>
              <w:t>Classification</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March 31, 2020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96"/>
              </w:rPr>
              <w:t>December 31, 2019</w:t>
            </w:r>
          </w:p>
        </w:tc>
      </w:tr>
      <w:tr>
        <w:trPr>
          <w:trHeight w:val="268"/>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Lease Assets</w:t>
            </w: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35"/>
        </w:trPr>
        <w:tc>
          <w:tcPr>
            <w:tcW w:w="5640" w:type="dxa"/>
            <w:vAlign w:val="bottom"/>
            <w:gridSpan w:val="2"/>
          </w:tcPr>
          <w:p>
            <w:pPr>
              <w:ind w:left="40"/>
              <w:spacing w:after="0"/>
              <w:rPr>
                <w:sz w:val="20"/>
                <w:szCs w:val="20"/>
                <w:color w:val="auto"/>
              </w:rPr>
            </w:pPr>
            <w:r>
              <w:rPr>
                <w:rFonts w:ascii="Arial" w:cs="Arial" w:eastAsia="Arial" w:hAnsi="Arial"/>
                <w:sz w:val="15"/>
                <w:szCs w:val="15"/>
                <w:color w:val="auto"/>
              </w:rPr>
              <w:t>Right-of-use asset obtained in exchange for new finance lease liabilities</w:t>
            </w:r>
          </w:p>
        </w:tc>
        <w:tc>
          <w:tcPr>
            <w:tcW w:w="1920" w:type="dxa"/>
            <w:vAlign w:val="bottom"/>
            <w:gridSpan w:val="2"/>
          </w:tcPr>
          <w:p>
            <w:pPr>
              <w:ind w:left="20"/>
              <w:spacing w:after="0"/>
              <w:rPr>
                <w:sz w:val="20"/>
                <w:szCs w:val="20"/>
                <w:color w:val="auto"/>
              </w:rPr>
            </w:pPr>
            <w:r>
              <w:rPr>
                <w:rFonts w:ascii="Arial" w:cs="Arial" w:eastAsia="Arial" w:hAnsi="Arial"/>
                <w:sz w:val="15"/>
                <w:szCs w:val="15"/>
                <w:color w:val="auto"/>
              </w:rPr>
              <w:t>Other asset, net</w:t>
            </w:r>
          </w:p>
        </w:tc>
        <w:tc>
          <w:tcPr>
            <w:tcW w:w="2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4"/>
              <w:spacing w:after="0"/>
              <w:rPr>
                <w:sz w:val="20"/>
                <w:szCs w:val="20"/>
                <w:color w:val="auto"/>
              </w:rPr>
            </w:pPr>
            <w:r>
              <w:rPr>
                <w:rFonts w:ascii="Arial" w:cs="Arial" w:eastAsia="Arial" w:hAnsi="Arial"/>
                <w:sz w:val="15"/>
                <w:szCs w:val="15"/>
                <w:color w:val="auto"/>
              </w:rPr>
              <w:t>4,099</w:t>
            </w:r>
          </w:p>
        </w:tc>
        <w:tc>
          <w:tcPr>
            <w:tcW w:w="120" w:type="dxa"/>
            <w:vAlign w:val="bottom"/>
          </w:tcPr>
          <w:p>
            <w:pPr>
              <w:spacing w:after="0"/>
              <w:rPr>
                <w:sz w:val="20"/>
                <w:szCs w:val="20"/>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4,081</w:t>
            </w:r>
          </w:p>
        </w:tc>
      </w:tr>
      <w:tr>
        <w:trPr>
          <w:trHeight w:val="35"/>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Right-of-use asset obtained in exchange for new operating lease liabilities</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Other asset, net</w:t>
            </w:r>
          </w:p>
        </w:tc>
        <w:tc>
          <w:tcPr>
            <w:tcW w:w="2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25,442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23,751</w:t>
            </w:r>
          </w:p>
        </w:tc>
      </w:tr>
      <w:tr>
        <w:trPr>
          <w:trHeight w:val="235"/>
        </w:trPr>
        <w:tc>
          <w:tcPr>
            <w:tcW w:w="5640" w:type="dxa"/>
            <w:vAlign w:val="bottom"/>
            <w:gridSpan w:val="2"/>
          </w:tcPr>
          <w:p>
            <w:pPr>
              <w:ind w:left="40"/>
              <w:spacing w:after="0"/>
              <w:rPr>
                <w:sz w:val="20"/>
                <w:szCs w:val="20"/>
                <w:color w:val="auto"/>
              </w:rPr>
            </w:pPr>
            <w:r>
              <w:rPr>
                <w:rFonts w:ascii="Arial" w:cs="Arial" w:eastAsia="Arial" w:hAnsi="Arial"/>
                <w:sz w:val="15"/>
                <w:szCs w:val="15"/>
                <w:color w:val="auto"/>
              </w:rPr>
              <w:t>Right-of-use asset obtained relative to below market operating lease</w:t>
            </w:r>
          </w:p>
        </w:tc>
        <w:tc>
          <w:tcPr>
            <w:tcW w:w="1920" w:type="dxa"/>
            <w:vAlign w:val="bottom"/>
            <w:gridSpan w:val="2"/>
          </w:tcPr>
          <w:p>
            <w:pPr>
              <w:ind w:left="20"/>
              <w:spacing w:after="0"/>
              <w:rPr>
                <w:sz w:val="20"/>
                <w:szCs w:val="20"/>
                <w:color w:val="auto"/>
              </w:rPr>
            </w:pPr>
            <w:r>
              <w:rPr>
                <w:rFonts w:ascii="Arial" w:cs="Arial" w:eastAsia="Arial" w:hAnsi="Arial"/>
                <w:sz w:val="15"/>
                <w:szCs w:val="15"/>
                <w:color w:val="auto"/>
              </w:rPr>
              <w:t>Other asset, net</w:t>
            </w:r>
          </w:p>
        </w:tc>
        <w:tc>
          <w:tcPr>
            <w:tcW w:w="2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4"/>
              <w:spacing w:after="0"/>
              <w:rPr>
                <w:sz w:val="20"/>
                <w:szCs w:val="20"/>
                <w:color w:val="auto"/>
              </w:rPr>
            </w:pPr>
            <w:r>
              <w:rPr>
                <w:rFonts w:ascii="Arial" w:cs="Arial" w:eastAsia="Arial" w:hAnsi="Arial"/>
                <w:sz w:val="15"/>
                <w:szCs w:val="15"/>
                <w:color w:val="auto"/>
              </w:rPr>
              <w:t>28,178</w:t>
            </w:r>
          </w:p>
        </w:tc>
        <w:tc>
          <w:tcPr>
            <w:tcW w:w="120" w:type="dxa"/>
            <w:vAlign w:val="bottom"/>
          </w:tcPr>
          <w:p>
            <w:pPr>
              <w:spacing w:after="0"/>
              <w:rPr>
                <w:sz w:val="20"/>
                <w:szCs w:val="20"/>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28,366</w:t>
            </w:r>
          </w:p>
        </w:tc>
      </w:tr>
      <w:tr>
        <w:trPr>
          <w:trHeight w:val="35"/>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0"/>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Lease Liabilities</w:t>
            </w: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35"/>
        </w:trPr>
        <w:tc>
          <w:tcPr>
            <w:tcW w:w="5640" w:type="dxa"/>
            <w:vAlign w:val="bottom"/>
            <w:gridSpan w:val="2"/>
          </w:tcPr>
          <w:p>
            <w:pPr>
              <w:ind w:left="40"/>
              <w:spacing w:after="0"/>
              <w:rPr>
                <w:sz w:val="20"/>
                <w:szCs w:val="20"/>
                <w:color w:val="auto"/>
              </w:rPr>
            </w:pPr>
            <w:r>
              <w:rPr>
                <w:rFonts w:ascii="Arial" w:cs="Arial" w:eastAsia="Arial" w:hAnsi="Arial"/>
                <w:sz w:val="15"/>
                <w:szCs w:val="15"/>
                <w:color w:val="auto"/>
              </w:rPr>
              <w:t>Finance lease liabilities</w:t>
            </w:r>
          </w:p>
        </w:tc>
        <w:tc>
          <w:tcPr>
            <w:tcW w:w="192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2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4"/>
              <w:spacing w:after="0"/>
              <w:rPr>
                <w:sz w:val="20"/>
                <w:szCs w:val="20"/>
                <w:color w:val="auto"/>
              </w:rPr>
            </w:pPr>
            <w:r>
              <w:rPr>
                <w:rFonts w:ascii="Arial" w:cs="Arial" w:eastAsia="Arial" w:hAnsi="Arial"/>
                <w:sz w:val="15"/>
                <w:szCs w:val="15"/>
                <w:color w:val="auto"/>
              </w:rPr>
              <w:t>4,099</w:t>
            </w:r>
          </w:p>
        </w:tc>
        <w:tc>
          <w:tcPr>
            <w:tcW w:w="120" w:type="dxa"/>
            <w:vAlign w:val="bottom"/>
          </w:tcPr>
          <w:p>
            <w:pPr>
              <w:spacing w:after="0"/>
              <w:rPr>
                <w:sz w:val="20"/>
                <w:szCs w:val="20"/>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4,081</w:t>
            </w:r>
          </w:p>
        </w:tc>
      </w:tr>
      <w:tr>
        <w:trPr>
          <w:trHeight w:val="35"/>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35"/>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Operating lease liabilities</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26,083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24,222</w:t>
            </w:r>
          </w:p>
        </w:tc>
      </w:tr>
      <w:tr>
        <w:trPr>
          <w:trHeight w:val="35"/>
        </w:trPr>
        <w:tc>
          <w:tcPr>
            <w:tcW w:w="5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finance and operating leases as included in our Consolidated Financial Statements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60" w:type="dxa"/>
            <w:vAlign w:val="bottom"/>
            <w:gridSpan w:val="2"/>
          </w:tcPr>
          <w:p>
            <w:pPr>
              <w:ind w:left="40"/>
              <w:spacing w:after="0"/>
              <w:rPr>
                <w:sz w:val="20"/>
                <w:szCs w:val="20"/>
                <w:color w:val="auto"/>
              </w:rPr>
            </w:pPr>
            <w:r>
              <w:rPr>
                <w:rFonts w:ascii="Arial" w:cs="Arial" w:eastAsia="Arial" w:hAnsi="Arial"/>
                <w:sz w:val="15"/>
                <w:szCs w:val="15"/>
                <w:b w:val="1"/>
                <w:bCs w:val="1"/>
                <w:color w:val="auto"/>
              </w:rPr>
              <w:t xml:space="preserve">Lease Expense </w:t>
            </w:r>
            <w:r>
              <w:rPr>
                <w:rFonts w:ascii="Arial" w:cs="Arial" w:eastAsia="Arial" w:hAnsi="Arial"/>
                <w:sz w:val="15"/>
                <w:szCs w:val="15"/>
                <w:color w:val="auto"/>
              </w:rPr>
              <w:t>(in thousands)</w:t>
            </w: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64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w w:val="95"/>
              </w:rPr>
              <w:t>Three Months Ended</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940" w:type="dxa"/>
            <w:vAlign w:val="bottom"/>
            <w:tcBorders>
              <w:bottom w:val="single" w:sz="8" w:color="auto"/>
            </w:tcBorders>
          </w:tcPr>
          <w:p>
            <w:pPr>
              <w:ind w:left="110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Borders>
              <w:bottom w:val="single" w:sz="8" w:color="CCEEFF"/>
            </w:tcBorders>
          </w:tcPr>
          <w:p>
            <w:pPr>
              <w:spacing w:after="0"/>
              <w:rPr>
                <w:sz w:val="23"/>
                <w:szCs w:val="23"/>
                <w:color w:val="auto"/>
              </w:rPr>
            </w:pPr>
          </w:p>
        </w:tc>
        <w:tc>
          <w:tcPr>
            <w:tcW w:w="4380" w:type="dxa"/>
            <w:vAlign w:val="bottom"/>
            <w:tcBorders>
              <w:bottom w:val="single" w:sz="8" w:color="auto"/>
            </w:tcBorders>
          </w:tcPr>
          <w:p>
            <w:pPr>
              <w:ind w:left="1080"/>
              <w:spacing w:after="0"/>
              <w:rPr>
                <w:sz w:val="20"/>
                <w:szCs w:val="20"/>
                <w:color w:val="auto"/>
              </w:rPr>
            </w:pPr>
            <w:r>
              <w:rPr>
                <w:rFonts w:ascii="Arial" w:cs="Arial" w:eastAsia="Arial" w:hAnsi="Arial"/>
                <w:sz w:val="15"/>
                <w:szCs w:val="15"/>
                <w:b w:val="1"/>
                <w:bCs w:val="1"/>
                <w:color w:val="auto"/>
              </w:rPr>
              <w:t>Financial Statement Classification</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March 31, 2020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March 31, 2019</w:t>
            </w:r>
          </w:p>
        </w:tc>
        <w:tc>
          <w:tcPr>
            <w:tcW w:w="0" w:type="dxa"/>
            <w:vAlign w:val="bottom"/>
          </w:tcPr>
          <w:p>
            <w:pPr>
              <w:spacing w:after="0"/>
              <w:rPr>
                <w:sz w:val="1"/>
                <w:szCs w:val="1"/>
                <w:color w:val="auto"/>
              </w:rPr>
            </w:pPr>
          </w:p>
        </w:tc>
      </w:tr>
      <w:tr>
        <w:trPr>
          <w:trHeight w:val="268"/>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Finance lease expense</w:t>
            </w:r>
          </w:p>
        </w:tc>
        <w:tc>
          <w:tcPr>
            <w:tcW w:w="4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60" w:type="dxa"/>
            <w:vAlign w:val="bottom"/>
            <w:gridSpan w:val="2"/>
          </w:tcPr>
          <w:p>
            <w:pPr>
              <w:ind w:left="180"/>
              <w:spacing w:after="0"/>
              <w:rPr>
                <w:sz w:val="20"/>
                <w:szCs w:val="20"/>
                <w:color w:val="auto"/>
              </w:rPr>
            </w:pPr>
            <w:r>
              <w:rPr>
                <w:rFonts w:ascii="Arial" w:cs="Arial" w:eastAsia="Arial" w:hAnsi="Arial"/>
                <w:sz w:val="15"/>
                <w:szCs w:val="15"/>
                <w:color w:val="auto"/>
              </w:rPr>
              <w:t>Amortization of right-of-use assets</w:t>
            </w:r>
          </w:p>
        </w:tc>
        <w:tc>
          <w:tcPr>
            <w:tcW w:w="450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74"/>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Interest on lease liabilities</w:t>
            </w: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0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administrative expense, Property operating and</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60" w:type="dxa"/>
            <w:vAlign w:val="bottom"/>
            <w:gridSpan w:val="2"/>
          </w:tcPr>
          <w:p>
            <w:pPr>
              <w:ind w:left="40"/>
              <w:spacing w:after="0"/>
              <w:rPr>
                <w:sz w:val="20"/>
                <w:szCs w:val="20"/>
                <w:color w:val="auto"/>
              </w:rPr>
            </w:pPr>
            <w:r>
              <w:rPr>
                <w:rFonts w:ascii="Arial" w:cs="Arial" w:eastAsia="Arial" w:hAnsi="Arial"/>
                <w:sz w:val="15"/>
                <w:szCs w:val="15"/>
                <w:color w:val="auto"/>
              </w:rPr>
              <w:t>Operating lease cost</w:t>
            </w:r>
          </w:p>
        </w:tc>
        <w:tc>
          <w:tcPr>
            <w:tcW w:w="4500" w:type="dxa"/>
            <w:vAlign w:val="bottom"/>
            <w:gridSpan w:val="2"/>
          </w:tcPr>
          <w:p>
            <w:pPr>
              <w:ind w:left="20"/>
              <w:spacing w:after="0"/>
              <w:rPr>
                <w:sz w:val="20"/>
                <w:szCs w:val="20"/>
                <w:color w:val="auto"/>
              </w:rPr>
            </w:pPr>
            <w:r>
              <w:rPr>
                <w:rFonts w:ascii="Arial" w:cs="Arial" w:eastAsia="Arial" w:hAnsi="Arial"/>
                <w:sz w:val="15"/>
                <w:szCs w:val="15"/>
                <w:color w:val="auto"/>
              </w:rPr>
              <w:t>maintenance</w:t>
            </w:r>
          </w:p>
        </w:tc>
        <w:tc>
          <w:tcPr>
            <w:tcW w:w="160" w:type="dxa"/>
            <w:vAlign w:val="bottom"/>
          </w:tcPr>
          <w:p>
            <w:pPr>
              <w:spacing w:after="0"/>
              <w:rPr>
                <w:sz w:val="17"/>
                <w:szCs w:val="17"/>
                <w:color w:val="auto"/>
              </w:rPr>
            </w:pPr>
          </w:p>
        </w:tc>
        <w:tc>
          <w:tcPr>
            <w:tcW w:w="1620" w:type="dxa"/>
            <w:vAlign w:val="bottom"/>
          </w:tcPr>
          <w:p>
            <w:pPr>
              <w:jc w:val="right"/>
              <w:ind w:right="24"/>
              <w:spacing w:after="0"/>
              <w:rPr>
                <w:sz w:val="20"/>
                <w:szCs w:val="20"/>
                <w:color w:val="auto"/>
              </w:rPr>
            </w:pPr>
            <w:r>
              <w:rPr>
                <w:rFonts w:ascii="Arial" w:cs="Arial" w:eastAsia="Arial" w:hAnsi="Arial"/>
                <w:sz w:val="15"/>
                <w:szCs w:val="15"/>
                <w:color w:val="auto"/>
              </w:rPr>
              <w:t>974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ind w:right="24"/>
              <w:spacing w:after="0"/>
              <w:rPr>
                <w:sz w:val="20"/>
                <w:szCs w:val="20"/>
                <w:color w:val="auto"/>
              </w:rPr>
            </w:pPr>
            <w:r>
              <w:rPr>
                <w:rFonts w:ascii="Arial" w:cs="Arial" w:eastAsia="Arial" w:hAnsi="Arial"/>
                <w:sz w:val="15"/>
                <w:szCs w:val="15"/>
                <w:color w:val="auto"/>
              </w:rPr>
              <w:t>822</w:t>
            </w:r>
          </w:p>
        </w:tc>
        <w:tc>
          <w:tcPr>
            <w:tcW w:w="0" w:type="dxa"/>
            <w:vAlign w:val="bottom"/>
          </w:tcPr>
          <w:p>
            <w:pPr>
              <w:spacing w:after="0"/>
              <w:rPr>
                <w:sz w:val="1"/>
                <w:szCs w:val="1"/>
                <w:color w:val="auto"/>
              </w:rPr>
            </w:pPr>
          </w:p>
        </w:tc>
      </w:tr>
      <w:tr>
        <w:trPr>
          <w:trHeight w:val="27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Variable lease cost</w:t>
            </w: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Property operating and maintenance</w:t>
            </w:r>
          </w:p>
        </w:tc>
        <w:tc>
          <w:tcPr>
            <w:tcW w:w="1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369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319</w:t>
            </w:r>
          </w:p>
        </w:tc>
        <w:tc>
          <w:tcPr>
            <w:tcW w:w="0" w:type="dxa"/>
            <w:vAlign w:val="bottom"/>
          </w:tcPr>
          <w:p>
            <w:pPr>
              <w:spacing w:after="0"/>
              <w:rPr>
                <w:sz w:val="1"/>
                <w:szCs w:val="1"/>
                <w:color w:val="auto"/>
              </w:rPr>
            </w:pPr>
          </w:p>
        </w:tc>
      </w:tr>
      <w:tr>
        <w:trPr>
          <w:trHeight w:val="240"/>
        </w:trPr>
        <w:tc>
          <w:tcPr>
            <w:tcW w:w="306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 Lease Expense</w:t>
            </w: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1,351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1,149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Lease term, discount rates and additional information for finance and operating leases are as follows: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Lease Term and Discount Rate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5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March 31, 2020</w:t>
            </w:r>
          </w:p>
        </w:tc>
      </w:tr>
      <w:tr>
        <w:trPr>
          <w:trHeight w:val="268"/>
        </w:trPr>
        <w:tc>
          <w:tcPr>
            <w:tcW w:w="9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Weighted-average remaining lease terms (years)</w:t>
            </w:r>
          </w:p>
        </w:tc>
        <w:tc>
          <w:tcPr>
            <w:tcW w:w="1720" w:type="dxa"/>
            <w:vAlign w:val="bottom"/>
            <w:shd w:val="clear" w:color="auto" w:fill="CCEEFF"/>
          </w:tcPr>
          <w:p>
            <w:pPr>
              <w:spacing w:after="0"/>
              <w:rPr>
                <w:sz w:val="23"/>
                <w:szCs w:val="23"/>
                <w:color w:val="auto"/>
              </w:rPr>
            </w:pPr>
          </w:p>
        </w:tc>
      </w:tr>
      <w:tr>
        <w:trPr>
          <w:trHeight w:val="266"/>
        </w:trPr>
        <w:tc>
          <w:tcPr>
            <w:tcW w:w="9520" w:type="dxa"/>
            <w:vAlign w:val="bottom"/>
          </w:tcPr>
          <w:p>
            <w:pPr>
              <w:ind w:left="180"/>
              <w:spacing w:after="0"/>
              <w:rPr>
                <w:sz w:val="20"/>
                <w:szCs w:val="20"/>
                <w:color w:val="auto"/>
              </w:rPr>
            </w:pPr>
            <w:r>
              <w:rPr>
                <w:rFonts w:ascii="Arial" w:cs="Arial" w:eastAsia="Arial" w:hAnsi="Arial"/>
                <w:sz w:val="15"/>
                <w:szCs w:val="15"/>
                <w:color w:val="auto"/>
              </w:rPr>
              <w:t>Finance lease</w:t>
            </w:r>
          </w:p>
        </w:tc>
        <w:tc>
          <w:tcPr>
            <w:tcW w:w="1720" w:type="dxa"/>
            <w:vAlign w:val="bottom"/>
          </w:tcPr>
          <w:p>
            <w:pPr>
              <w:jc w:val="right"/>
              <w:ind w:right="84"/>
              <w:spacing w:after="0"/>
              <w:rPr>
                <w:sz w:val="20"/>
                <w:szCs w:val="20"/>
                <w:color w:val="auto"/>
              </w:rPr>
            </w:pPr>
            <w:r>
              <w:rPr>
                <w:rFonts w:ascii="Arial" w:cs="Arial" w:eastAsia="Arial" w:hAnsi="Arial"/>
                <w:sz w:val="15"/>
                <w:szCs w:val="15"/>
                <w:color w:val="auto"/>
              </w:rPr>
              <w:t>4.25</w:t>
            </w:r>
          </w:p>
        </w:tc>
      </w:tr>
      <w:tr>
        <w:trPr>
          <w:trHeight w:val="274"/>
        </w:trPr>
        <w:tc>
          <w:tcPr>
            <w:tcW w:w="95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lease</w:t>
            </w:r>
          </w:p>
        </w:tc>
        <w:tc>
          <w:tcPr>
            <w:tcW w:w="1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25.60</w:t>
            </w:r>
          </w:p>
        </w:tc>
      </w:tr>
      <w:tr>
        <w:trPr>
          <w:trHeight w:val="266"/>
        </w:trPr>
        <w:tc>
          <w:tcPr>
            <w:tcW w:w="9520" w:type="dxa"/>
            <w:vAlign w:val="bottom"/>
          </w:tcPr>
          <w:p>
            <w:pPr>
              <w:ind w:left="40"/>
              <w:spacing w:after="0"/>
              <w:rPr>
                <w:sz w:val="20"/>
                <w:szCs w:val="20"/>
                <w:color w:val="auto"/>
              </w:rPr>
            </w:pPr>
            <w:r>
              <w:rPr>
                <w:rFonts w:ascii="Arial" w:cs="Arial" w:eastAsia="Arial" w:hAnsi="Arial"/>
                <w:sz w:val="15"/>
                <w:szCs w:val="15"/>
                <w:color w:val="auto"/>
              </w:rPr>
              <w:t>Weighted-average discount rate</w:t>
            </w:r>
          </w:p>
        </w:tc>
        <w:tc>
          <w:tcPr>
            <w:tcW w:w="1720" w:type="dxa"/>
            <w:vAlign w:val="bottom"/>
          </w:tcPr>
          <w:p>
            <w:pPr>
              <w:spacing w:after="0"/>
              <w:rPr>
                <w:sz w:val="23"/>
                <w:szCs w:val="23"/>
                <w:color w:val="auto"/>
              </w:rPr>
            </w:pPr>
          </w:p>
        </w:tc>
      </w:tr>
      <w:tr>
        <w:trPr>
          <w:trHeight w:val="274"/>
        </w:trPr>
        <w:tc>
          <w:tcPr>
            <w:tcW w:w="95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Finance lease</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r>
      <w:tr>
        <w:trPr>
          <w:trHeight w:val="262"/>
        </w:trPr>
        <w:tc>
          <w:tcPr>
            <w:tcW w:w="9520" w:type="dxa"/>
            <w:vAlign w:val="bottom"/>
          </w:tcPr>
          <w:p>
            <w:pPr>
              <w:ind w:left="180"/>
              <w:spacing w:after="0"/>
              <w:rPr>
                <w:sz w:val="20"/>
                <w:szCs w:val="20"/>
                <w:color w:val="auto"/>
              </w:rPr>
            </w:pPr>
            <w:r>
              <w:rPr>
                <w:rFonts w:ascii="Arial" w:cs="Arial" w:eastAsia="Arial" w:hAnsi="Arial"/>
                <w:sz w:val="15"/>
                <w:szCs w:val="15"/>
                <w:color w:val="auto"/>
              </w:rPr>
              <w:t>Operating lease</w:t>
            </w:r>
          </w:p>
        </w:tc>
        <w:tc>
          <w:tcPr>
            <w:tcW w:w="1720" w:type="dxa"/>
            <w:vAlign w:val="bottom"/>
          </w:tcPr>
          <w:p>
            <w:pPr>
              <w:jc w:val="right"/>
              <w:spacing w:after="0"/>
              <w:rPr>
                <w:sz w:val="20"/>
                <w:szCs w:val="20"/>
                <w:color w:val="auto"/>
              </w:rPr>
            </w:pPr>
            <w:r>
              <w:rPr>
                <w:rFonts w:ascii="Arial" w:cs="Arial" w:eastAsia="Arial" w:hAnsi="Arial"/>
                <w:sz w:val="15"/>
                <w:szCs w:val="15"/>
                <w:color w:val="auto"/>
              </w:rPr>
              <w:t>4.14%</w:t>
            </w:r>
          </w:p>
        </w:tc>
      </w:tr>
    </w:tbl>
    <w:p>
      <w:pPr>
        <w:spacing w:after="0" w:line="200" w:lineRule="exact"/>
        <w:rPr>
          <w:sz w:val="20"/>
          <w:szCs w:val="20"/>
          <w:color w:val="auto"/>
        </w:rPr>
      </w:pPr>
    </w:p>
    <w:p>
      <w:pPr>
        <w:sectPr>
          <w:pgSz w:w="11900" w:h="16838" w:orient="portrait"/>
          <w:cols w:equalWidth="0" w:num="1">
            <w:col w:w="11240"/>
          </w:cols>
          <w:pgMar w:left="320" w:top="126" w:right="339" w:bottom="642"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6" w:right="339" w:bottom="642"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 xml:space="preserve">Other Information </w:t>
            </w:r>
            <w:r>
              <w:rPr>
                <w:rFonts w:ascii="Arial" w:cs="Arial" w:eastAsia="Arial" w:hAnsi="Arial"/>
                <w:sz w:val="15"/>
                <w:szCs w:val="15"/>
                <w:color w:val="auto"/>
              </w:rPr>
              <w:t>(in thousands)</w:t>
            </w:r>
          </w:p>
        </w:tc>
        <w:tc>
          <w:tcPr>
            <w:tcW w:w="220" w:type="dxa"/>
            <w:vAlign w:val="bottom"/>
          </w:tcPr>
          <w:p>
            <w:pPr>
              <w:spacing w:after="0"/>
              <w:rPr>
                <w:sz w:val="17"/>
                <w:szCs w:val="17"/>
                <w:color w:val="auto"/>
              </w:rPr>
            </w:pPr>
          </w:p>
        </w:tc>
        <w:tc>
          <w:tcPr>
            <w:tcW w:w="3240" w:type="dxa"/>
            <w:vAlign w:val="bottom"/>
            <w:gridSpan w:val="4"/>
          </w:tcPr>
          <w:p>
            <w:pPr>
              <w:jc w:val="right"/>
              <w:ind w:right="944"/>
              <w:spacing w:after="0"/>
              <w:rPr>
                <w:sz w:val="20"/>
                <w:szCs w:val="20"/>
                <w:color w:val="auto"/>
              </w:rPr>
            </w:pPr>
            <w:r>
              <w:rPr>
                <w:rFonts w:ascii="Arial" w:cs="Arial" w:eastAsia="Arial" w:hAnsi="Arial"/>
                <w:sz w:val="15"/>
                <w:szCs w:val="15"/>
                <w:b w:val="1"/>
                <w:bCs w:val="1"/>
                <w:color w:val="auto"/>
              </w:rPr>
              <w:t>Three Months Ended</w:t>
            </w:r>
          </w:p>
        </w:tc>
      </w:tr>
      <w:tr>
        <w:trPr>
          <w:trHeight w:val="274"/>
        </w:trPr>
        <w:tc>
          <w:tcPr>
            <w:tcW w:w="7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2020</w:t>
            </w:r>
          </w:p>
        </w:tc>
        <w:tc>
          <w:tcPr>
            <w:tcW w:w="220" w:type="dxa"/>
            <w:vAlign w:val="bottom"/>
          </w:tcPr>
          <w:p>
            <w:pPr>
              <w:spacing w:after="0"/>
              <w:rPr>
                <w:sz w:val="23"/>
                <w:szCs w:val="23"/>
                <w:color w:val="auto"/>
              </w:rPr>
            </w:pPr>
          </w:p>
        </w:tc>
        <w:tc>
          <w:tcPr>
            <w:tcW w:w="1460" w:type="dxa"/>
            <w:vAlign w:val="bottom"/>
          </w:tcPr>
          <w:p>
            <w:pPr>
              <w:jc w:val="right"/>
              <w:ind w:right="264"/>
              <w:spacing w:after="0"/>
              <w:rPr>
                <w:sz w:val="20"/>
                <w:szCs w:val="20"/>
                <w:color w:val="auto"/>
              </w:rPr>
            </w:pPr>
            <w:r>
              <w:rPr>
                <w:rFonts w:ascii="Arial" w:cs="Arial" w:eastAsia="Arial" w:hAnsi="Arial"/>
                <w:sz w:val="15"/>
                <w:szCs w:val="15"/>
                <w:b w:val="1"/>
                <w:bCs w:val="1"/>
                <w:color w:val="auto"/>
              </w:rPr>
              <w:t>March 31, 2019</w:t>
            </w:r>
          </w:p>
        </w:tc>
      </w:tr>
      <w:tr>
        <w:trPr>
          <w:trHeight w:val="268"/>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22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r>
      <w:tr>
        <w:trPr>
          <w:trHeight w:val="266"/>
        </w:trPr>
        <w:tc>
          <w:tcPr>
            <w:tcW w:w="7780" w:type="dxa"/>
            <w:vAlign w:val="bottom"/>
          </w:tcPr>
          <w:p>
            <w:pPr>
              <w:ind w:left="180"/>
              <w:spacing w:after="0"/>
              <w:rPr>
                <w:sz w:val="20"/>
                <w:szCs w:val="20"/>
                <w:color w:val="auto"/>
              </w:rPr>
            </w:pPr>
            <w:r>
              <w:rPr>
                <w:rFonts w:ascii="Arial" w:cs="Arial" w:eastAsia="Arial" w:hAnsi="Arial"/>
                <w:sz w:val="15"/>
                <w:szCs w:val="15"/>
                <w:color w:val="auto"/>
              </w:rPr>
              <w:t>Operating Cash Flow from Operating leases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590</w:t>
            </w:r>
          </w:p>
        </w:tc>
        <w:tc>
          <w:tcPr>
            <w:tcW w:w="100" w:type="dxa"/>
            <w:vAlign w:val="bottom"/>
          </w:tcPr>
          <w:p>
            <w:pPr>
              <w:spacing w:after="0"/>
              <w:rPr>
                <w:sz w:val="23"/>
                <w:szCs w:val="23"/>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450</w:t>
            </w:r>
          </w:p>
        </w:tc>
      </w:tr>
      <w:tr>
        <w:trPr>
          <w:trHeight w:val="270"/>
        </w:trPr>
        <w:tc>
          <w:tcPr>
            <w:tcW w:w="77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Financing Cash Flow from Finance leases</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w:t>
            </w:r>
          </w:p>
        </w:tc>
      </w:tr>
      <w:tr>
        <w:trPr>
          <w:trHeight w:val="241"/>
        </w:trPr>
        <w:tc>
          <w:tcPr>
            <w:tcW w:w="7780" w:type="dxa"/>
            <w:vAlign w:val="bottom"/>
          </w:tcPr>
          <w:p>
            <w:pPr>
              <w:ind w:left="180"/>
              <w:spacing w:after="0"/>
              <w:rPr>
                <w:sz w:val="20"/>
                <w:szCs w:val="20"/>
                <w:color w:val="auto"/>
              </w:rPr>
            </w:pPr>
            <w:r>
              <w:rPr>
                <w:rFonts w:ascii="Arial" w:cs="Arial" w:eastAsia="Arial" w:hAnsi="Arial"/>
                <w:sz w:val="14"/>
                <w:szCs w:val="14"/>
                <w:b w:val="1"/>
                <w:bCs w:val="1"/>
                <w:color w:val="auto"/>
              </w:rPr>
              <w:t>Total Cash Paid on Lease Liabilities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598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458</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three months ended March 31, 2020, we have an additional executive office space operating lease for $2.9 million with a lease term of seven years.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Related Party Leases: Lease of Executive Offices. </w:t>
      </w:r>
      <w:r>
        <w:rPr>
          <w:rFonts w:ascii="Arial" w:cs="Arial" w:eastAsia="Arial" w:hAnsi="Arial"/>
          <w:sz w:val="17"/>
          <w:szCs w:val="17"/>
          <w:color w:val="auto"/>
        </w:rPr>
        <w:t>Gary A. Shiffman, together with certain of his family members, indirectly owns an equity interest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28.1 percent in American Center LLC, the entity from which we lease office space for our principal executive offices. Each of Brian M. Hermelin, Ronald A. Klein and Arthur A. Weiss indirectly owns a less than one percent interest in American Center LLC. Mr. Shiffman is our Chief Executive Officer and Chairman of the Board. Each of Mr. Hermelin, Mr. Klein and Mr. Weiss is a director of the Company. Under this agreement, we lease approximately 103,100 rentable square feet of permanent space. The initial term of the lease is until October 31, 2026, and the current average gross base rent is $18.95 per square foot until October 31, 2020 with graduated rental increases thereafter. We entered into an additional office space operating lease which commenced in January 2020. Under this agreement, we lease approximately 20,087 rentable square feet of permanent space. The initial term of the lease is until October 31, 2026 and the average gross base rent is $18.95 per square foot until October 31, 2020 with graduated rent increases thereafter. Each of Mr. Shiffman, Mr. Hermelin, Mr. Klein and Mr. Weiss may have a conflict of interest with respect to his obligations as our officer and/or director and his ownership interest in American Center LLC.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the lessor for any finance leases as of March 31, 2020. Over 95 percent of our operating leases where we are the lessor are either month to month or for a time period not to exceed one year. As of the reporting date, future minimum lease payments would not exceed twelve months. Similarly, over 94 percent of our investment property, net on the Consolidated Balance Sheets, and related depreciation amounts relate to assets whereby we are the lessor under an operating lease.</w:t>
      </w:r>
    </w:p>
    <w:p>
      <w:pPr>
        <w:spacing w:after="0" w:line="18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w:t>
      </w:r>
      <w:r>
        <w:rPr>
          <w:rFonts w:ascii="Arial" w:cs="Arial" w:eastAsia="Arial" w:hAnsi="Arial"/>
          <w:sz w:val="16"/>
          <w:szCs w:val="16"/>
          <w:i w:val="1"/>
          <w:iCs w:val="1"/>
          <w:color w:val="auto"/>
        </w:rPr>
        <w:t xml:space="preserve">” “CECL” </w:t>
      </w:r>
      <w:r>
        <w:rPr>
          <w:rFonts w:ascii="Arial" w:cs="Arial" w:eastAsia="Arial" w:hAnsi="Arial"/>
          <w:sz w:val="16"/>
          <w:szCs w:val="16"/>
          <w:color w:val="auto"/>
        </w:rPr>
        <w:t>This update replaces the incurred loss impairment methodology in current GAAP with a methodology that reflects expected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and requires consideration of a broader range of reasonable and supportable information to inform credit loss estimates. The amendments in this update are effective for fiscal years beginning after December 15, 2019, including interim periods within those fiscal years. As of January 1, 2020, we adopted the fair value option for our installment notes receivable on manufactured homes and the notes receivable within the GTSC JV which resulted in fair value adjustments of $1.6 million and $0.3 million, respectively. We also adopted the fair value option on notes receivable from real estate developers. The carrying values of those notes generally approximate their fair market values either due to the short-term nature of the loan and/or or the note being secured by underlying collateral and/or personal guarantees. The adoption of CECL had an immaterial impact on our remaining financial instruments within the CECL scope. Refer to Note 4, “Notes and Other Receivables.”, and Note 6. “Investment in Affiliates.” for additional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6" w:right="339" w:bottom="1440" w:gutter="0" w:footer="0" w:header="0"/>
        </w:sectPr>
      </w:pPr>
    </w:p>
    <w:bookmarkStart w:id="29" w:name="page30"/>
    <w:bookmarkEnd w:id="29"/>
    <w:p>
      <w:pPr>
        <w:jc w:val="center"/>
        <w:ind w:right="-1100"/>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evaluated our Consolidated Financial Statements for subsequent events through the date that this Form 10-Q was issued.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139"/>
          </w:cols>
          <w:pgMar w:left="320" w:top="126"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the consolidated financial condition and results of operations should be read in conjunction with the Consolidated Financial Statements and the accompanying Notes, along with our 2019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fully integrated, self-administered and self-managed REIT. As of March 31, 2020, we owned and operated or held an interest in a portfolio of 424 developed properties located in 33 states throughout the U.S. and one province in Canada, including 266 MH communities, 124 RV communities, and 34 properties containing both MH and RV sites.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in the business of acquiring, operating, developing, and expanding MH and RV communities since 1975. We lease individual sites with utility access for placement of manufactured homes and RVs to our customers. We are also engaged through SHS in the marketing, selling, and leasing of new and pre-owned homes to current and future residents in our communities. The operations of SHS support and enhance our occupancy levels, property performance,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implemented measures to mitigate the impact of COVID-19 on our business. These efforts include increasing our cash position, bolstering liquidity and eliminating, reducing or deferring non-essential expenditures. Additionally, our Board of Directors and executive officers have elected to forgo base compensation for at least the second quarter. Cost containment measures have also included the furlough of a group of team members and reductions in base compensation for certain non-furloughed team members. We will provide medical health coverage to furloughed team members, if enrolled, at no cost to the team member.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bolster liquidity, we increased unrestricted cash on hand as of March 31, 2020 to $382.5 million by drawing on our line of credit and completing a secured financing transaction for $230.0 million. As of March 31, 2020, there is $222.5 million of remaining capacity on the line of credit. We also have 143 unencumbered properties with an estimated asset value, as of March 31, 2020, of approximately $2.6 billion available to secure potential mortgage debt.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continuing to provide essential services using social distancing techniques and minimal contact. Our community offices are partially staffed with reduced hours and open for essential services only. To promote social distancing, we are encouraging our residents to use our online rent payment portals and other payment methods. Amenities have been closed at the direction of state and local municipalities and to prevent social gathering. We closely monitor and track stay-at-home orders by federal, state and local authorities and hold daily status calls with our operations and Main Office leadership teams. We have implemented remote working arrangements, wherever possible, to keep our team members safe and to do our part to promote social distancing.</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collected approximately 98 percent of our April MH rent to date. While we are experiencing lower traffic at the communities as would be expected with shelter-in-place mandates; we are still seeing demand for move-ins and expect less move-outs during this time.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halted all evictions and provided a hardship program to those residents who have been economically disadvantaged as a result of COVID-19. This hardship program defers the payment of April and May rent ratably over twelve months, commencing on July 1, 2020. As of April 21, 2020, less than three percent of residents in our MH communities, including owner occupied sites and rental home sites have applied and been approved for this program. We anticipate a majority of these residents have or will receive unemployment benefits and economic stimulus under the CARES Act which will aid in the payment of rent due. To the extent stay-at-home restrictions are not lifted, this program could be extended to provide additional temporary relief to residents. Due to the effects of COVID-19 on our residents, we have also suspended charging various fees, including late fees for delinquent payments, resident-paid fees for credit or debit card usage, non-sufficient funds fees, and incremental month to month fees if a resident lease terminates during the pandemic. We have also deferred certain increases to monthly rental rates.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of our RV resorts remain open, where government regulations permit, however all indoor and outdoor activities and gatherings have been suspended to encourage social distancing. Forty four RV resorts in the northern United States and Canada that normally would commence operations in early spring have had their openings delayed and do not yet have confirmed opening dates from local municipalities. To the extent stay-at-home orders and travel restrictions are not lifted, total RV revenue and related ancillary revenue from resort activities will be adversely impacted. For these resorts, peak demand is from Memorial Day weekend in May to Labor Day weekend in September.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3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remain committed to assisting individuals who are in the process of leasing a site or leasing or purchasing a home, while maintaining health and safety protocols including following strict social distancing. Virtual viewings of homes are being utilized to avoid or minimize contact. To the extent stay-at-home orders and travel restrictions are not lifted, home sale revenue will be adversely impacted.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2019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depreciation/amortization of real estate assets. In addition, NOI and FFO are commonly used in various ratios, pricing multiples/yields and returns and valuation calculations used to measure financial position, performance and value.</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NOI is derived from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FFO is defined by the National Association of Real Estate Investment Trusts (“NAREIT”) as GAAP net income (loss), excluding gains (or losses) from sales of depreciable operating property, plus real estate-related depreciation and amortization,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 We also use FFO excluding certain gain and loss items that management considers unrelated to the operational and financial performance of our core business (“Core FFO”). We believe that Core FFO provides enhanced comparability for investor evaluations of period-over-period results.</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FFO. The principal limitation of FFO is that it does not replace GAAP net income (loss) as a performance measure or GAAP cash flow from operations as a liquidity measure. Because FFO excludes significant economic components of GAAP net income (loss) including depreciation and amortization, FFO should be used as a supplement to GAAP net income (loss) and not as an alternative to it. Further,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3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 operating results under two segments: Real Property Operations and Home Sales and Rentals. The Real Property Operations segment owns, operates, develops, or has an interest in, a portfolio of MH and RV communities throughout the U.S. and in Canada, and is in the business of acquiring, operating, and expanding MH and RV communities. The Home Sales and Rentals segment offers MH and RV park model sales and leasing services to tenants and prospective tenants of our communities. We evaluate segment operating performance based on NOI and gross profit. Refer to Note 11, “Segment Reporting,” in our accompanying Consolidated Financial Statements for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Statements of Operations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extent to which the COVID-19 pandemic impacts our operations, financial condition and financial results will depend on future developments, which are highly uncertain and cannot be predicted with confidence, including the scope, severity and duration of the pandemic, the actions taken to contain the pandemic or mitigate its impact, and the direct and indirect economic effects of the pandemic and containment measures, among others. The rapid development and fluidity of this situation precludes any prediction as to the full adverse impact of the COVID-19 pandemic.</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Net income / (loss) attributable to Sun Communities, Inc. common stockholders to NOI and summarize our consolidated financial results for the three months ended March 31, 2020 and 2019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5"/>
                <w:szCs w:val="15"/>
                <w:b w:val="1"/>
                <w:bCs w:val="1"/>
                <w:color w:val="auto"/>
              </w:rPr>
              <w:t>Three Months Ended</w:t>
            </w:r>
          </w:p>
        </w:tc>
      </w:tr>
      <w:tr>
        <w:trPr>
          <w:trHeight w:val="263"/>
        </w:trPr>
        <w:tc>
          <w:tcPr>
            <w:tcW w:w="8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2020</w:t>
            </w:r>
          </w:p>
        </w:tc>
        <w:tc>
          <w:tcPr>
            <w:tcW w:w="140" w:type="dxa"/>
            <w:vAlign w:val="bottom"/>
          </w:tcPr>
          <w:p>
            <w:pPr>
              <w:spacing w:after="0"/>
              <w:rPr>
                <w:sz w:val="22"/>
                <w:szCs w:val="22"/>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March 31, 2019</w:t>
            </w:r>
          </w:p>
        </w:tc>
      </w:tr>
      <w:tr>
        <w:trPr>
          <w:trHeight w:val="254"/>
        </w:trPr>
        <w:tc>
          <w:tcPr>
            <w:tcW w:w="8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 / (Loss) Attributable to Sun Communities, Inc. Common Stockholders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(16,086)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34,331</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Other revenues</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(6,263)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(8,480)</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Home selling expenses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3,992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3,324</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25,517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21,887</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Catastrophic weather-related charges, net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606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782</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Depreciation and amortization</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83,689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76,556</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Loss on extinguishment of debt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3,279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653</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32,416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34,014</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 on mandatorily redeemable preferred OP units / equity</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1,094</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(Gain) / loss on remeasurement of marketable securities</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28,647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(267)</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(Gain) / loss on foreign currency translation</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17,479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(1,965)</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Other expense, net</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67</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Loss on remeasurement of notes receivable</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Income from nonconsolidated affiliates</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(388)</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Loss on remeasurement of investment in nonconsolidated affiliates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2,191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Current tax expense</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450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214</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tax benefit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Preferred return to preferred OP units / equity</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1,570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1,323</w:t>
            </w:r>
          </w:p>
        </w:tc>
      </w:tr>
      <w:tr>
        <w:trPr>
          <w:trHeight w:val="274"/>
        </w:trPr>
        <w:tc>
          <w:tcPr>
            <w:tcW w:w="8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 (loss) attributable to noncontrolling interests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1,041</w:t>
            </w:r>
          </w:p>
        </w:tc>
      </w:tr>
      <w:tr>
        <w:trPr>
          <w:trHeight w:val="266"/>
        </w:trPr>
        <w:tc>
          <w:tcPr>
            <w:tcW w:w="8440" w:type="dxa"/>
            <w:vAlign w:val="bottom"/>
          </w:tcPr>
          <w:p>
            <w:pPr>
              <w:ind w:left="280"/>
              <w:spacing w:after="0"/>
              <w:rPr>
                <w:sz w:val="20"/>
                <w:szCs w:val="20"/>
                <w:color w:val="auto"/>
              </w:rPr>
            </w:pPr>
            <w:r>
              <w:rPr>
                <w:rFonts w:ascii="Arial" w:cs="Arial" w:eastAsia="Arial" w:hAnsi="Arial"/>
                <w:sz w:val="15"/>
                <w:szCs w:val="15"/>
                <w:color w:val="auto"/>
              </w:rPr>
              <w:t>Preferred stock distribution</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432</w:t>
            </w:r>
          </w:p>
        </w:tc>
      </w:tr>
      <w:tr>
        <w:trPr>
          <w:trHeight w:val="240"/>
        </w:trPr>
        <w:tc>
          <w:tcPr>
            <w:tcW w:w="84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NOI / Gross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179,798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164,401</w:t>
            </w: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5"/>
                <w:szCs w:val="15"/>
                <w:b w:val="1"/>
                <w:bCs w:val="1"/>
                <w:color w:val="auto"/>
              </w:rPr>
              <w:t>Three Months Ended</w:t>
            </w:r>
          </w:p>
        </w:tc>
      </w:tr>
      <w:tr>
        <w:trPr>
          <w:trHeight w:val="263"/>
        </w:trPr>
        <w:tc>
          <w:tcPr>
            <w:tcW w:w="8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2020</w:t>
            </w:r>
          </w:p>
        </w:tc>
        <w:tc>
          <w:tcPr>
            <w:tcW w:w="140" w:type="dxa"/>
            <w:vAlign w:val="bottom"/>
          </w:tcPr>
          <w:p>
            <w:pPr>
              <w:spacing w:after="0"/>
              <w:rPr>
                <w:sz w:val="22"/>
                <w:szCs w:val="22"/>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March 31, 2019</w:t>
            </w:r>
          </w:p>
        </w:tc>
      </w:tr>
      <w:tr>
        <w:trPr>
          <w:trHeight w:val="254"/>
        </w:trPr>
        <w:tc>
          <w:tcPr>
            <w:tcW w:w="8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Real Property NOI</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156,552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141,844</w:t>
            </w:r>
          </w:p>
        </w:tc>
      </w:tr>
      <w:tr>
        <w:trPr>
          <w:trHeight w:val="266"/>
        </w:trPr>
        <w:tc>
          <w:tcPr>
            <w:tcW w:w="8440" w:type="dxa"/>
            <w:vAlign w:val="bottom"/>
          </w:tcPr>
          <w:p>
            <w:pPr>
              <w:ind w:left="40"/>
              <w:spacing w:after="0"/>
              <w:rPr>
                <w:sz w:val="20"/>
                <w:szCs w:val="20"/>
                <w:color w:val="auto"/>
              </w:rPr>
            </w:pPr>
            <w:r>
              <w:rPr>
                <w:rFonts w:ascii="Arial" w:cs="Arial" w:eastAsia="Arial" w:hAnsi="Arial"/>
                <w:sz w:val="15"/>
                <w:szCs w:val="15"/>
                <w:color w:val="auto"/>
              </w:rPr>
              <w:t>Home Sales NOI / Gross Profit</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10,555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10,341</w:t>
            </w:r>
          </w:p>
        </w:tc>
      </w:tr>
      <w:tr>
        <w:trPr>
          <w:trHeight w:val="274"/>
        </w:trPr>
        <w:tc>
          <w:tcPr>
            <w:tcW w:w="8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Rental Program NOI</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27,985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26,017</w:t>
            </w:r>
          </w:p>
        </w:tc>
      </w:tr>
      <w:tr>
        <w:trPr>
          <w:trHeight w:val="266"/>
        </w:trPr>
        <w:tc>
          <w:tcPr>
            <w:tcW w:w="8440" w:type="dxa"/>
            <w:vAlign w:val="bottom"/>
          </w:tcPr>
          <w:p>
            <w:pPr>
              <w:ind w:left="40"/>
              <w:spacing w:after="0"/>
              <w:rPr>
                <w:sz w:val="20"/>
                <w:szCs w:val="20"/>
                <w:color w:val="auto"/>
              </w:rPr>
            </w:pPr>
            <w:r>
              <w:rPr>
                <w:rFonts w:ascii="Arial" w:cs="Arial" w:eastAsia="Arial" w:hAnsi="Arial"/>
                <w:sz w:val="15"/>
                <w:szCs w:val="15"/>
                <w:color w:val="auto"/>
              </w:rPr>
              <w:t>Ancillary NOI / Gross Profit</w:t>
            </w:r>
          </w:p>
        </w:tc>
        <w:tc>
          <w:tcPr>
            <w:tcW w:w="14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2,713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3,077</w:t>
            </w:r>
          </w:p>
        </w:tc>
      </w:tr>
      <w:tr>
        <w:trPr>
          <w:trHeight w:val="274"/>
        </w:trPr>
        <w:tc>
          <w:tcPr>
            <w:tcW w:w="8440" w:type="dxa"/>
            <w:vAlign w:val="bottom"/>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Site rent from Rental Program (included in Real Property NOI) </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(18,007)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(16,878)</w:t>
            </w:r>
          </w:p>
        </w:tc>
      </w:tr>
      <w:tr>
        <w:trPr>
          <w:trHeight w:val="242"/>
        </w:trPr>
        <w:tc>
          <w:tcPr>
            <w:tcW w:w="8440" w:type="dxa"/>
            <w:vAlign w:val="bottom"/>
          </w:tcPr>
          <w:p>
            <w:pPr>
              <w:ind w:left="40"/>
              <w:spacing w:after="0"/>
              <w:rPr>
                <w:sz w:val="20"/>
                <w:szCs w:val="20"/>
                <w:color w:val="auto"/>
              </w:rPr>
            </w:pPr>
            <w:r>
              <w:rPr>
                <w:rFonts w:ascii="Arial" w:cs="Arial" w:eastAsia="Arial" w:hAnsi="Arial"/>
                <w:sz w:val="15"/>
                <w:szCs w:val="15"/>
                <w:color w:val="auto"/>
              </w:rPr>
              <w:t>NOI / 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179,798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164,401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-3175</wp:posOffset>
            </wp:positionV>
            <wp:extent cx="177419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4190" cy="25400"/>
                    </a:xfrm>
                    <a:prstGeom prst="rect">
                      <a:avLst/>
                    </a:prstGeom>
                    <a:noFill/>
                  </pic:spPr>
                </pic:pic>
              </a:graphicData>
            </a:graphic>
          </wp:anchor>
        </w:drawing>
      </w:r>
    </w:p>
    <w:p>
      <w:pPr>
        <w:spacing w:after="0" w:line="5" w:lineRule="exact"/>
        <w:rPr>
          <w:sz w:val="20"/>
          <w:szCs w:val="20"/>
          <w:color w:val="auto"/>
        </w:rPr>
      </w:pPr>
    </w:p>
    <w:p>
      <w:pPr>
        <w:jc w:val="both"/>
        <w:ind w:firstLine="8"/>
        <w:spacing w:after="0" w:line="239" w:lineRule="auto"/>
        <w:tabs>
          <w:tab w:leader="none" w:pos="289"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The renter’s monthly payment includes the site rent and an amount attributable to the home lease. The site rent is reflected in Real Property Operations’ segment revenue. For purposes of management analysis, site rent is included in Rental Program revenue to evaluate the incremental revenue gains associated with the implementation of the Rental Program, and to assess the overall growth and performance of the Rental Program and financial impact on the Company’s operations.</w:t>
      </w:r>
    </w:p>
    <w:p>
      <w:pPr>
        <w:sectPr>
          <w:pgSz w:w="11900" w:h="16838" w:orient="portrait"/>
          <w:cols w:equalWidth="0" w:num="1">
            <w:col w:w="11240"/>
          </w:cols>
          <w:pgMar w:left="320" w:top="337"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337" w:right="339" w:bottom="1440" w:gutter="0" w:footer="0" w:header="0"/>
          <w:type w:val="continuous"/>
        </w:sectPr>
      </w:pPr>
    </w:p>
    <w:bookmarkStart w:id="33" w:name="page34"/>
    <w:bookmarkEnd w:id="33"/>
    <w:p>
      <w:pPr>
        <w:ind w:left="4520"/>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March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Total Portfolio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reflect certain financial and other information for our Total Portfolio as of and for the three months ended March 31, 2020 and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61"/>
        </w:trPr>
        <w:tc>
          <w:tcPr>
            <w:tcW w:w="6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2020</w:t>
            </w:r>
          </w:p>
        </w:tc>
        <w:tc>
          <w:tcPr>
            <w:tcW w:w="14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2019</w:t>
            </w:r>
          </w:p>
        </w:tc>
        <w:tc>
          <w:tcPr>
            <w:tcW w:w="120" w:type="dxa"/>
            <w:vAlign w:val="bottom"/>
          </w:tcPr>
          <w:p>
            <w:pPr>
              <w:spacing w:after="0"/>
              <w:rPr>
                <w:sz w:val="22"/>
                <w:szCs w:val="22"/>
                <w:color w:val="auto"/>
              </w:rPr>
            </w:pPr>
          </w:p>
        </w:tc>
        <w:tc>
          <w:tcPr>
            <w:tcW w:w="660" w:type="dxa"/>
            <w:vAlign w:val="bottom"/>
          </w:tcPr>
          <w:p>
            <w:pPr>
              <w:jc w:val="right"/>
              <w:ind w:right="64"/>
              <w:spacing w:after="0"/>
              <w:rPr>
                <w:sz w:val="20"/>
                <w:szCs w:val="20"/>
                <w:color w:val="auto"/>
              </w:rPr>
            </w:pPr>
            <w:r>
              <w:rPr>
                <w:rFonts w:ascii="Arial" w:cs="Arial" w:eastAsia="Arial" w:hAnsi="Arial"/>
                <w:sz w:val="15"/>
                <w:szCs w:val="15"/>
                <w:b w:val="1"/>
                <w:bCs w:val="1"/>
                <w:color w:val="auto"/>
                <w:w w:val="90"/>
              </w:rPr>
              <w:t>Change</w:t>
            </w:r>
          </w:p>
        </w:tc>
        <w:tc>
          <w:tcPr>
            <w:tcW w:w="100" w:type="dxa"/>
            <w:vAlign w:val="bottom"/>
          </w:tcPr>
          <w:p>
            <w:pPr>
              <w:spacing w:after="0"/>
              <w:rPr>
                <w:sz w:val="22"/>
                <w:szCs w:val="22"/>
                <w:color w:val="auto"/>
              </w:rPr>
            </w:pPr>
          </w:p>
        </w:tc>
        <w:tc>
          <w:tcPr>
            <w:tcW w:w="1060" w:type="dxa"/>
            <w:vAlign w:val="bottom"/>
          </w:tcPr>
          <w:p>
            <w:pPr>
              <w:jc w:val="right"/>
              <w:ind w:right="104"/>
              <w:spacing w:after="0"/>
              <w:rPr>
                <w:sz w:val="20"/>
                <w:szCs w:val="20"/>
                <w:color w:val="auto"/>
              </w:rPr>
            </w:pPr>
            <w:r>
              <w:rPr>
                <w:rFonts w:ascii="Arial" w:cs="Arial" w:eastAsia="Arial" w:hAnsi="Arial"/>
                <w:sz w:val="15"/>
                <w:szCs w:val="15"/>
                <w:b w:val="1"/>
                <w:bCs w:val="1"/>
                <w:color w:val="auto"/>
              </w:rPr>
              <w:t>% Change</w:t>
            </w:r>
          </w:p>
        </w:tc>
      </w:tr>
      <w:tr>
        <w:trPr>
          <w:trHeight w:val="266"/>
        </w:trPr>
        <w:tc>
          <w:tcPr>
            <w:tcW w:w="6420" w:type="dxa"/>
            <w:vAlign w:val="bottom"/>
          </w:tcPr>
          <w:p>
            <w:pPr>
              <w:ind w:left="40"/>
              <w:spacing w:after="0"/>
              <w:rPr>
                <w:sz w:val="20"/>
                <w:szCs w:val="20"/>
                <w:color w:val="auto"/>
              </w:rPr>
            </w:pPr>
            <w:r>
              <w:rPr>
                <w:rFonts w:ascii="Arial" w:cs="Arial" w:eastAsia="Arial" w:hAnsi="Arial"/>
                <w:sz w:val="15"/>
                <w:szCs w:val="15"/>
                <w:b w:val="1"/>
                <w:bCs w:val="1"/>
                <w:color w:val="auto"/>
              </w:rPr>
              <w:t>Financial Information (in thousands)</w:t>
            </w: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r>
      <w:tr>
        <w:trPr>
          <w:trHeight w:val="274"/>
        </w:trPr>
        <w:tc>
          <w:tcPr>
            <w:tcW w:w="6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from real property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237,785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215,083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22,702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10.6%</w:t>
            </w:r>
          </w:p>
        </w:tc>
      </w:tr>
      <w:tr>
        <w:trPr>
          <w:trHeight w:val="266"/>
        </w:trPr>
        <w:tc>
          <w:tcPr>
            <w:tcW w:w="6420" w:type="dxa"/>
            <w:vAlign w:val="bottom"/>
          </w:tcPr>
          <w:p>
            <w:pPr>
              <w:ind w:left="40"/>
              <w:spacing w:after="0"/>
              <w:rPr>
                <w:sz w:val="20"/>
                <w:szCs w:val="20"/>
                <w:color w:val="auto"/>
              </w:rPr>
            </w:pPr>
            <w:r>
              <w:rPr>
                <w:rFonts w:ascii="Arial" w:cs="Arial" w:eastAsia="Arial" w:hAnsi="Arial"/>
                <w:sz w:val="15"/>
                <w:szCs w:val="15"/>
                <w:color w:val="auto"/>
              </w:rPr>
              <w:t>Property operating expenses</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4"/>
        </w:trPr>
        <w:tc>
          <w:tcPr>
            <w:tcW w:w="64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Payroll and benefits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21,330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18,871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2,459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13.0%</w:t>
            </w:r>
          </w:p>
        </w:tc>
      </w:tr>
      <w:tr>
        <w:trPr>
          <w:trHeight w:val="266"/>
        </w:trPr>
        <w:tc>
          <w:tcPr>
            <w:tcW w:w="6420" w:type="dxa"/>
            <w:vAlign w:val="bottom"/>
          </w:tcPr>
          <w:p>
            <w:pPr>
              <w:ind w:left="280"/>
              <w:spacing w:after="0"/>
              <w:rPr>
                <w:sz w:val="20"/>
                <w:szCs w:val="20"/>
                <w:color w:val="auto"/>
              </w:rPr>
            </w:pPr>
            <w:r>
              <w:rPr>
                <w:rFonts w:ascii="Arial" w:cs="Arial" w:eastAsia="Arial" w:hAnsi="Arial"/>
                <w:sz w:val="15"/>
                <w:szCs w:val="15"/>
                <w:color w:val="auto"/>
              </w:rPr>
              <w:t>Legal, taxes, and insurance</w:t>
            </w:r>
          </w:p>
        </w:tc>
        <w:tc>
          <w:tcPr>
            <w:tcW w:w="140" w:type="dxa"/>
            <w:vAlign w:val="bottom"/>
          </w:tcPr>
          <w:p>
            <w:pPr>
              <w:spacing w:after="0"/>
              <w:rPr>
                <w:sz w:val="23"/>
                <w:szCs w:val="23"/>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3,180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2,384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796</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33.4%</w:t>
            </w:r>
          </w:p>
        </w:tc>
      </w:tr>
      <w:tr>
        <w:trPr>
          <w:trHeight w:val="274"/>
        </w:trPr>
        <w:tc>
          <w:tcPr>
            <w:tcW w:w="64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Utilities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25,774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24,428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1,346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r>
      <w:tr>
        <w:trPr>
          <w:trHeight w:val="266"/>
        </w:trPr>
        <w:tc>
          <w:tcPr>
            <w:tcW w:w="6420" w:type="dxa"/>
            <w:vAlign w:val="bottom"/>
          </w:tcPr>
          <w:p>
            <w:pPr>
              <w:ind w:left="280"/>
              <w:spacing w:after="0"/>
              <w:rPr>
                <w:sz w:val="20"/>
                <w:szCs w:val="20"/>
                <w:color w:val="auto"/>
              </w:rPr>
            </w:pPr>
            <w:r>
              <w:rPr>
                <w:rFonts w:ascii="Arial" w:cs="Arial" w:eastAsia="Arial" w:hAnsi="Arial"/>
                <w:sz w:val="15"/>
                <w:szCs w:val="15"/>
                <w:color w:val="auto"/>
              </w:rPr>
              <w:t>Supplies and repairs</w:t>
            </w:r>
          </w:p>
        </w:tc>
        <w:tc>
          <w:tcPr>
            <w:tcW w:w="140" w:type="dxa"/>
            <w:vAlign w:val="bottom"/>
          </w:tcPr>
          <w:p>
            <w:pPr>
              <w:spacing w:after="0"/>
              <w:rPr>
                <w:sz w:val="23"/>
                <w:szCs w:val="23"/>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7,030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6,354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676</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10.6%</w:t>
            </w:r>
          </w:p>
        </w:tc>
      </w:tr>
      <w:tr>
        <w:trPr>
          <w:trHeight w:val="274"/>
        </w:trPr>
        <w:tc>
          <w:tcPr>
            <w:tcW w:w="64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6,743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5,872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871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14.8%</w:t>
            </w:r>
          </w:p>
        </w:tc>
      </w:tr>
      <w:tr>
        <w:trPr>
          <w:trHeight w:val="266"/>
        </w:trPr>
        <w:tc>
          <w:tcPr>
            <w:tcW w:w="642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Real estate taxes</w:t>
            </w: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17,176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15,330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1,846</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12.0%</w:t>
            </w:r>
          </w:p>
        </w:tc>
      </w:tr>
      <w:tr>
        <w:trPr>
          <w:trHeight w:val="250"/>
        </w:trPr>
        <w:tc>
          <w:tcPr>
            <w:tcW w:w="64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Property 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81,233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73,239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7,994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10.9%</w:t>
            </w:r>
          </w:p>
        </w:tc>
      </w:tr>
      <w:tr>
        <w:trPr>
          <w:trHeight w:val="240"/>
        </w:trPr>
        <w:tc>
          <w:tcPr>
            <w:tcW w:w="6420" w:type="dxa"/>
            <w:vAlign w:val="bottom"/>
          </w:tcPr>
          <w:p>
            <w:pPr>
              <w:ind w:left="40"/>
              <w:spacing w:after="0"/>
              <w:rPr>
                <w:sz w:val="20"/>
                <w:szCs w:val="20"/>
                <w:color w:val="auto"/>
              </w:rPr>
            </w:pPr>
            <w:r>
              <w:rPr>
                <w:rFonts w:ascii="Arial" w:cs="Arial" w:eastAsia="Arial" w:hAnsi="Arial"/>
                <w:sz w:val="15"/>
                <w:szCs w:val="15"/>
                <w:color w:val="auto"/>
              </w:rPr>
              <w:t>Real Property NOI</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156,552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141,844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14,708</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10.4%</w:t>
            </w: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w w:val="85"/>
              </w:rPr>
              <w:t>As of</w:t>
            </w:r>
          </w:p>
        </w:tc>
        <w:tc>
          <w:tcPr>
            <w:tcW w:w="13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0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March 31, 2020</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9"/>
              </w:rPr>
              <w:t>March 31, 2019</w:t>
            </w:r>
          </w:p>
        </w:tc>
        <w:tc>
          <w:tcPr>
            <w:tcW w:w="3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66"/>
        </w:trPr>
        <w:tc>
          <w:tcPr>
            <w:tcW w:w="6060" w:type="dxa"/>
            <w:vAlign w:val="bottom"/>
          </w:tcPr>
          <w:p>
            <w:pPr>
              <w:ind w:left="40"/>
              <w:spacing w:after="0"/>
              <w:rPr>
                <w:sz w:val="20"/>
                <w:szCs w:val="20"/>
                <w:color w:val="auto"/>
              </w:rPr>
            </w:pPr>
            <w:r>
              <w:rPr>
                <w:rFonts w:ascii="Arial" w:cs="Arial" w:eastAsia="Arial" w:hAnsi="Arial"/>
                <w:sz w:val="15"/>
                <w:szCs w:val="15"/>
                <w:b w:val="1"/>
                <w:bCs w:val="1"/>
                <w:color w:val="auto"/>
              </w:rPr>
              <w:t>Other Information</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Number of properties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424</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379</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MH occupancy</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60" w:type="dxa"/>
            <w:vAlign w:val="bottom"/>
          </w:tcPr>
          <w:p>
            <w:pPr>
              <w:ind w:left="40"/>
              <w:spacing w:after="0"/>
              <w:rPr>
                <w:sz w:val="20"/>
                <w:szCs w:val="20"/>
                <w:color w:val="auto"/>
              </w:rPr>
            </w:pPr>
            <w:r>
              <w:rPr>
                <w:rFonts w:ascii="Arial" w:cs="Arial" w:eastAsia="Arial" w:hAnsi="Arial"/>
                <w:sz w:val="15"/>
                <w:szCs w:val="15"/>
                <w:color w:val="auto"/>
              </w:rPr>
              <w:t>RV occupancy</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100.0%</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60" w:type="dxa"/>
            <w:vAlign w:val="bottom"/>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MH &amp; RV blended occupancy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96.4%</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Sites available for development</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10,290</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11,246</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(956)</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Monthly base rent per site - MH</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580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565</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67"/>
        </w:trPr>
        <w:tc>
          <w:tcPr>
            <w:tcW w:w="6060" w:type="dxa"/>
            <w:vAlign w:val="bottom"/>
            <w:vMerge w:val="restart"/>
          </w:tcPr>
          <w:p>
            <w:pPr>
              <w:ind w:left="40"/>
              <w:spacing w:after="0"/>
              <w:rPr>
                <w:sz w:val="20"/>
                <w:szCs w:val="20"/>
                <w:color w:val="auto"/>
              </w:rPr>
            </w:pPr>
            <w:r>
              <w:rPr>
                <w:rFonts w:ascii="Arial" w:cs="Arial" w:eastAsia="Arial" w:hAnsi="Arial"/>
                <w:sz w:val="15"/>
                <w:szCs w:val="15"/>
                <w:color w:val="auto"/>
              </w:rPr>
              <w:t xml:space="preserve">Monthly base rent per site - RV </w:t>
            </w:r>
            <w:r>
              <w:rPr>
                <w:rFonts w:ascii="Arial" w:cs="Arial" w:eastAsia="Arial" w:hAnsi="Arial"/>
                <w:sz w:val="25"/>
                <w:szCs w:val="25"/>
                <w:color w:val="auto"/>
                <w:vertAlign w:val="superscript"/>
              </w:rPr>
              <w:t>(2)</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vMerge w:val="restart"/>
          </w:tcPr>
          <w:p>
            <w:pPr>
              <w:jc w:val="right"/>
              <w:ind w:right="84"/>
              <w:spacing w:after="0"/>
              <w:rPr>
                <w:sz w:val="20"/>
                <w:szCs w:val="20"/>
                <w:color w:val="auto"/>
              </w:rPr>
            </w:pPr>
            <w:r>
              <w:rPr>
                <w:rFonts w:ascii="Arial" w:cs="Arial" w:eastAsia="Arial" w:hAnsi="Arial"/>
                <w:sz w:val="15"/>
                <w:szCs w:val="15"/>
                <w:color w:val="auto"/>
              </w:rPr>
              <w:t>493</w:t>
            </w: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320" w:type="dxa"/>
            <w:vAlign w:val="bottom"/>
            <w:vMerge w:val="restart"/>
          </w:tcPr>
          <w:p>
            <w:pPr>
              <w:jc w:val="right"/>
              <w:ind w:right="84"/>
              <w:spacing w:after="0"/>
              <w:rPr>
                <w:sz w:val="20"/>
                <w:szCs w:val="20"/>
                <w:color w:val="auto"/>
              </w:rPr>
            </w:pPr>
            <w:r>
              <w:rPr>
                <w:rFonts w:ascii="Arial" w:cs="Arial" w:eastAsia="Arial" w:hAnsi="Arial"/>
                <w:sz w:val="15"/>
                <w:szCs w:val="15"/>
                <w:color w:val="auto"/>
              </w:rPr>
              <w:t>467</w:t>
            </w:r>
          </w:p>
        </w:tc>
        <w:tc>
          <w:tcPr>
            <w:tcW w:w="380" w:type="dxa"/>
            <w:vAlign w:val="bottom"/>
          </w:tcPr>
          <w:p>
            <w:pPr>
              <w:jc w:val="right"/>
              <w:ind w:right="166"/>
              <w:spacing w:after="0"/>
              <w:rPr>
                <w:sz w:val="20"/>
                <w:szCs w:val="20"/>
                <w:color w:val="auto"/>
              </w:rPr>
            </w:pPr>
            <w:r>
              <w:rPr>
                <w:rFonts w:ascii="Arial" w:cs="Arial" w:eastAsia="Arial" w:hAnsi="Arial"/>
                <w:sz w:val="11"/>
                <w:szCs w:val="11"/>
                <w:color w:val="auto"/>
              </w:rPr>
              <w:t>(3)</w:t>
            </w:r>
          </w:p>
        </w:tc>
        <w:tc>
          <w:tcPr>
            <w:tcW w:w="300" w:type="dxa"/>
            <w:vAlign w:val="bottom"/>
            <w:vMerge w:val="restart"/>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vMerge w:val="restart"/>
          </w:tcPr>
          <w:p>
            <w:pPr>
              <w:jc w:val="right"/>
              <w:ind w:right="84"/>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34"/>
        </w:trPr>
        <w:tc>
          <w:tcPr>
            <w:tcW w:w="606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60" w:type="dxa"/>
            <w:vAlign w:val="bottom"/>
            <w:vMerge w:val="restart"/>
          </w:tcPr>
          <w:p>
            <w:pPr>
              <w:ind w:left="40"/>
              <w:spacing w:after="0"/>
              <w:rPr>
                <w:sz w:val="20"/>
                <w:szCs w:val="20"/>
                <w:color w:val="auto"/>
              </w:rPr>
            </w:pPr>
            <w:r>
              <w:rPr>
                <w:rFonts w:ascii="Arial" w:cs="Arial" w:eastAsia="Arial" w:hAnsi="Arial"/>
                <w:sz w:val="15"/>
                <w:szCs w:val="15"/>
                <w:color w:val="auto"/>
              </w:rPr>
              <w:t>Monthly base rent per site - Total</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vMerge w:val="restart"/>
          </w:tcPr>
          <w:p>
            <w:pPr>
              <w:jc w:val="right"/>
              <w:ind w:right="84"/>
              <w:spacing w:after="0"/>
              <w:rPr>
                <w:sz w:val="20"/>
                <w:szCs w:val="20"/>
                <w:color w:val="auto"/>
              </w:rPr>
            </w:pPr>
            <w:r>
              <w:rPr>
                <w:rFonts w:ascii="Arial" w:cs="Arial" w:eastAsia="Arial" w:hAnsi="Arial"/>
                <w:sz w:val="15"/>
                <w:szCs w:val="15"/>
                <w:color w:val="auto"/>
              </w:rPr>
              <w:t>561</w:t>
            </w: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320" w:type="dxa"/>
            <w:vAlign w:val="bottom"/>
            <w:vMerge w:val="restart"/>
          </w:tcPr>
          <w:p>
            <w:pPr>
              <w:jc w:val="right"/>
              <w:ind w:right="84"/>
              <w:spacing w:after="0"/>
              <w:rPr>
                <w:sz w:val="20"/>
                <w:szCs w:val="20"/>
                <w:color w:val="auto"/>
              </w:rPr>
            </w:pPr>
            <w:r>
              <w:rPr>
                <w:rFonts w:ascii="Arial" w:cs="Arial" w:eastAsia="Arial" w:hAnsi="Arial"/>
                <w:sz w:val="15"/>
                <w:szCs w:val="15"/>
                <w:color w:val="auto"/>
              </w:rPr>
              <w:t>543</w:t>
            </w:r>
          </w:p>
        </w:tc>
        <w:tc>
          <w:tcPr>
            <w:tcW w:w="380" w:type="dxa"/>
            <w:vAlign w:val="bottom"/>
          </w:tcPr>
          <w:p>
            <w:pPr>
              <w:jc w:val="right"/>
              <w:ind w:right="166"/>
              <w:spacing w:after="0"/>
              <w:rPr>
                <w:sz w:val="20"/>
                <w:szCs w:val="20"/>
                <w:color w:val="auto"/>
              </w:rPr>
            </w:pPr>
            <w:r>
              <w:rPr>
                <w:rFonts w:ascii="Arial" w:cs="Arial" w:eastAsia="Arial" w:hAnsi="Arial"/>
                <w:sz w:val="11"/>
                <w:szCs w:val="11"/>
                <w:color w:val="auto"/>
              </w:rPr>
              <w:t>(3)</w:t>
            </w:r>
          </w:p>
        </w:tc>
        <w:tc>
          <w:tcPr>
            <w:tcW w:w="300" w:type="dxa"/>
            <w:vAlign w:val="bottom"/>
            <w:vMerge w:val="restart"/>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vMerge w:val="restart"/>
          </w:tcPr>
          <w:p>
            <w:pPr>
              <w:jc w:val="right"/>
              <w:ind w:right="84"/>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95"/>
        </w:trPr>
        <w:tc>
          <w:tcPr>
            <w:tcW w:w="606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hanging="172"/>
        <w:spacing w:after="0" w:line="199" w:lineRule="auto"/>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Overall occupancy percentage includes MH and annual RV sites and excludes transient RV sites.</w:t>
      </w:r>
    </w:p>
    <w:p>
      <w:pPr>
        <w:ind w:left="160" w:hanging="152"/>
        <w:spacing w:after="0" w:line="219" w:lineRule="auto"/>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Monthly base rent pertains to annual RV sites and excludes transient RV sites.</w:t>
      </w:r>
    </w:p>
    <w:p>
      <w:pPr>
        <w:ind w:left="160" w:hanging="152"/>
        <w:spacing w:after="0" w:line="223" w:lineRule="auto"/>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Canadian currency figures included within the three months ended March 31, 2019 have been translated at 2020 average exchange rates.</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$14.7 million increase in Real Property NOI consists of $9.4 million from Same Communities as detailed below and $5.3 million from recently acquired properties in the three months ended March 31, 2020 as compared to the same period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37"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Same Communities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management tool used when evaluating performance and growth of our properties is a comparison of our Same Communities. Same Communities consist of all properties owned and operated continuously since January 1, 2019, exclusive of properties recently completed or under construction, and other properties as determined by management. The Same Community data may change from time-to-time depending on acquisitions, dispositions, management discretion, significant transactions, or unique situations.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evaluate the growth of the Same Communities, management has classified certain items differently than our GAAP statements. The reclassification difference between our GAAP statements and our Same Community portfolio is the reclassification of water and sewer revenues from income from real property to utilities. A significant portion of our utility charges are re-billed to our residents. We have reclassified water and sewer revenues of $9.0 million and $8.5 million for the three months ended March 31, 2020 and 2019, respectively, to reflect the utility expenses associated with our Same Community portfolio net of recovery.</w:t>
      </w:r>
    </w:p>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reflect certain financial and other information for our Same Communities as of and for the three months ended March 31, 2020 and 2019. The amounts in the table below reflect constant currency for comparative purposes. Canadian currency figures included within the three months ended March 31, 2019 have been translated at 2020 average exchange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61"/>
        </w:trPr>
        <w:tc>
          <w:tcPr>
            <w:tcW w:w="6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2020</w:t>
            </w:r>
          </w:p>
        </w:tc>
        <w:tc>
          <w:tcPr>
            <w:tcW w:w="12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2019</w:t>
            </w:r>
          </w:p>
        </w:tc>
        <w:tc>
          <w:tcPr>
            <w:tcW w:w="120" w:type="dxa"/>
            <w:vAlign w:val="bottom"/>
          </w:tcPr>
          <w:p>
            <w:pPr>
              <w:spacing w:after="0"/>
              <w:rPr>
                <w:sz w:val="22"/>
                <w:szCs w:val="22"/>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Change</w:t>
            </w:r>
          </w:p>
        </w:tc>
        <w:tc>
          <w:tcPr>
            <w:tcW w:w="120" w:type="dxa"/>
            <w:vAlign w:val="bottom"/>
          </w:tcPr>
          <w:p>
            <w:pPr>
              <w:spacing w:after="0"/>
              <w:rPr>
                <w:sz w:val="22"/>
                <w:szCs w:val="22"/>
                <w:color w:val="auto"/>
              </w:rPr>
            </w:pPr>
          </w:p>
        </w:tc>
        <w:tc>
          <w:tcPr>
            <w:tcW w:w="1100" w:type="dxa"/>
            <w:vAlign w:val="bottom"/>
          </w:tcPr>
          <w:p>
            <w:pPr>
              <w:jc w:val="right"/>
              <w:ind w:right="124"/>
              <w:spacing w:after="0"/>
              <w:rPr>
                <w:sz w:val="20"/>
                <w:szCs w:val="20"/>
                <w:color w:val="auto"/>
              </w:rPr>
            </w:pPr>
            <w:r>
              <w:rPr>
                <w:rFonts w:ascii="Arial" w:cs="Arial" w:eastAsia="Arial" w:hAnsi="Arial"/>
                <w:sz w:val="15"/>
                <w:szCs w:val="15"/>
                <w:b w:val="1"/>
                <w:bCs w:val="1"/>
                <w:color w:val="auto"/>
              </w:rPr>
              <w:t>% Change</w:t>
            </w:r>
          </w:p>
        </w:tc>
      </w:tr>
      <w:tr>
        <w:trPr>
          <w:trHeight w:val="266"/>
        </w:trPr>
        <w:tc>
          <w:tcPr>
            <w:tcW w:w="6360" w:type="dxa"/>
            <w:vAlign w:val="bottom"/>
          </w:tcPr>
          <w:p>
            <w:pPr>
              <w:ind w:left="40"/>
              <w:spacing w:after="0"/>
              <w:rPr>
                <w:sz w:val="20"/>
                <w:szCs w:val="20"/>
                <w:color w:val="auto"/>
              </w:rPr>
            </w:pPr>
            <w:r>
              <w:rPr>
                <w:rFonts w:ascii="Arial" w:cs="Arial" w:eastAsia="Arial" w:hAnsi="Arial"/>
                <w:sz w:val="15"/>
                <w:szCs w:val="15"/>
                <w:b w:val="1"/>
                <w:bCs w:val="1"/>
                <w:color w:val="auto"/>
              </w:rPr>
              <w:t>Financial Information (in thousands)</w:t>
            </w: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74"/>
        </w:trPr>
        <w:tc>
          <w:tcPr>
            <w:tcW w:w="6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from real property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214,672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204,138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10,534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5.2 %</w:t>
            </w:r>
          </w:p>
        </w:tc>
      </w:tr>
      <w:tr>
        <w:trPr>
          <w:trHeight w:val="266"/>
        </w:trPr>
        <w:tc>
          <w:tcPr>
            <w:tcW w:w="6360" w:type="dxa"/>
            <w:vAlign w:val="bottom"/>
          </w:tcPr>
          <w:p>
            <w:pPr>
              <w:ind w:left="40"/>
              <w:spacing w:after="0"/>
              <w:rPr>
                <w:sz w:val="20"/>
                <w:szCs w:val="20"/>
                <w:color w:val="auto"/>
              </w:rPr>
            </w:pPr>
            <w:r>
              <w:rPr>
                <w:rFonts w:ascii="Arial" w:cs="Arial" w:eastAsia="Arial" w:hAnsi="Arial"/>
                <w:sz w:val="15"/>
                <w:szCs w:val="15"/>
                <w:color w:val="auto"/>
              </w:rPr>
              <w:t>Property operating expenses</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4"/>
        </w:trPr>
        <w:tc>
          <w:tcPr>
            <w:tcW w:w="6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Payroll and benefits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18,812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18,424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2.1 %</w:t>
            </w:r>
          </w:p>
        </w:tc>
      </w:tr>
      <w:tr>
        <w:trPr>
          <w:trHeight w:val="266"/>
        </w:trPr>
        <w:tc>
          <w:tcPr>
            <w:tcW w:w="6360" w:type="dxa"/>
            <w:vAlign w:val="bottom"/>
          </w:tcPr>
          <w:p>
            <w:pPr>
              <w:ind w:left="280"/>
              <w:spacing w:after="0"/>
              <w:rPr>
                <w:sz w:val="20"/>
                <w:szCs w:val="20"/>
                <w:color w:val="auto"/>
              </w:rPr>
            </w:pPr>
            <w:r>
              <w:rPr>
                <w:rFonts w:ascii="Arial" w:cs="Arial" w:eastAsia="Arial" w:hAnsi="Arial"/>
                <w:sz w:val="15"/>
                <w:szCs w:val="15"/>
                <w:color w:val="auto"/>
              </w:rPr>
              <w:t>Legal, taxes, and insurance</w:t>
            </w: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2,888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2,339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549</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23.5 %</w:t>
            </w:r>
          </w:p>
        </w:tc>
      </w:tr>
      <w:tr>
        <w:trPr>
          <w:trHeight w:val="274"/>
        </w:trPr>
        <w:tc>
          <w:tcPr>
            <w:tcW w:w="6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Utilities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15,110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15,720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w:t>
            </w:r>
          </w:p>
        </w:tc>
      </w:tr>
      <w:tr>
        <w:trPr>
          <w:trHeight w:val="266"/>
        </w:trPr>
        <w:tc>
          <w:tcPr>
            <w:tcW w:w="6360" w:type="dxa"/>
            <w:vAlign w:val="bottom"/>
          </w:tcPr>
          <w:p>
            <w:pPr>
              <w:ind w:left="280"/>
              <w:spacing w:after="0"/>
              <w:rPr>
                <w:sz w:val="20"/>
                <w:szCs w:val="20"/>
                <w:color w:val="auto"/>
              </w:rPr>
            </w:pPr>
            <w:r>
              <w:rPr>
                <w:rFonts w:ascii="Arial" w:cs="Arial" w:eastAsia="Arial" w:hAnsi="Arial"/>
                <w:sz w:val="15"/>
                <w:szCs w:val="15"/>
                <w:color w:val="auto"/>
              </w:rPr>
              <w:t>Supplies and repairs</w:t>
            </w: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6,129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6,302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(173)</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(2.7)%</w:t>
            </w:r>
          </w:p>
        </w:tc>
      </w:tr>
      <w:tr>
        <w:trPr>
          <w:trHeight w:val="274"/>
        </w:trPr>
        <w:tc>
          <w:tcPr>
            <w:tcW w:w="6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5,567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5,405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3.0 %</w:t>
            </w:r>
          </w:p>
        </w:tc>
      </w:tr>
      <w:tr>
        <w:trPr>
          <w:trHeight w:val="266"/>
        </w:trPr>
        <w:tc>
          <w:tcPr>
            <w:tcW w:w="63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Real estate taxes</w:t>
            </w: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15,964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15,160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804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5.3 %</w:t>
            </w:r>
          </w:p>
        </w:tc>
      </w:tr>
      <w:tr>
        <w:trPr>
          <w:trHeight w:val="250"/>
        </w:trPr>
        <w:tc>
          <w:tcPr>
            <w:tcW w:w="6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Property 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64,470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63,350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1.8 %</w:t>
            </w:r>
          </w:p>
        </w:tc>
      </w:tr>
      <w:tr>
        <w:trPr>
          <w:trHeight w:val="241"/>
        </w:trPr>
        <w:tc>
          <w:tcPr>
            <w:tcW w:w="6360" w:type="dxa"/>
            <w:vAlign w:val="bottom"/>
          </w:tcPr>
          <w:p>
            <w:pPr>
              <w:ind w:left="40"/>
              <w:spacing w:after="0"/>
              <w:rPr>
                <w:sz w:val="20"/>
                <w:szCs w:val="20"/>
                <w:color w:val="auto"/>
              </w:rPr>
            </w:pPr>
            <w:r>
              <w:rPr>
                <w:rFonts w:ascii="Arial" w:cs="Arial" w:eastAsia="Arial" w:hAnsi="Arial"/>
                <w:sz w:val="15"/>
                <w:szCs w:val="15"/>
                <w:color w:val="auto"/>
              </w:rPr>
              <w:t>Real Property NOI</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150,202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140,788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9,414</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6.7 %</w:t>
            </w: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As of</w:t>
            </w:r>
          </w:p>
        </w:tc>
        <w:tc>
          <w:tcPr>
            <w:tcW w:w="1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61"/>
        </w:trPr>
        <w:tc>
          <w:tcPr>
            <w:tcW w:w="6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2020</w:t>
            </w:r>
          </w:p>
        </w:tc>
        <w:tc>
          <w:tcPr>
            <w:tcW w:w="22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2019</w:t>
            </w:r>
          </w:p>
        </w:tc>
        <w:tc>
          <w:tcPr>
            <w:tcW w:w="320" w:type="dxa"/>
            <w:vAlign w:val="bottom"/>
          </w:tcPr>
          <w:p>
            <w:pPr>
              <w:spacing w:after="0"/>
              <w:rPr>
                <w:sz w:val="22"/>
                <w:szCs w:val="22"/>
                <w:color w:val="auto"/>
              </w:rPr>
            </w:pPr>
          </w:p>
        </w:tc>
        <w:tc>
          <w:tcPr>
            <w:tcW w:w="1280" w:type="dxa"/>
            <w:vAlign w:val="bottom"/>
          </w:tcPr>
          <w:p>
            <w:pPr>
              <w:jc w:val="right"/>
              <w:ind w:right="484"/>
              <w:spacing w:after="0"/>
              <w:rPr>
                <w:sz w:val="20"/>
                <w:szCs w:val="20"/>
                <w:color w:val="auto"/>
              </w:rPr>
            </w:pPr>
            <w:r>
              <w:rPr>
                <w:rFonts w:ascii="Arial" w:cs="Arial" w:eastAsia="Arial" w:hAnsi="Arial"/>
                <w:sz w:val="15"/>
                <w:szCs w:val="15"/>
                <w:b w:val="1"/>
                <w:bCs w:val="1"/>
                <w:color w:val="auto"/>
              </w:rPr>
              <w:t>Change</w:t>
            </w:r>
          </w:p>
        </w:tc>
      </w:tr>
      <w:tr>
        <w:trPr>
          <w:trHeight w:val="266"/>
        </w:trPr>
        <w:tc>
          <w:tcPr>
            <w:tcW w:w="6200" w:type="dxa"/>
            <w:vAlign w:val="bottom"/>
          </w:tcPr>
          <w:p>
            <w:pPr>
              <w:ind w:left="40"/>
              <w:spacing w:after="0"/>
              <w:rPr>
                <w:sz w:val="20"/>
                <w:szCs w:val="20"/>
                <w:color w:val="auto"/>
              </w:rPr>
            </w:pPr>
            <w:r>
              <w:rPr>
                <w:rFonts w:ascii="Arial" w:cs="Arial" w:eastAsia="Arial" w:hAnsi="Arial"/>
                <w:sz w:val="15"/>
                <w:szCs w:val="15"/>
                <w:b w:val="1"/>
                <w:bCs w:val="1"/>
                <w:color w:val="auto"/>
              </w:rPr>
              <w:t>Other Information</w:t>
            </w:r>
          </w:p>
        </w:tc>
        <w:tc>
          <w:tcPr>
            <w:tcW w:w="20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r>
      <w:tr>
        <w:trPr>
          <w:trHeight w:val="274"/>
        </w:trPr>
        <w:tc>
          <w:tcPr>
            <w:tcW w:w="6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Number of properties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367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367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r>
      <w:tr>
        <w:trPr>
          <w:trHeight w:val="270"/>
        </w:trPr>
        <w:tc>
          <w:tcPr>
            <w:tcW w:w="6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MH occupancy</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6"/>
        </w:trPr>
        <w:tc>
          <w:tcPr>
            <w:tcW w:w="6200" w:type="dxa"/>
            <w:vAlign w:val="bottom"/>
          </w:tcPr>
          <w:p>
            <w:pPr>
              <w:ind w:left="40"/>
              <w:spacing w:after="0"/>
              <w:rPr>
                <w:sz w:val="20"/>
                <w:szCs w:val="20"/>
                <w:color w:val="auto"/>
              </w:rPr>
            </w:pPr>
            <w:r>
              <w:rPr>
                <w:rFonts w:ascii="Arial" w:cs="Arial" w:eastAsia="Arial" w:hAnsi="Arial"/>
                <w:sz w:val="15"/>
                <w:szCs w:val="15"/>
                <w:color w:val="auto"/>
              </w:rPr>
              <w:t>RV occupancy</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4"/>
        </w:trPr>
        <w:tc>
          <w:tcPr>
            <w:tcW w:w="6200" w:type="dxa"/>
            <w:vAlign w:val="bottom"/>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MH &amp; RV blended occupancy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0"/>
        </w:trPr>
        <w:tc>
          <w:tcPr>
            <w:tcW w:w="6200" w:type="dxa"/>
            <w:vAlign w:val="bottom"/>
            <w:shd w:val="clear" w:color="auto" w:fill="CCEEFF"/>
          </w:tcPr>
          <w:p>
            <w:pPr>
              <w:ind w:left="40"/>
              <w:spacing w:after="0" w:line="270" w:lineRule="exact"/>
              <w:rPr>
                <w:sz w:val="20"/>
                <w:szCs w:val="20"/>
                <w:color w:val="auto"/>
              </w:rPr>
            </w:pPr>
            <w:r>
              <w:rPr>
                <w:rFonts w:ascii="Arial" w:cs="Arial" w:eastAsia="Arial" w:hAnsi="Arial"/>
                <w:sz w:val="15"/>
                <w:szCs w:val="15"/>
                <w:color w:val="auto"/>
              </w:rPr>
              <w:t xml:space="preserve">Adjusted MH occupancy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70"/>
        </w:trPr>
        <w:tc>
          <w:tcPr>
            <w:tcW w:w="6200" w:type="dxa"/>
            <w:vAlign w:val="bottom"/>
          </w:tcPr>
          <w:p>
            <w:pPr>
              <w:ind w:left="40"/>
              <w:spacing w:after="0" w:line="270" w:lineRule="exact"/>
              <w:rPr>
                <w:sz w:val="20"/>
                <w:szCs w:val="20"/>
                <w:color w:val="auto"/>
              </w:rPr>
            </w:pPr>
            <w:r>
              <w:rPr>
                <w:rFonts w:ascii="Arial" w:cs="Arial" w:eastAsia="Arial" w:hAnsi="Arial"/>
                <w:sz w:val="15"/>
                <w:szCs w:val="15"/>
                <w:color w:val="auto"/>
              </w:rPr>
              <w:t xml:space="preserve">Adjusted RV occupancy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6200" w:type="dxa"/>
            <w:vAlign w:val="bottom"/>
            <w:shd w:val="clear" w:color="auto" w:fill="CCEEFF"/>
          </w:tcPr>
          <w:p>
            <w:pPr>
              <w:ind w:left="40"/>
              <w:spacing w:after="0" w:line="270" w:lineRule="exact"/>
              <w:rPr>
                <w:sz w:val="20"/>
                <w:szCs w:val="20"/>
                <w:color w:val="auto"/>
              </w:rPr>
            </w:pPr>
            <w:r>
              <w:rPr>
                <w:rFonts w:ascii="Arial" w:cs="Arial" w:eastAsia="Arial" w:hAnsi="Arial"/>
                <w:sz w:val="15"/>
                <w:szCs w:val="15"/>
                <w:color w:val="auto"/>
              </w:rPr>
              <w:t xml:space="preserve">Adjusted MH &amp; RV blended occupancy </w:t>
            </w:r>
            <w:r>
              <w:rPr>
                <w:rFonts w:ascii="Arial" w:cs="Arial" w:eastAsia="Arial" w:hAnsi="Arial"/>
                <w:sz w:val="25"/>
                <w:szCs w:val="25"/>
                <w:color w:val="auto"/>
                <w:vertAlign w:val="superscript"/>
              </w:rPr>
              <w:t>(1) (2)</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230"/>
        </w:trPr>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Monthly base rent per site - MH</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567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22</w:t>
            </w:r>
          </w:p>
        </w:tc>
      </w:tr>
      <w:tr>
        <w:trPr>
          <w:trHeight w:val="338"/>
        </w:trPr>
        <w:tc>
          <w:tcPr>
            <w:tcW w:w="6200" w:type="dxa"/>
            <w:vAlign w:val="bottom"/>
          </w:tcPr>
          <w:p>
            <w:pPr>
              <w:ind w:left="40"/>
              <w:spacing w:after="0"/>
              <w:rPr>
                <w:sz w:val="20"/>
                <w:szCs w:val="20"/>
                <w:color w:val="auto"/>
              </w:rPr>
            </w:pPr>
            <w:r>
              <w:rPr>
                <w:rFonts w:ascii="Arial" w:cs="Arial" w:eastAsia="Arial" w:hAnsi="Arial"/>
                <w:sz w:val="15"/>
                <w:szCs w:val="15"/>
                <w:color w:val="auto"/>
              </w:rPr>
              <w:t xml:space="preserve">Monthly base rent per site - RV </w:t>
            </w:r>
            <w:r>
              <w:rPr>
                <w:rFonts w:ascii="Arial" w:cs="Arial" w:eastAsia="Arial" w:hAnsi="Arial"/>
                <w:sz w:val="25"/>
                <w:szCs w:val="25"/>
                <w:color w:val="auto"/>
                <w:vertAlign w:val="superscript"/>
              </w:rPr>
              <w:t>(3)</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04"/>
              <w:spacing w:after="0"/>
              <w:rPr>
                <w:sz w:val="20"/>
                <w:szCs w:val="20"/>
                <w:color w:val="auto"/>
              </w:rPr>
            </w:pPr>
            <w:r>
              <w:rPr>
                <w:rFonts w:ascii="Arial" w:cs="Arial" w:eastAsia="Arial" w:hAnsi="Arial"/>
                <w:sz w:val="15"/>
                <w:szCs w:val="15"/>
                <w:color w:val="auto"/>
              </w:rPr>
              <w:t>495</w:t>
            </w:r>
          </w:p>
        </w:tc>
        <w:tc>
          <w:tcPr>
            <w:tcW w:w="100" w:type="dxa"/>
            <w:vAlign w:val="bottom"/>
          </w:tcPr>
          <w:p>
            <w:pPr>
              <w:spacing w:after="0"/>
              <w:rPr>
                <w:sz w:val="24"/>
                <w:szCs w:val="24"/>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84"/>
              <w:spacing w:after="0"/>
              <w:rPr>
                <w:sz w:val="20"/>
                <w:szCs w:val="20"/>
                <w:color w:val="auto"/>
              </w:rPr>
            </w:pPr>
            <w:r>
              <w:rPr>
                <w:rFonts w:ascii="Arial" w:cs="Arial" w:eastAsia="Arial" w:hAnsi="Arial"/>
                <w:sz w:val="15"/>
                <w:szCs w:val="15"/>
                <w:color w:val="auto"/>
              </w:rPr>
              <w:t>467</w:t>
            </w:r>
          </w:p>
        </w:tc>
        <w:tc>
          <w:tcPr>
            <w:tcW w:w="120" w:type="dxa"/>
            <w:vAlign w:val="bottom"/>
          </w:tcPr>
          <w:p>
            <w:pPr>
              <w:spacing w:after="0"/>
              <w:rPr>
                <w:sz w:val="24"/>
                <w:szCs w:val="24"/>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84"/>
              <w:spacing w:after="0"/>
              <w:rPr>
                <w:sz w:val="20"/>
                <w:szCs w:val="20"/>
                <w:color w:val="auto"/>
              </w:rPr>
            </w:pPr>
            <w:r>
              <w:rPr>
                <w:rFonts w:ascii="Arial" w:cs="Arial" w:eastAsia="Arial" w:hAnsi="Arial"/>
                <w:sz w:val="15"/>
                <w:szCs w:val="15"/>
                <w:color w:val="auto"/>
              </w:rPr>
              <w:t>28</w:t>
            </w:r>
          </w:p>
        </w:tc>
      </w:tr>
      <w:tr>
        <w:trPr>
          <w:trHeight w:val="194"/>
        </w:trPr>
        <w:tc>
          <w:tcPr>
            <w:tcW w:w="6200" w:type="dxa"/>
            <w:vAlign w:val="bottom"/>
          </w:tcPr>
          <w:p>
            <w:pPr>
              <w:ind w:left="40"/>
              <w:spacing w:after="0"/>
              <w:rPr>
                <w:sz w:val="20"/>
                <w:szCs w:val="20"/>
                <w:color w:val="auto"/>
              </w:rPr>
            </w:pPr>
            <w:r>
              <w:rPr>
                <w:rFonts w:ascii="Arial" w:cs="Arial" w:eastAsia="Arial" w:hAnsi="Arial"/>
                <w:sz w:val="15"/>
                <w:szCs w:val="15"/>
                <w:color w:val="auto"/>
              </w:rPr>
              <w:t>Monthly base rent per site - Total</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04"/>
              <w:spacing w:after="0"/>
              <w:rPr>
                <w:sz w:val="20"/>
                <w:szCs w:val="20"/>
                <w:color w:val="auto"/>
              </w:rPr>
            </w:pPr>
            <w:r>
              <w:rPr>
                <w:rFonts w:ascii="Arial" w:cs="Arial" w:eastAsia="Arial" w:hAnsi="Arial"/>
                <w:sz w:val="15"/>
                <w:szCs w:val="15"/>
                <w:color w:val="auto"/>
              </w:rPr>
              <w:t>567</w:t>
            </w:r>
          </w:p>
        </w:tc>
        <w:tc>
          <w:tcPr>
            <w:tcW w:w="10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84"/>
              <w:spacing w:after="0"/>
              <w:rPr>
                <w:sz w:val="20"/>
                <w:szCs w:val="20"/>
                <w:color w:val="auto"/>
              </w:rPr>
            </w:pPr>
            <w:r>
              <w:rPr>
                <w:rFonts w:ascii="Arial" w:cs="Arial" w:eastAsia="Arial" w:hAnsi="Arial"/>
                <w:sz w:val="15"/>
                <w:szCs w:val="15"/>
                <w:color w:val="auto"/>
              </w:rPr>
              <w:t>544</w:t>
            </w:r>
          </w:p>
        </w:tc>
        <w:tc>
          <w:tcPr>
            <w:tcW w:w="120" w:type="dxa"/>
            <w:vAlign w:val="bottom"/>
          </w:tcPr>
          <w:p>
            <w:pPr>
              <w:spacing w:after="0"/>
              <w:rPr>
                <w:sz w:val="16"/>
                <w:szCs w:val="16"/>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84"/>
              <w:spacing w:after="0"/>
              <w:rPr>
                <w:sz w:val="20"/>
                <w:szCs w:val="20"/>
                <w:color w:val="auto"/>
              </w:rPr>
            </w:pPr>
            <w:r>
              <w:rPr>
                <w:rFonts w:ascii="Arial" w:cs="Arial" w:eastAsia="Arial" w:hAnsi="Arial"/>
                <w:sz w:val="15"/>
                <w:szCs w:val="15"/>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40" w:hanging="332"/>
        <w:spacing w:after="0"/>
        <w:tabs>
          <w:tab w:leader="none" w:pos="340" w:val="left"/>
        </w:tabs>
        <w:numPr>
          <w:ilvl w:val="0"/>
          <w:numId w:val="25"/>
        </w:numPr>
        <w:rPr>
          <w:rFonts w:ascii="Arial" w:cs="Arial" w:eastAsia="Arial" w:hAnsi="Arial"/>
          <w:sz w:val="9"/>
          <w:szCs w:val="9"/>
          <w:color w:val="auto"/>
        </w:rPr>
      </w:pPr>
      <w:r>
        <w:rPr>
          <w:rFonts w:ascii="Arial" w:cs="Arial" w:eastAsia="Arial" w:hAnsi="Arial"/>
          <w:sz w:val="14"/>
          <w:szCs w:val="14"/>
          <w:color w:val="auto"/>
        </w:rPr>
        <w:t>The adjusted occupancy percentage includes MH and annual RV sites and excludes recently completed but vacant expansion sites and transient RV sites.</w:t>
      </w:r>
    </w:p>
    <w:p>
      <w:pPr>
        <w:spacing w:after="0" w:line="2" w:lineRule="exact"/>
        <w:rPr>
          <w:rFonts w:ascii="Arial" w:cs="Arial" w:eastAsia="Arial" w:hAnsi="Arial"/>
          <w:sz w:val="9"/>
          <w:szCs w:val="9"/>
          <w:color w:val="auto"/>
        </w:rPr>
      </w:pPr>
    </w:p>
    <w:p>
      <w:pPr>
        <w:ind w:left="340" w:hanging="332"/>
        <w:spacing w:after="0" w:line="241" w:lineRule="auto"/>
        <w:tabs>
          <w:tab w:leader="none" w:pos="340" w:val="left"/>
        </w:tabs>
        <w:numPr>
          <w:ilvl w:val="0"/>
          <w:numId w:val="25"/>
        </w:numPr>
        <w:rPr>
          <w:rFonts w:ascii="Arial" w:cs="Arial" w:eastAsia="Arial" w:hAnsi="Arial"/>
          <w:sz w:val="9"/>
          <w:szCs w:val="9"/>
          <w:color w:val="auto"/>
        </w:rPr>
      </w:pPr>
      <w:r>
        <w:rPr>
          <w:rFonts w:ascii="Arial" w:cs="Arial" w:eastAsia="Arial" w:hAnsi="Arial"/>
          <w:sz w:val="14"/>
          <w:szCs w:val="14"/>
          <w:color w:val="auto"/>
        </w:rPr>
        <w:t>The occupancy percentage for 2019 has been adjusted to reflect incremental growth period-over-period from filled MH expansion sites and the conversion of transient RV sites to annual RV sites.</w:t>
      </w:r>
    </w:p>
    <w:p>
      <w:pPr>
        <w:ind w:left="340" w:hanging="332"/>
        <w:spacing w:after="0"/>
        <w:tabs>
          <w:tab w:leader="none" w:pos="340" w:val="left"/>
        </w:tabs>
        <w:numPr>
          <w:ilvl w:val="0"/>
          <w:numId w:val="25"/>
        </w:numPr>
        <w:rPr>
          <w:rFonts w:ascii="Arial" w:cs="Arial" w:eastAsia="Arial" w:hAnsi="Arial"/>
          <w:sz w:val="9"/>
          <w:szCs w:val="9"/>
          <w:color w:val="auto"/>
        </w:rPr>
      </w:pPr>
      <w:r>
        <w:rPr>
          <w:rFonts w:ascii="Arial" w:cs="Arial" w:eastAsia="Arial" w:hAnsi="Arial"/>
          <w:sz w:val="14"/>
          <w:szCs w:val="14"/>
          <w:color w:val="auto"/>
        </w:rPr>
        <w:t>Monthly base rent pertains to annual RV sites and excludes transient RV sites.</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three months ended March 31, 2020 and 2019, the 6.7 percent growth in NOI is primarily due to increased Income from real property of $10.5 million, or 5.2 percent. The 5.2 percent increase is primarily attributable to a 1.8 percent increase in occupancy and a 4.3 percent increase in total monthly base rent per site when compared to the same period in 2019. The increase in Income from real property was partially offset by a $1.1 million, or 1.8 percent, increase in Property operating expenses, primarily attributable to increases in real estate taxes, insurance, and payroll and benefits.</w:t>
      </w:r>
    </w:p>
    <w:p>
      <w:pPr>
        <w:sectPr>
          <w:pgSz w:w="11900" w:h="16838" w:orient="portrait"/>
          <w:cols w:equalWidth="0" w:num="1">
            <w:col w:w="11240"/>
          </w:cols>
          <w:pgMar w:left="320" w:top="337"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337"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Sales Summary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new homes and acquire pre-owned and repossessed manufactured homes, generally located within our communities, from lenders, dealers, and former residents to sell or lease to current and prospective residents.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certain financial and statistical information for our Home Sales Program for the three months ended March 31, 2020 and 2019 (in thousands, except for average selling prices and statistical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61"/>
        </w:trPr>
        <w:tc>
          <w:tcPr>
            <w:tcW w:w="5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5"/>
                <w:szCs w:val="15"/>
                <w:b w:val="1"/>
                <w:bCs w:val="1"/>
                <w:color w:val="auto"/>
              </w:rPr>
              <w:t>March 31, 2020</w:t>
            </w:r>
          </w:p>
        </w:tc>
        <w:tc>
          <w:tcPr>
            <w:tcW w:w="18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March 31, 2019</w:t>
            </w:r>
          </w:p>
        </w:tc>
        <w:tc>
          <w:tcPr>
            <w:tcW w:w="240" w:type="dxa"/>
            <w:vAlign w:val="bottom"/>
          </w:tcPr>
          <w:p>
            <w:pPr>
              <w:spacing w:after="0"/>
              <w:rPr>
                <w:sz w:val="22"/>
                <w:szCs w:val="22"/>
                <w:color w:val="auto"/>
              </w:rPr>
            </w:pPr>
          </w:p>
        </w:tc>
        <w:tc>
          <w:tcPr>
            <w:tcW w:w="740" w:type="dxa"/>
            <w:vAlign w:val="bottom"/>
          </w:tcPr>
          <w:p>
            <w:pPr>
              <w:jc w:val="right"/>
              <w:ind w:right="164"/>
              <w:spacing w:after="0"/>
              <w:rPr>
                <w:sz w:val="20"/>
                <w:szCs w:val="20"/>
                <w:color w:val="auto"/>
              </w:rPr>
            </w:pPr>
            <w:r>
              <w:rPr>
                <w:rFonts w:ascii="Arial" w:cs="Arial" w:eastAsia="Arial" w:hAnsi="Arial"/>
                <w:sz w:val="15"/>
                <w:szCs w:val="15"/>
                <w:b w:val="1"/>
                <w:bCs w:val="1"/>
                <w:color w:val="auto"/>
                <w:w w:val="87"/>
              </w:rPr>
              <w:t>Change</w:t>
            </w:r>
          </w:p>
        </w:tc>
        <w:tc>
          <w:tcPr>
            <w:tcW w:w="120" w:type="dxa"/>
            <w:vAlign w:val="bottom"/>
          </w:tcPr>
          <w:p>
            <w:pPr>
              <w:spacing w:after="0"/>
              <w:rPr>
                <w:sz w:val="22"/>
                <w:szCs w:val="22"/>
                <w:color w:val="auto"/>
              </w:rPr>
            </w:pPr>
          </w:p>
        </w:tc>
        <w:tc>
          <w:tcPr>
            <w:tcW w:w="1100" w:type="dxa"/>
            <w:vAlign w:val="bottom"/>
          </w:tcPr>
          <w:p>
            <w:pPr>
              <w:jc w:val="right"/>
              <w:ind w:right="124"/>
              <w:spacing w:after="0"/>
              <w:rPr>
                <w:sz w:val="20"/>
                <w:szCs w:val="20"/>
                <w:color w:val="auto"/>
              </w:rPr>
            </w:pPr>
            <w:r>
              <w:rPr>
                <w:rFonts w:ascii="Arial" w:cs="Arial" w:eastAsia="Arial" w:hAnsi="Arial"/>
                <w:sz w:val="15"/>
                <w:szCs w:val="15"/>
                <w:b w:val="1"/>
                <w:bCs w:val="1"/>
                <w:color w:val="auto"/>
              </w:rPr>
              <w:t>% Change</w:t>
            </w:r>
          </w:p>
        </w:tc>
      </w:tr>
      <w:tr>
        <w:trPr>
          <w:trHeight w:val="266"/>
        </w:trPr>
        <w:tc>
          <w:tcPr>
            <w:tcW w:w="5860" w:type="dxa"/>
            <w:vAlign w:val="bottom"/>
          </w:tcPr>
          <w:p>
            <w:pPr>
              <w:ind w:left="40"/>
              <w:spacing w:after="0"/>
              <w:rPr>
                <w:sz w:val="20"/>
                <w:szCs w:val="20"/>
                <w:color w:val="auto"/>
              </w:rPr>
            </w:pPr>
            <w:r>
              <w:rPr>
                <w:rFonts w:ascii="Arial" w:cs="Arial" w:eastAsia="Arial" w:hAnsi="Arial"/>
                <w:sz w:val="15"/>
                <w:szCs w:val="15"/>
                <w:b w:val="1"/>
                <w:bCs w:val="1"/>
                <w:color w:val="auto"/>
              </w:rPr>
              <w:t>Financial Information</w:t>
            </w: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74"/>
        </w:trPr>
        <w:tc>
          <w:tcPr>
            <w:tcW w:w="58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New homes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5860" w:type="dxa"/>
            <w:vAlign w:val="bottom"/>
          </w:tcPr>
          <w:p>
            <w:pPr>
              <w:ind w:left="280"/>
              <w:spacing w:after="0"/>
              <w:rPr>
                <w:sz w:val="20"/>
                <w:szCs w:val="20"/>
                <w:color w:val="auto"/>
              </w:rPr>
            </w:pPr>
            <w:r>
              <w:rPr>
                <w:rFonts w:ascii="Arial" w:cs="Arial" w:eastAsia="Arial" w:hAnsi="Arial"/>
                <w:sz w:val="15"/>
                <w:szCs w:val="15"/>
                <w:color w:val="auto"/>
              </w:rPr>
              <w:t>New home sales</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15,596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15,381</w:t>
            </w:r>
          </w:p>
        </w:tc>
        <w:tc>
          <w:tcPr>
            <w:tcW w:w="100" w:type="dxa"/>
            <w:vAlign w:val="bottom"/>
          </w:tcPr>
          <w:p>
            <w:pPr>
              <w:spacing w:after="0"/>
              <w:rPr>
                <w:sz w:val="23"/>
                <w:szCs w:val="23"/>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44"/>
              <w:spacing w:after="0"/>
              <w:rPr>
                <w:sz w:val="20"/>
                <w:szCs w:val="20"/>
                <w:color w:val="auto"/>
              </w:rPr>
            </w:pPr>
            <w:r>
              <w:rPr>
                <w:rFonts w:ascii="Arial" w:cs="Arial" w:eastAsia="Arial" w:hAnsi="Arial"/>
                <w:sz w:val="15"/>
                <w:szCs w:val="15"/>
                <w:color w:val="auto"/>
              </w:rPr>
              <w:t>215</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1.4 %</w:t>
            </w:r>
          </w:p>
        </w:tc>
      </w:tr>
      <w:tr>
        <w:trPr>
          <w:trHeight w:val="270"/>
        </w:trPr>
        <w:tc>
          <w:tcPr>
            <w:tcW w:w="5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New home cost of sales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12,610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13,146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(536)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250"/>
        </w:trPr>
        <w:tc>
          <w:tcPr>
            <w:tcW w:w="5860" w:type="dxa"/>
            <w:vAlign w:val="bottom"/>
          </w:tcPr>
          <w:p>
            <w:pPr>
              <w:ind w:left="280"/>
              <w:spacing w:after="0"/>
              <w:rPr>
                <w:sz w:val="20"/>
                <w:szCs w:val="20"/>
                <w:color w:val="auto"/>
              </w:rPr>
            </w:pPr>
            <w:r>
              <w:rPr>
                <w:rFonts w:ascii="Arial" w:cs="Arial" w:eastAsia="Arial" w:hAnsi="Arial"/>
                <w:sz w:val="15"/>
                <w:szCs w:val="15"/>
                <w:color w:val="auto"/>
              </w:rPr>
              <w:t>NOI / Gross Profit – new homes</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2,986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2,235</w:t>
            </w:r>
          </w:p>
        </w:tc>
        <w:tc>
          <w:tcPr>
            <w:tcW w:w="100" w:type="dxa"/>
            <w:vAlign w:val="bottom"/>
          </w:tcPr>
          <w:p>
            <w:pPr>
              <w:spacing w:after="0"/>
              <w:rPr>
                <w:sz w:val="21"/>
                <w:szCs w:val="21"/>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44"/>
              <w:spacing w:after="0"/>
              <w:rPr>
                <w:sz w:val="20"/>
                <w:szCs w:val="20"/>
                <w:color w:val="auto"/>
              </w:rPr>
            </w:pPr>
            <w:r>
              <w:rPr>
                <w:rFonts w:ascii="Arial" w:cs="Arial" w:eastAsia="Arial" w:hAnsi="Arial"/>
                <w:sz w:val="15"/>
                <w:szCs w:val="15"/>
                <w:color w:val="auto"/>
              </w:rPr>
              <w:t>751</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33.6 %</w:t>
            </w:r>
          </w:p>
        </w:tc>
      </w:tr>
      <w:tr>
        <w:trPr>
          <w:trHeight w:val="274"/>
        </w:trPr>
        <w:tc>
          <w:tcPr>
            <w:tcW w:w="5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Gross margin % – new homes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4.6 %</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5860" w:type="dxa"/>
            <w:vAlign w:val="bottom"/>
          </w:tcPr>
          <w:p>
            <w:pPr>
              <w:ind w:left="280"/>
              <w:spacing w:after="0"/>
              <w:rPr>
                <w:sz w:val="20"/>
                <w:szCs w:val="20"/>
                <w:color w:val="auto"/>
              </w:rPr>
            </w:pPr>
            <w:r>
              <w:rPr>
                <w:rFonts w:ascii="Arial" w:cs="Arial" w:eastAsia="Arial" w:hAnsi="Arial"/>
                <w:sz w:val="15"/>
                <w:szCs w:val="15"/>
                <w:color w:val="auto"/>
              </w:rPr>
              <w:t>Average selling price – new homes</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131,059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123,048</w:t>
            </w:r>
          </w:p>
        </w:tc>
        <w:tc>
          <w:tcPr>
            <w:tcW w:w="100" w:type="dxa"/>
            <w:vAlign w:val="bottom"/>
          </w:tcPr>
          <w:p>
            <w:pPr>
              <w:spacing w:after="0"/>
              <w:rPr>
                <w:sz w:val="23"/>
                <w:szCs w:val="23"/>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144"/>
              <w:spacing w:after="0"/>
              <w:rPr>
                <w:sz w:val="20"/>
                <w:szCs w:val="20"/>
                <w:color w:val="auto"/>
              </w:rPr>
            </w:pPr>
            <w:r>
              <w:rPr>
                <w:rFonts w:ascii="Arial" w:cs="Arial" w:eastAsia="Arial" w:hAnsi="Arial"/>
                <w:sz w:val="15"/>
                <w:szCs w:val="15"/>
                <w:color w:val="auto"/>
              </w:rPr>
              <w:t>8,011</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6.5 %</w:t>
            </w:r>
          </w:p>
        </w:tc>
      </w:tr>
      <w:tr>
        <w:trPr>
          <w:trHeight w:val="274"/>
        </w:trPr>
        <w:tc>
          <w:tcPr>
            <w:tcW w:w="5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5860" w:type="dxa"/>
            <w:vAlign w:val="bottom"/>
          </w:tcPr>
          <w:p>
            <w:pPr>
              <w:ind w:left="40"/>
              <w:spacing w:after="0"/>
              <w:rPr>
                <w:sz w:val="20"/>
                <w:szCs w:val="20"/>
                <w:color w:val="auto"/>
              </w:rPr>
            </w:pPr>
            <w:r>
              <w:rPr>
                <w:rFonts w:ascii="Arial" w:cs="Arial" w:eastAsia="Arial" w:hAnsi="Arial"/>
                <w:sz w:val="15"/>
                <w:szCs w:val="15"/>
                <w:b w:val="1"/>
                <w:bCs w:val="1"/>
                <w:color w:val="auto"/>
              </w:rPr>
              <w:t>Pre-owned homes</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4"/>
        </w:trPr>
        <w:tc>
          <w:tcPr>
            <w:tcW w:w="5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Pre-owned home sales</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24,991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24,237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754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3.1 %</w:t>
            </w:r>
          </w:p>
        </w:tc>
      </w:tr>
      <w:tr>
        <w:trPr>
          <w:trHeight w:val="266"/>
        </w:trPr>
        <w:tc>
          <w:tcPr>
            <w:tcW w:w="58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Pre-owned home cost of sales</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17,422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16,131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1,291</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8.0 %</w:t>
            </w:r>
          </w:p>
        </w:tc>
      </w:tr>
      <w:tr>
        <w:trPr>
          <w:trHeight w:val="254"/>
        </w:trPr>
        <w:tc>
          <w:tcPr>
            <w:tcW w:w="5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NOI / Gross Profit – pre-owned homes</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7,569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8,106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(537)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w:t>
            </w:r>
          </w:p>
        </w:tc>
      </w:tr>
      <w:tr>
        <w:trPr>
          <w:trHeight w:val="266"/>
        </w:trPr>
        <w:tc>
          <w:tcPr>
            <w:tcW w:w="5860" w:type="dxa"/>
            <w:vAlign w:val="bottom"/>
          </w:tcPr>
          <w:p>
            <w:pPr>
              <w:ind w:left="280"/>
              <w:spacing w:after="0"/>
              <w:rPr>
                <w:sz w:val="20"/>
                <w:szCs w:val="20"/>
                <w:color w:val="auto"/>
              </w:rPr>
            </w:pPr>
            <w:r>
              <w:rPr>
                <w:rFonts w:ascii="Arial" w:cs="Arial" w:eastAsia="Arial" w:hAnsi="Arial"/>
                <w:sz w:val="15"/>
                <w:szCs w:val="15"/>
                <w:color w:val="auto"/>
              </w:rPr>
              <w:t>Gross margin % – pre-owned homes</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4"/>
        </w:trPr>
        <w:tc>
          <w:tcPr>
            <w:tcW w:w="5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Average selling price – pre-owned homes</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38,806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36,013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2,793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7.8 %</w:t>
            </w:r>
          </w:p>
        </w:tc>
      </w:tr>
      <w:tr>
        <w:trPr>
          <w:trHeight w:val="270"/>
        </w:trPr>
        <w:tc>
          <w:tcPr>
            <w:tcW w:w="5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8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Total home sales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5860" w:type="dxa"/>
            <w:vAlign w:val="bottom"/>
          </w:tcPr>
          <w:p>
            <w:pPr>
              <w:ind w:left="40"/>
              <w:spacing w:after="0"/>
              <w:rPr>
                <w:sz w:val="20"/>
                <w:szCs w:val="20"/>
                <w:color w:val="auto"/>
              </w:rPr>
            </w:pPr>
            <w:r>
              <w:rPr>
                <w:rFonts w:ascii="Arial" w:cs="Arial" w:eastAsia="Arial" w:hAnsi="Arial"/>
                <w:sz w:val="15"/>
                <w:szCs w:val="15"/>
                <w:color w:val="auto"/>
              </w:rPr>
              <w:t>Revenue from home sales</w:t>
            </w:r>
          </w:p>
        </w:tc>
        <w:tc>
          <w:tcPr>
            <w:tcW w:w="180" w:type="dxa"/>
            <w:vAlign w:val="bottom"/>
          </w:tcPr>
          <w:p>
            <w:pPr>
              <w:spacing w:after="0"/>
              <w:rPr>
                <w:sz w:val="23"/>
                <w:szCs w:val="23"/>
                <w:color w:val="auto"/>
              </w:rPr>
            </w:pP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40,587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39,618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44"/>
              <w:spacing w:after="0"/>
              <w:rPr>
                <w:sz w:val="20"/>
                <w:szCs w:val="20"/>
                <w:color w:val="auto"/>
              </w:rPr>
            </w:pPr>
            <w:r>
              <w:rPr>
                <w:rFonts w:ascii="Arial" w:cs="Arial" w:eastAsia="Arial" w:hAnsi="Arial"/>
                <w:sz w:val="15"/>
                <w:szCs w:val="15"/>
                <w:color w:val="auto"/>
              </w:rPr>
              <w:t>969</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2.4 %</w:t>
            </w:r>
          </w:p>
        </w:tc>
      </w:tr>
      <w:tr>
        <w:trPr>
          <w:trHeight w:val="270"/>
        </w:trPr>
        <w:tc>
          <w:tcPr>
            <w:tcW w:w="58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Cost of home sales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30,032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29,277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755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2.6 %</w:t>
            </w:r>
          </w:p>
        </w:tc>
      </w:tr>
      <w:tr>
        <w:trPr>
          <w:trHeight w:val="280"/>
        </w:trPr>
        <w:tc>
          <w:tcPr>
            <w:tcW w:w="58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NOI / Gross Profit – home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10,555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10,341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214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2.1 %</w:t>
            </w:r>
          </w:p>
        </w:tc>
      </w:tr>
      <w:tr>
        <w:trPr>
          <w:trHeight w:val="278"/>
        </w:trPr>
        <w:tc>
          <w:tcPr>
            <w:tcW w:w="5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6"/>
        </w:trPr>
        <w:tc>
          <w:tcPr>
            <w:tcW w:w="5860" w:type="dxa"/>
            <w:vAlign w:val="bottom"/>
          </w:tcPr>
          <w:p>
            <w:pPr>
              <w:ind w:left="40"/>
              <w:spacing w:after="0"/>
              <w:rPr>
                <w:sz w:val="20"/>
                <w:szCs w:val="20"/>
                <w:color w:val="auto"/>
              </w:rPr>
            </w:pPr>
            <w:r>
              <w:rPr>
                <w:rFonts w:ascii="Arial" w:cs="Arial" w:eastAsia="Arial" w:hAnsi="Arial"/>
                <w:sz w:val="15"/>
                <w:szCs w:val="15"/>
                <w:b w:val="1"/>
                <w:bCs w:val="1"/>
                <w:color w:val="auto"/>
              </w:rPr>
              <w:t>Statistical Information</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4"/>
        </w:trPr>
        <w:tc>
          <w:tcPr>
            <w:tcW w:w="5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New home sales volume</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w:t>
            </w:r>
          </w:p>
        </w:tc>
      </w:tr>
      <w:tr>
        <w:trPr>
          <w:trHeight w:val="266"/>
        </w:trPr>
        <w:tc>
          <w:tcPr>
            <w:tcW w:w="58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Pre-owned home sales volume</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644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673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(29)</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(4.3)%</w:t>
            </w:r>
          </w:p>
        </w:tc>
      </w:tr>
      <w:tr>
        <w:trPr>
          <w:trHeight w:val="24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home sales volume</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763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798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(4.4)%</w:t>
            </w: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new homes</w:t>
      </w:r>
    </w:p>
    <w:p>
      <w:pPr>
        <w:spacing w:after="0" w:line="117"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color w:val="auto"/>
        </w:rPr>
        <w:t>For the three months ended March 31, 2020, the $0.8 million, or 33.6 percent increase in gross profit is primarily the result of a 33.6 percent increase in new home sales gross margin partially offset by a 4.8 percent decrease in the new home sales volume, as compared to the same period in 2019.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pre-owned homes</w:t>
      </w:r>
    </w:p>
    <w:p>
      <w:pPr>
        <w:spacing w:after="0" w:line="117"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color w:val="auto"/>
        </w:rPr>
        <w:t>For the three months ended March 31, 2020, the $0.5 million or 6.6 percent decrease in gross profit is primarily the result of a 6.6 percent decrease in pre-owned homes gross margin coupled with a 4.3 percent decrease in pre-owned home sales volume, as compared to the same period in 2019.</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3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Program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Rental Program as of and for the three months ended March 31, 2020 and 2019 (in thousands, except for statistical information):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38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1"/>
        </w:trPr>
        <w:tc>
          <w:tcPr>
            <w:tcW w:w="6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2020</w:t>
            </w:r>
          </w:p>
        </w:tc>
        <w:tc>
          <w:tcPr>
            <w:tcW w:w="14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2019</w:t>
            </w:r>
          </w:p>
        </w:tc>
        <w:tc>
          <w:tcPr>
            <w:tcW w:w="120" w:type="dxa"/>
            <w:vAlign w:val="bottom"/>
          </w:tcPr>
          <w:p>
            <w:pPr>
              <w:spacing w:after="0"/>
              <w:rPr>
                <w:sz w:val="22"/>
                <w:szCs w:val="22"/>
                <w:color w:val="auto"/>
              </w:rPr>
            </w:pPr>
          </w:p>
        </w:tc>
        <w:tc>
          <w:tcPr>
            <w:tcW w:w="660" w:type="dxa"/>
            <w:vAlign w:val="bottom"/>
          </w:tcPr>
          <w:p>
            <w:pPr>
              <w:jc w:val="right"/>
              <w:ind w:right="64"/>
              <w:spacing w:after="0"/>
              <w:rPr>
                <w:sz w:val="20"/>
                <w:szCs w:val="20"/>
                <w:color w:val="auto"/>
              </w:rPr>
            </w:pPr>
            <w:r>
              <w:rPr>
                <w:rFonts w:ascii="Arial" w:cs="Arial" w:eastAsia="Arial" w:hAnsi="Arial"/>
                <w:sz w:val="15"/>
                <w:szCs w:val="15"/>
                <w:b w:val="1"/>
                <w:bCs w:val="1"/>
                <w:color w:val="auto"/>
                <w:w w:val="90"/>
              </w:rPr>
              <w:t>Change</w:t>
            </w:r>
          </w:p>
        </w:tc>
        <w:tc>
          <w:tcPr>
            <w:tcW w:w="100" w:type="dxa"/>
            <w:vAlign w:val="bottom"/>
          </w:tcPr>
          <w:p>
            <w:pPr>
              <w:spacing w:after="0"/>
              <w:rPr>
                <w:sz w:val="22"/>
                <w:szCs w:val="22"/>
                <w:color w:val="auto"/>
              </w:rPr>
            </w:pPr>
          </w:p>
        </w:tc>
        <w:tc>
          <w:tcPr>
            <w:tcW w:w="1220" w:type="dxa"/>
            <w:vAlign w:val="bottom"/>
          </w:tcPr>
          <w:p>
            <w:pPr>
              <w:jc w:val="right"/>
              <w:ind w:right="184"/>
              <w:spacing w:after="0"/>
              <w:rPr>
                <w:sz w:val="20"/>
                <w:szCs w:val="20"/>
                <w:color w:val="auto"/>
              </w:rPr>
            </w:pPr>
            <w:r>
              <w:rPr>
                <w:rFonts w:ascii="Arial" w:cs="Arial" w:eastAsia="Arial" w:hAnsi="Arial"/>
                <w:sz w:val="15"/>
                <w:szCs w:val="15"/>
                <w:b w:val="1"/>
                <w:bCs w:val="1"/>
                <w:color w:val="auto"/>
              </w:rPr>
              <w:t>% Change</w:t>
            </w:r>
          </w:p>
        </w:tc>
      </w:tr>
      <w:tr>
        <w:trPr>
          <w:trHeight w:val="266"/>
        </w:trPr>
        <w:tc>
          <w:tcPr>
            <w:tcW w:w="6260" w:type="dxa"/>
            <w:vAlign w:val="bottom"/>
          </w:tcPr>
          <w:p>
            <w:pPr>
              <w:ind w:left="40"/>
              <w:spacing w:after="0"/>
              <w:rPr>
                <w:sz w:val="20"/>
                <w:szCs w:val="20"/>
                <w:color w:val="auto"/>
              </w:rPr>
            </w:pPr>
            <w:r>
              <w:rPr>
                <w:rFonts w:ascii="Arial" w:cs="Arial" w:eastAsia="Arial" w:hAnsi="Arial"/>
                <w:sz w:val="15"/>
                <w:szCs w:val="15"/>
                <w:b w:val="1"/>
                <w:bCs w:val="1"/>
                <w:color w:val="auto"/>
              </w:rPr>
              <w:t>Financial Information</w:t>
            </w: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r>
      <w:tr>
        <w:trPr>
          <w:trHeight w:val="274"/>
        </w:trPr>
        <w:tc>
          <w:tcPr>
            <w:tcW w:w="62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Revenues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6"/>
        </w:trPr>
        <w:tc>
          <w:tcPr>
            <w:tcW w:w="6260" w:type="dxa"/>
            <w:vAlign w:val="bottom"/>
          </w:tcPr>
          <w:p>
            <w:pPr>
              <w:ind w:left="280"/>
              <w:spacing w:after="0"/>
              <w:rPr>
                <w:sz w:val="20"/>
                <w:szCs w:val="20"/>
                <w:color w:val="auto"/>
              </w:rPr>
            </w:pPr>
            <w:r>
              <w:rPr>
                <w:rFonts w:ascii="Arial" w:cs="Arial" w:eastAsia="Arial" w:hAnsi="Arial"/>
                <w:sz w:val="15"/>
                <w:szCs w:val="15"/>
                <w:color w:val="auto"/>
              </w:rPr>
              <w:t>Rental home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15,472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13,971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1,501</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10.7 %</w:t>
            </w:r>
          </w:p>
        </w:tc>
      </w:tr>
      <w:tr>
        <w:trPr>
          <w:trHeight w:val="274"/>
        </w:trPr>
        <w:tc>
          <w:tcPr>
            <w:tcW w:w="6260" w:type="dxa"/>
            <w:vAlign w:val="bottom"/>
            <w:shd w:val="clear" w:color="auto" w:fill="CCEEFF"/>
          </w:tcPr>
          <w:p>
            <w:pPr>
              <w:ind w:left="280"/>
              <w:spacing w:after="0" w:line="274" w:lineRule="exact"/>
              <w:rPr>
                <w:sz w:val="20"/>
                <w:szCs w:val="20"/>
                <w:color w:val="auto"/>
              </w:rPr>
            </w:pPr>
            <w:r>
              <w:rPr>
                <w:rFonts w:ascii="Arial" w:cs="Arial" w:eastAsia="Arial" w:hAnsi="Arial"/>
                <w:sz w:val="15"/>
                <w:szCs w:val="15"/>
                <w:color w:val="auto"/>
              </w:rPr>
              <w:t xml:space="preserve">Site rent from Rental Program </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18,007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16,878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1,129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6.7 %</w:t>
            </w:r>
          </w:p>
        </w:tc>
      </w:tr>
      <w:tr>
        <w:trPr>
          <w:trHeight w:val="246"/>
        </w:trPr>
        <w:tc>
          <w:tcPr>
            <w:tcW w:w="6260" w:type="dxa"/>
            <w:vAlign w:val="bottom"/>
          </w:tcPr>
          <w:p>
            <w:pPr>
              <w:ind w:left="280"/>
              <w:spacing w:after="0"/>
              <w:rPr>
                <w:sz w:val="20"/>
                <w:szCs w:val="20"/>
                <w:color w:val="auto"/>
              </w:rPr>
            </w:pPr>
            <w:r>
              <w:rPr>
                <w:rFonts w:ascii="Arial" w:cs="Arial" w:eastAsia="Arial" w:hAnsi="Arial"/>
                <w:sz w:val="15"/>
                <w:szCs w:val="15"/>
                <w:color w:val="auto"/>
              </w:rPr>
              <w:t>Rental Program revenue</w:t>
            </w:r>
          </w:p>
        </w:tc>
        <w:tc>
          <w:tcPr>
            <w:tcW w:w="140" w:type="dxa"/>
            <w:vAlign w:val="bottom"/>
          </w:tcPr>
          <w:p>
            <w:pPr>
              <w:spacing w:after="0"/>
              <w:rPr>
                <w:sz w:val="21"/>
                <w:szCs w:val="21"/>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33,479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30,849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2,630</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8.5 %</w:t>
            </w:r>
          </w:p>
        </w:tc>
      </w:tr>
      <w:tr>
        <w:trPr>
          <w:trHeight w:val="274"/>
        </w:trPr>
        <w:tc>
          <w:tcPr>
            <w:tcW w:w="62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Expenses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6"/>
        </w:trPr>
        <w:tc>
          <w:tcPr>
            <w:tcW w:w="6260" w:type="dxa"/>
            <w:vAlign w:val="bottom"/>
          </w:tcPr>
          <w:p>
            <w:pPr>
              <w:ind w:left="280"/>
              <w:spacing w:after="0"/>
              <w:rPr>
                <w:sz w:val="20"/>
                <w:szCs w:val="20"/>
                <w:color w:val="auto"/>
              </w:rPr>
            </w:pPr>
            <w:r>
              <w:rPr>
                <w:rFonts w:ascii="Arial" w:cs="Arial" w:eastAsia="Arial" w:hAnsi="Arial"/>
                <w:sz w:val="15"/>
                <w:szCs w:val="15"/>
                <w:color w:val="auto"/>
              </w:rPr>
              <w:t>Repairs and refurbishment</w:t>
            </w:r>
          </w:p>
        </w:tc>
        <w:tc>
          <w:tcPr>
            <w:tcW w:w="140" w:type="dxa"/>
            <w:vAlign w:val="bottom"/>
          </w:tcPr>
          <w:p>
            <w:pPr>
              <w:spacing w:after="0"/>
              <w:rPr>
                <w:sz w:val="23"/>
                <w:szCs w:val="23"/>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2,953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2,349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604</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25.7 %</w:t>
            </w:r>
          </w:p>
        </w:tc>
      </w:tr>
      <w:tr>
        <w:trPr>
          <w:trHeight w:val="274"/>
        </w:trPr>
        <w:tc>
          <w:tcPr>
            <w:tcW w:w="6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Taxes and insurance</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2,013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8.0 %</w:t>
            </w:r>
          </w:p>
        </w:tc>
      </w:tr>
      <w:tr>
        <w:trPr>
          <w:trHeight w:val="266"/>
        </w:trPr>
        <w:tc>
          <w:tcPr>
            <w:tcW w:w="62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Other</w:t>
            </w: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528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619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(14.7)%</w:t>
            </w:r>
          </w:p>
        </w:tc>
      </w:tr>
      <w:tr>
        <w:trPr>
          <w:trHeight w:val="250"/>
        </w:trPr>
        <w:tc>
          <w:tcPr>
            <w:tcW w:w="6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Rental Program operating and maintenance</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5,494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4,832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662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13.7 %</w:t>
            </w:r>
          </w:p>
        </w:tc>
      </w:tr>
      <w:tr>
        <w:trPr>
          <w:trHeight w:val="281"/>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Rental Program NOI</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27,985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1,968</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7.6 %</w:t>
            </w:r>
          </w:p>
        </w:tc>
      </w:tr>
      <w:tr>
        <w:trPr>
          <w:trHeight w:val="278"/>
        </w:trPr>
        <w:tc>
          <w:tcPr>
            <w:tcW w:w="6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6"/>
        </w:trPr>
        <w:tc>
          <w:tcPr>
            <w:tcW w:w="6260" w:type="dxa"/>
            <w:vAlign w:val="bottom"/>
          </w:tcPr>
          <w:p>
            <w:pPr>
              <w:ind w:left="40"/>
              <w:spacing w:after="0"/>
              <w:rPr>
                <w:sz w:val="20"/>
                <w:szCs w:val="20"/>
                <w:color w:val="auto"/>
              </w:rPr>
            </w:pPr>
            <w:r>
              <w:rPr>
                <w:rFonts w:ascii="Arial" w:cs="Arial" w:eastAsia="Arial" w:hAnsi="Arial"/>
                <w:sz w:val="15"/>
                <w:szCs w:val="15"/>
                <w:b w:val="1"/>
                <w:bCs w:val="1"/>
                <w:color w:val="auto"/>
              </w:rPr>
              <w:t>Other Information</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4"/>
        </w:trPr>
        <w:tc>
          <w:tcPr>
            <w:tcW w:w="6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Number of sold rental homes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11.4 %</w:t>
            </w:r>
          </w:p>
        </w:tc>
      </w:tr>
      <w:tr>
        <w:trPr>
          <w:trHeight w:val="266"/>
        </w:trPr>
        <w:tc>
          <w:tcPr>
            <w:tcW w:w="6260" w:type="dxa"/>
            <w:vAlign w:val="bottom"/>
          </w:tcPr>
          <w:p>
            <w:pPr>
              <w:ind w:left="40"/>
              <w:spacing w:after="0"/>
              <w:rPr>
                <w:sz w:val="20"/>
                <w:szCs w:val="20"/>
                <w:color w:val="auto"/>
              </w:rPr>
            </w:pPr>
            <w:r>
              <w:rPr>
                <w:rFonts w:ascii="Arial" w:cs="Arial" w:eastAsia="Arial" w:hAnsi="Arial"/>
                <w:sz w:val="15"/>
                <w:szCs w:val="15"/>
                <w:color w:val="auto"/>
              </w:rPr>
              <w:t>Number of occupied rentals, end of period</w:t>
            </w:r>
          </w:p>
        </w:tc>
        <w:tc>
          <w:tcPr>
            <w:tcW w:w="140" w:type="dxa"/>
            <w:vAlign w:val="bottom"/>
          </w:tcPr>
          <w:p>
            <w:pPr>
              <w:spacing w:after="0"/>
              <w:rPr>
                <w:sz w:val="23"/>
                <w:szCs w:val="23"/>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11,431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11,170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261</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2.3 %</w:t>
            </w:r>
          </w:p>
        </w:tc>
      </w:tr>
      <w:tr>
        <w:trPr>
          <w:trHeight w:val="274"/>
        </w:trPr>
        <w:tc>
          <w:tcPr>
            <w:tcW w:w="6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in occupied rental homes,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596,319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547,844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48,475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8.8 %</w:t>
            </w:r>
          </w:p>
        </w:tc>
      </w:tr>
      <w:tr>
        <w:trPr>
          <w:trHeight w:val="262"/>
        </w:trPr>
        <w:tc>
          <w:tcPr>
            <w:tcW w:w="6260" w:type="dxa"/>
            <w:vAlign w:val="bottom"/>
          </w:tcPr>
          <w:p>
            <w:pPr>
              <w:ind w:left="40"/>
              <w:spacing w:after="0"/>
              <w:rPr>
                <w:sz w:val="20"/>
                <w:szCs w:val="20"/>
                <w:color w:val="auto"/>
              </w:rPr>
            </w:pPr>
            <w:r>
              <w:rPr>
                <w:rFonts w:ascii="Arial" w:cs="Arial" w:eastAsia="Arial" w:hAnsi="Arial"/>
                <w:sz w:val="15"/>
                <w:szCs w:val="15"/>
                <w:color w:val="auto"/>
              </w:rPr>
              <w:t>Weighted average monthly rental rate,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1,009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963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46</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4.8 %</w:t>
            </w:r>
          </w:p>
        </w:tc>
      </w:tr>
    </w:tbl>
    <w:p>
      <w:pPr>
        <w:jc w:val="both"/>
        <w:ind w:firstLine="8"/>
        <w:spacing w:after="0" w:line="238" w:lineRule="auto"/>
        <w:tabs>
          <w:tab w:leader="none" w:pos="288"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The renter’s monthly payment includes the site rent and an amount attributable to the home lease. The site rent is reflected in Real Property Operations’ segment revenue. For purposes of management analysis, site rent is included in Rental Program revenue to evaluate the incremental revenue gains associated with the implementation of the Rental Program, and to assess the overall growth and performance of the Rental Program and financial impact on the Company’s operations.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Rental Program NOI increased $2.0 million, or 7.6 percent for the three months ended March 31, 2020 as compared to the same period in 2019. The increase is primarily due to an increase in Rental Program revenue of 8.5 percent, or $2.6 million, partially offset by a $0.7 million increase in expenses. The increase in revenue is partially attributable to a 4.8 percent increase in the weighted average monthly rental rate and a 2.3 percent increase in the number of occupied rentals in the three months ended March 31, 2020 as compared to the same period in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3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Items - Statements of Operations </w:t>
      </w:r>
      <w:r>
        <w:rPr>
          <w:rFonts w:ascii="Arial" w:cs="Arial" w:eastAsia="Arial" w:hAnsi="Arial"/>
          <w:sz w:val="18"/>
          <w:szCs w:val="18"/>
          <w:color w:val="auto"/>
          <w:vertAlign w:val="superscript"/>
        </w:rPr>
        <w:t>(1)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income and expenses for the three months ended March 31, 2020 and 2019 (amounts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3"/>
        </w:trPr>
        <w:tc>
          <w:tcPr>
            <w:tcW w:w="5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2020</w:t>
            </w:r>
          </w:p>
        </w:tc>
        <w:tc>
          <w:tcPr>
            <w:tcW w:w="18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2019</w:t>
            </w:r>
          </w:p>
        </w:tc>
        <w:tc>
          <w:tcPr>
            <w:tcW w:w="16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w:t>
            </w:r>
          </w:p>
        </w:tc>
        <w:tc>
          <w:tcPr>
            <w:tcW w:w="1220" w:type="dxa"/>
            <w:vAlign w:val="bottom"/>
          </w:tcPr>
          <w:p>
            <w:pPr>
              <w:jc w:val="right"/>
              <w:ind w:right="184"/>
              <w:spacing w:after="0"/>
              <w:rPr>
                <w:sz w:val="20"/>
                <w:szCs w:val="20"/>
                <w:color w:val="auto"/>
              </w:rPr>
            </w:pPr>
            <w:r>
              <w:rPr>
                <w:rFonts w:ascii="Arial" w:cs="Arial" w:eastAsia="Arial" w:hAnsi="Arial"/>
                <w:sz w:val="15"/>
                <w:szCs w:val="15"/>
                <w:b w:val="1"/>
                <w:bCs w:val="1"/>
                <w:color w:val="auto"/>
              </w:rPr>
              <w:t>% Change</w:t>
            </w:r>
          </w:p>
        </w:tc>
      </w:tr>
      <w:tr>
        <w:trPr>
          <w:trHeight w:val="254"/>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Ancillary revenues, net</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2,713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3,077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(364)</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w:t>
            </w:r>
          </w:p>
        </w:tc>
      </w:tr>
      <w:tr>
        <w:trPr>
          <w:trHeight w:val="266"/>
        </w:trPr>
        <w:tc>
          <w:tcPr>
            <w:tcW w:w="5720" w:type="dxa"/>
            <w:vAlign w:val="bottom"/>
          </w:tcPr>
          <w:p>
            <w:pPr>
              <w:ind w:left="40"/>
              <w:spacing w:after="0"/>
              <w:rPr>
                <w:sz w:val="20"/>
                <w:szCs w:val="20"/>
                <w:color w:val="auto"/>
              </w:rPr>
            </w:pPr>
            <w:r>
              <w:rPr>
                <w:rFonts w:ascii="Arial" w:cs="Arial" w:eastAsia="Arial" w:hAnsi="Arial"/>
                <w:sz w:val="15"/>
                <w:szCs w:val="15"/>
                <w:color w:val="auto"/>
              </w:rPr>
              <w:t>Interest income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2,350</w:t>
            </w:r>
          </w:p>
        </w:tc>
        <w:tc>
          <w:tcPr>
            <w:tcW w:w="100" w:type="dxa"/>
            <w:vAlign w:val="bottom"/>
          </w:tcPr>
          <w:p>
            <w:pPr>
              <w:spacing w:after="0"/>
              <w:rPr>
                <w:sz w:val="23"/>
                <w:szCs w:val="23"/>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4,800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(2,450)</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(51.0)%</w:t>
            </w:r>
          </w:p>
        </w:tc>
      </w:tr>
      <w:tr>
        <w:trPr>
          <w:trHeight w:val="274"/>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Brokerage commissions and other revenues, net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3,913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3,680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233</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6.3 %</w:t>
            </w:r>
          </w:p>
        </w:tc>
      </w:tr>
      <w:tr>
        <w:trPr>
          <w:trHeight w:val="266"/>
        </w:trPr>
        <w:tc>
          <w:tcPr>
            <w:tcW w:w="5720" w:type="dxa"/>
            <w:vAlign w:val="bottom"/>
          </w:tcPr>
          <w:p>
            <w:pPr>
              <w:ind w:left="40"/>
              <w:spacing w:after="0"/>
              <w:rPr>
                <w:sz w:val="20"/>
                <w:szCs w:val="20"/>
                <w:color w:val="auto"/>
              </w:rPr>
            </w:pPr>
            <w:r>
              <w:rPr>
                <w:rFonts w:ascii="Arial" w:cs="Arial" w:eastAsia="Arial" w:hAnsi="Arial"/>
                <w:sz w:val="15"/>
                <w:szCs w:val="15"/>
                <w:color w:val="auto"/>
              </w:rPr>
              <w:t>Home selling expenses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3,992</w:t>
            </w:r>
          </w:p>
        </w:tc>
        <w:tc>
          <w:tcPr>
            <w:tcW w:w="100" w:type="dxa"/>
            <w:vAlign w:val="bottom"/>
          </w:tcPr>
          <w:p>
            <w:pPr>
              <w:spacing w:after="0"/>
              <w:rPr>
                <w:sz w:val="23"/>
                <w:szCs w:val="23"/>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3,324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668</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20.1 %</w:t>
            </w:r>
          </w:p>
        </w:tc>
      </w:tr>
      <w:tr>
        <w:trPr>
          <w:trHeight w:val="274"/>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General and administrative expenses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25,517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21,887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3,630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16.6 %</w:t>
            </w:r>
          </w:p>
        </w:tc>
      </w:tr>
      <w:tr>
        <w:trPr>
          <w:trHeight w:val="266"/>
        </w:trPr>
        <w:tc>
          <w:tcPr>
            <w:tcW w:w="5720" w:type="dxa"/>
            <w:vAlign w:val="bottom"/>
          </w:tcPr>
          <w:p>
            <w:pPr>
              <w:ind w:left="40"/>
              <w:spacing w:after="0"/>
              <w:rPr>
                <w:sz w:val="20"/>
                <w:szCs w:val="20"/>
                <w:color w:val="auto"/>
              </w:rPr>
            </w:pPr>
            <w:r>
              <w:rPr>
                <w:rFonts w:ascii="Arial" w:cs="Arial" w:eastAsia="Arial" w:hAnsi="Arial"/>
                <w:sz w:val="15"/>
                <w:szCs w:val="15"/>
                <w:color w:val="auto"/>
              </w:rPr>
              <w:t>Catastrophic weather-related charges, net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606</w:t>
            </w:r>
          </w:p>
        </w:tc>
        <w:tc>
          <w:tcPr>
            <w:tcW w:w="100" w:type="dxa"/>
            <w:vAlign w:val="bottom"/>
          </w:tcPr>
          <w:p>
            <w:pPr>
              <w:spacing w:after="0"/>
              <w:rPr>
                <w:sz w:val="23"/>
                <w:szCs w:val="23"/>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782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(176)</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(22.5)%</w:t>
            </w:r>
          </w:p>
        </w:tc>
      </w:tr>
      <w:tr>
        <w:trPr>
          <w:trHeight w:val="274"/>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83,689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76,556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7,133</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9.3 %</w:t>
            </w:r>
          </w:p>
        </w:tc>
      </w:tr>
      <w:tr>
        <w:trPr>
          <w:trHeight w:val="266"/>
        </w:trPr>
        <w:tc>
          <w:tcPr>
            <w:tcW w:w="5720" w:type="dxa"/>
            <w:vAlign w:val="bottom"/>
          </w:tcPr>
          <w:p>
            <w:pPr>
              <w:ind w:left="40"/>
              <w:spacing w:after="0"/>
              <w:rPr>
                <w:sz w:val="20"/>
                <w:szCs w:val="20"/>
                <w:color w:val="auto"/>
              </w:rPr>
            </w:pPr>
            <w:r>
              <w:rPr>
                <w:rFonts w:ascii="Arial" w:cs="Arial" w:eastAsia="Arial" w:hAnsi="Arial"/>
                <w:sz w:val="15"/>
                <w:szCs w:val="15"/>
                <w:color w:val="auto"/>
              </w:rPr>
              <w:t>Loss on extinguishment of debt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3,279</w:t>
            </w:r>
          </w:p>
        </w:tc>
        <w:tc>
          <w:tcPr>
            <w:tcW w:w="100" w:type="dxa"/>
            <w:vAlign w:val="bottom"/>
          </w:tcPr>
          <w:p>
            <w:pPr>
              <w:spacing w:after="0"/>
              <w:rPr>
                <w:sz w:val="23"/>
                <w:szCs w:val="23"/>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653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2,626</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402.1 %</w:t>
            </w:r>
          </w:p>
        </w:tc>
      </w:tr>
      <w:tr>
        <w:trPr>
          <w:trHeight w:val="274"/>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32,416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34,014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(1,598)</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r>
      <w:tr>
        <w:trPr>
          <w:trHeight w:val="266"/>
        </w:trPr>
        <w:tc>
          <w:tcPr>
            <w:tcW w:w="5720" w:type="dxa"/>
            <w:vAlign w:val="bottom"/>
          </w:tcPr>
          <w:p>
            <w:pPr>
              <w:ind w:left="40"/>
              <w:spacing w:after="0"/>
              <w:rPr>
                <w:sz w:val="20"/>
                <w:szCs w:val="20"/>
                <w:color w:val="auto"/>
              </w:rPr>
            </w:pPr>
            <w:r>
              <w:rPr>
                <w:rFonts w:ascii="Arial" w:cs="Arial" w:eastAsia="Arial" w:hAnsi="Arial"/>
                <w:sz w:val="15"/>
                <w:szCs w:val="15"/>
                <w:color w:val="auto"/>
              </w:rPr>
              <w:t>Interest on mandatorily redeemable preferred OP units / equity</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1,041</w:t>
            </w:r>
          </w:p>
        </w:tc>
        <w:tc>
          <w:tcPr>
            <w:tcW w:w="100" w:type="dxa"/>
            <w:vAlign w:val="bottom"/>
          </w:tcPr>
          <w:p>
            <w:pPr>
              <w:spacing w:after="0"/>
              <w:rPr>
                <w:sz w:val="23"/>
                <w:szCs w:val="23"/>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1,094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74"/>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Gain / (loss) on remeasurement of marketable securities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(28,914)</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 xml:space="preserve">N/M </w:t>
            </w:r>
            <w:r>
              <w:rPr>
                <w:rFonts w:ascii="Arial" w:cs="Arial" w:eastAsia="Arial" w:hAnsi="Arial"/>
                <w:sz w:val="12"/>
                <w:szCs w:val="12"/>
                <w:color w:val="auto"/>
              </w:rPr>
              <w:t>(2)</w:t>
            </w:r>
          </w:p>
        </w:tc>
      </w:tr>
      <w:tr>
        <w:trPr>
          <w:trHeight w:val="266"/>
        </w:trPr>
        <w:tc>
          <w:tcPr>
            <w:tcW w:w="5720" w:type="dxa"/>
            <w:vAlign w:val="bottom"/>
          </w:tcPr>
          <w:p>
            <w:pPr>
              <w:ind w:left="40"/>
              <w:spacing w:after="0"/>
              <w:rPr>
                <w:sz w:val="20"/>
                <w:szCs w:val="20"/>
                <w:color w:val="auto"/>
              </w:rPr>
            </w:pPr>
            <w:r>
              <w:rPr>
                <w:rFonts w:ascii="Arial" w:cs="Arial" w:eastAsia="Arial" w:hAnsi="Arial"/>
                <w:sz w:val="15"/>
                <w:szCs w:val="15"/>
                <w:color w:val="auto"/>
              </w:rPr>
              <w:t>Gain / (loss) on foreign currency translation</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(17,479)</w:t>
            </w:r>
          </w:p>
        </w:tc>
        <w:tc>
          <w:tcPr>
            <w:tcW w:w="100" w:type="dxa"/>
            <w:vAlign w:val="bottom"/>
          </w:tcPr>
          <w:p>
            <w:pPr>
              <w:spacing w:after="0"/>
              <w:rPr>
                <w:sz w:val="23"/>
                <w:szCs w:val="23"/>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1,965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(19,444)</w:t>
            </w:r>
          </w:p>
        </w:tc>
        <w:tc>
          <w:tcPr>
            <w:tcW w:w="100" w:type="dxa"/>
            <w:vAlign w:val="bottom"/>
          </w:tcPr>
          <w:p>
            <w:pPr>
              <w:spacing w:after="0"/>
              <w:rPr>
                <w:sz w:val="23"/>
                <w:szCs w:val="23"/>
                <w:color w:val="auto"/>
              </w:rPr>
            </w:pPr>
          </w:p>
        </w:tc>
        <w:tc>
          <w:tcPr>
            <w:tcW w:w="1220" w:type="dxa"/>
            <w:vAlign w:val="bottom"/>
          </w:tcPr>
          <w:p>
            <w:pPr>
              <w:jc w:val="right"/>
              <w:ind w:right="144"/>
              <w:spacing w:after="0"/>
              <w:rPr>
                <w:sz w:val="20"/>
                <w:szCs w:val="20"/>
                <w:color w:val="auto"/>
              </w:rPr>
            </w:pPr>
            <w:r>
              <w:rPr>
                <w:rFonts w:ascii="Arial" w:cs="Arial" w:eastAsia="Arial" w:hAnsi="Arial"/>
                <w:sz w:val="15"/>
                <w:szCs w:val="15"/>
                <w:color w:val="auto"/>
              </w:rPr>
              <w:t xml:space="preserve">N/M </w:t>
            </w:r>
            <w:r>
              <w:rPr>
                <w:rFonts w:ascii="Arial" w:cs="Arial" w:eastAsia="Arial" w:hAnsi="Arial"/>
                <w:sz w:val="12"/>
                <w:szCs w:val="12"/>
                <w:color w:val="auto"/>
              </w:rPr>
              <w:t>(2)</w:t>
            </w:r>
          </w:p>
        </w:tc>
      </w:tr>
      <w:tr>
        <w:trPr>
          <w:trHeight w:val="274"/>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expense, net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350.7 %</w:t>
            </w:r>
          </w:p>
        </w:tc>
      </w:tr>
      <w:tr>
        <w:trPr>
          <w:trHeight w:val="266"/>
        </w:trPr>
        <w:tc>
          <w:tcPr>
            <w:tcW w:w="5720" w:type="dxa"/>
            <w:vAlign w:val="bottom"/>
          </w:tcPr>
          <w:p>
            <w:pPr>
              <w:ind w:left="40"/>
              <w:spacing w:after="0"/>
              <w:rPr>
                <w:sz w:val="20"/>
                <w:szCs w:val="20"/>
                <w:color w:val="auto"/>
              </w:rPr>
            </w:pPr>
            <w:r>
              <w:rPr>
                <w:rFonts w:ascii="Arial" w:cs="Arial" w:eastAsia="Arial" w:hAnsi="Arial"/>
                <w:sz w:val="15"/>
                <w:szCs w:val="15"/>
                <w:color w:val="auto"/>
              </w:rPr>
              <w:t>Loss on remeasurement of notes receivable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(2,112)</w:t>
            </w:r>
          </w:p>
        </w:tc>
        <w:tc>
          <w:tcPr>
            <w:tcW w:w="100" w:type="dxa"/>
            <w:vAlign w:val="bottom"/>
          </w:tcPr>
          <w:p>
            <w:pPr>
              <w:spacing w:after="0"/>
              <w:rPr>
                <w:sz w:val="23"/>
                <w:szCs w:val="23"/>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(2,112)</w:t>
            </w:r>
          </w:p>
        </w:tc>
        <w:tc>
          <w:tcPr>
            <w:tcW w:w="100" w:type="dxa"/>
            <w:vAlign w:val="bottom"/>
          </w:tcPr>
          <w:p>
            <w:pPr>
              <w:spacing w:after="0"/>
              <w:rPr>
                <w:sz w:val="23"/>
                <w:szCs w:val="23"/>
                <w:color w:val="auto"/>
              </w:rPr>
            </w:pPr>
          </w:p>
        </w:tc>
        <w:tc>
          <w:tcPr>
            <w:tcW w:w="1220" w:type="dxa"/>
            <w:vAlign w:val="bottom"/>
          </w:tcPr>
          <w:p>
            <w:pPr>
              <w:jc w:val="right"/>
              <w:ind w:right="144"/>
              <w:spacing w:after="0"/>
              <w:rPr>
                <w:sz w:val="20"/>
                <w:szCs w:val="20"/>
                <w:color w:val="auto"/>
              </w:rPr>
            </w:pPr>
            <w:r>
              <w:rPr>
                <w:rFonts w:ascii="Arial" w:cs="Arial" w:eastAsia="Arial" w:hAnsi="Arial"/>
                <w:sz w:val="15"/>
                <w:szCs w:val="15"/>
                <w:color w:val="auto"/>
              </w:rPr>
              <w:t>N/A</w:t>
            </w:r>
          </w:p>
        </w:tc>
      </w:tr>
      <w:tr>
        <w:trPr>
          <w:trHeight w:val="274"/>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from nonconsolidated affiliates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388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(86.6)%</w:t>
            </w:r>
          </w:p>
        </w:tc>
      </w:tr>
      <w:tr>
        <w:trPr>
          <w:trHeight w:val="266"/>
        </w:trPr>
        <w:tc>
          <w:tcPr>
            <w:tcW w:w="5720" w:type="dxa"/>
            <w:vAlign w:val="bottom"/>
          </w:tcPr>
          <w:p>
            <w:pPr>
              <w:ind w:left="40"/>
              <w:spacing w:after="0"/>
              <w:rPr>
                <w:sz w:val="20"/>
                <w:szCs w:val="20"/>
                <w:color w:val="auto"/>
              </w:rPr>
            </w:pPr>
            <w:r>
              <w:rPr>
                <w:rFonts w:ascii="Arial" w:cs="Arial" w:eastAsia="Arial" w:hAnsi="Arial"/>
                <w:sz w:val="15"/>
                <w:szCs w:val="15"/>
                <w:color w:val="auto"/>
              </w:rPr>
              <w:t>Loss on remeasurement of investment in nonconsolidated affiliates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(2,191)</w:t>
            </w:r>
          </w:p>
        </w:tc>
        <w:tc>
          <w:tcPr>
            <w:tcW w:w="100" w:type="dxa"/>
            <w:vAlign w:val="bottom"/>
          </w:tcPr>
          <w:p>
            <w:pPr>
              <w:spacing w:after="0"/>
              <w:rPr>
                <w:sz w:val="23"/>
                <w:szCs w:val="23"/>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(2,191)</w:t>
            </w:r>
          </w:p>
        </w:tc>
        <w:tc>
          <w:tcPr>
            <w:tcW w:w="100" w:type="dxa"/>
            <w:vAlign w:val="bottom"/>
          </w:tcPr>
          <w:p>
            <w:pPr>
              <w:spacing w:after="0"/>
              <w:rPr>
                <w:sz w:val="23"/>
                <w:szCs w:val="23"/>
                <w:color w:val="auto"/>
              </w:rPr>
            </w:pPr>
          </w:p>
        </w:tc>
        <w:tc>
          <w:tcPr>
            <w:tcW w:w="1220" w:type="dxa"/>
            <w:vAlign w:val="bottom"/>
          </w:tcPr>
          <w:p>
            <w:pPr>
              <w:jc w:val="right"/>
              <w:ind w:right="144"/>
              <w:spacing w:after="0"/>
              <w:rPr>
                <w:sz w:val="20"/>
                <w:szCs w:val="20"/>
                <w:color w:val="auto"/>
              </w:rPr>
            </w:pPr>
            <w:r>
              <w:rPr>
                <w:rFonts w:ascii="Arial" w:cs="Arial" w:eastAsia="Arial" w:hAnsi="Arial"/>
                <w:sz w:val="15"/>
                <w:szCs w:val="15"/>
                <w:color w:val="auto"/>
              </w:rPr>
              <w:t>N/A</w:t>
            </w:r>
          </w:p>
        </w:tc>
      </w:tr>
      <w:tr>
        <w:trPr>
          <w:trHeight w:val="274"/>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Current tax expense</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110.3 %</w:t>
            </w:r>
          </w:p>
        </w:tc>
      </w:tr>
      <w:tr>
        <w:trPr>
          <w:trHeight w:val="266"/>
        </w:trPr>
        <w:tc>
          <w:tcPr>
            <w:tcW w:w="5720" w:type="dxa"/>
            <w:vAlign w:val="bottom"/>
          </w:tcPr>
          <w:p>
            <w:pPr>
              <w:ind w:left="40"/>
              <w:spacing w:after="0"/>
              <w:rPr>
                <w:sz w:val="20"/>
                <w:szCs w:val="20"/>
                <w:color w:val="auto"/>
              </w:rPr>
            </w:pPr>
            <w:r>
              <w:rPr>
                <w:rFonts w:ascii="Arial" w:cs="Arial" w:eastAsia="Arial" w:hAnsi="Arial"/>
                <w:sz w:val="15"/>
                <w:szCs w:val="15"/>
                <w:color w:val="auto"/>
              </w:rPr>
              <w:t>Deferred tax benefit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23"/>
                <w:szCs w:val="23"/>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217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(40.1)%</w:t>
            </w:r>
          </w:p>
        </w:tc>
      </w:tr>
      <w:tr>
        <w:trPr>
          <w:trHeight w:val="274"/>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Preferred return to preferred OP units / equity</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1,323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247</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18.7 %</w:t>
            </w:r>
          </w:p>
        </w:tc>
      </w:tr>
      <w:tr>
        <w:trPr>
          <w:trHeight w:val="262"/>
        </w:trPr>
        <w:tc>
          <w:tcPr>
            <w:tcW w:w="5720" w:type="dxa"/>
            <w:vAlign w:val="bottom"/>
          </w:tcPr>
          <w:p>
            <w:pPr>
              <w:ind w:left="40"/>
              <w:spacing w:after="0"/>
              <w:rPr>
                <w:sz w:val="20"/>
                <w:szCs w:val="20"/>
                <w:color w:val="auto"/>
              </w:rPr>
            </w:pPr>
            <w:r>
              <w:rPr>
                <w:rFonts w:ascii="Arial" w:cs="Arial" w:eastAsia="Arial" w:hAnsi="Arial"/>
                <w:sz w:val="15"/>
                <w:szCs w:val="15"/>
                <w:color w:val="auto"/>
              </w:rPr>
              <w:t>Income / (loss) attributable to noncontrolling interests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(962)</w:t>
            </w:r>
          </w:p>
        </w:tc>
        <w:tc>
          <w:tcPr>
            <w:tcW w:w="100" w:type="dxa"/>
            <w:vAlign w:val="bottom"/>
          </w:tcPr>
          <w:p>
            <w:pPr>
              <w:spacing w:after="0"/>
              <w:rPr>
                <w:sz w:val="22"/>
                <w:szCs w:val="22"/>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1,041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(2,003)</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(192.4)%</w:t>
            </w:r>
          </w:p>
        </w:tc>
      </w:tr>
      <w:tr>
        <w:trPr>
          <w:trHeight w:val="270"/>
        </w:trPr>
        <w:tc>
          <w:tcPr>
            <w:tcW w:w="5720" w:type="dxa"/>
            <w:vAlign w:val="bottom"/>
          </w:tcPr>
          <w:p>
            <w:pPr>
              <w:ind w:left="40"/>
              <w:spacing w:after="0"/>
              <w:rPr>
                <w:sz w:val="20"/>
                <w:szCs w:val="20"/>
                <w:color w:val="auto"/>
              </w:rPr>
            </w:pPr>
            <w:r>
              <w:rPr>
                <w:rFonts w:ascii="Arial" w:cs="Arial" w:eastAsia="Arial" w:hAnsi="Arial"/>
                <w:sz w:val="15"/>
                <w:szCs w:val="15"/>
                <w:color w:val="auto"/>
              </w:rPr>
              <w:t>Preferred stock distribution</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432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(432)</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40" w:hanging="132"/>
        <w:spacing w:after="0"/>
        <w:tabs>
          <w:tab w:leader="none" w:pos="140" w:val="left"/>
        </w:tabs>
        <w:numPr>
          <w:ilvl w:val="0"/>
          <w:numId w:val="27"/>
        </w:numPr>
        <w:rPr>
          <w:rFonts w:ascii="Arial" w:cs="Arial" w:eastAsia="Arial" w:hAnsi="Arial"/>
          <w:sz w:val="9"/>
          <w:szCs w:val="9"/>
          <w:color w:val="auto"/>
        </w:rPr>
      </w:pPr>
      <w:r>
        <w:rPr>
          <w:rFonts w:ascii="Arial" w:cs="Arial" w:eastAsia="Arial" w:hAnsi="Arial"/>
          <w:sz w:val="14"/>
          <w:szCs w:val="14"/>
          <w:color w:val="auto"/>
        </w:rPr>
        <w:t>Only items determined by management to be material, of interest, or unique to the quarter are explained below.</w:t>
      </w:r>
    </w:p>
    <w:p>
      <w:pPr>
        <w:spacing w:after="0" w:line="2" w:lineRule="exact"/>
        <w:rPr>
          <w:rFonts w:ascii="Arial" w:cs="Arial" w:eastAsia="Arial" w:hAnsi="Arial"/>
          <w:sz w:val="9"/>
          <w:szCs w:val="9"/>
          <w:color w:val="auto"/>
        </w:rPr>
      </w:pPr>
    </w:p>
    <w:p>
      <w:pPr>
        <w:ind w:left="140" w:hanging="132"/>
        <w:spacing w:after="0"/>
        <w:tabs>
          <w:tab w:leader="none" w:pos="140" w:val="left"/>
        </w:tabs>
        <w:numPr>
          <w:ilvl w:val="0"/>
          <w:numId w:val="27"/>
        </w:numPr>
        <w:rPr>
          <w:rFonts w:ascii="Arial" w:cs="Arial" w:eastAsia="Arial" w:hAnsi="Arial"/>
          <w:sz w:val="9"/>
          <w:szCs w:val="9"/>
          <w:color w:val="auto"/>
        </w:rPr>
      </w:pPr>
      <w:r>
        <w:rPr>
          <w:rFonts w:ascii="Arial" w:cs="Arial" w:eastAsia="Arial" w:hAnsi="Arial"/>
          <w:sz w:val="14"/>
          <w:szCs w:val="14"/>
          <w:color w:val="auto"/>
        </w:rPr>
        <w:t>Percentage change is not meaningful (“N/M “)</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 </w:t>
      </w:r>
      <w:r>
        <w:rPr>
          <w:rFonts w:ascii="Arial" w:cs="Arial" w:eastAsia="Arial" w:hAnsi="Arial"/>
          <w:sz w:val="18"/>
          <w:szCs w:val="18"/>
          <w:color w:val="auto"/>
        </w:rPr>
        <w:t>for the three months ended March 31, 2020, decreased primarily due to lower balances on our notes receivable and derecognition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collateralized notes receivable in November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 </w:t>
      </w:r>
      <w:r>
        <w:rPr>
          <w:rFonts w:ascii="Arial" w:cs="Arial" w:eastAsia="Arial" w:hAnsi="Arial"/>
          <w:sz w:val="18"/>
          <w:szCs w:val="18"/>
          <w:color w:val="auto"/>
        </w:rPr>
        <w:t>for the three months ended March 31, 2020, increased primarily due to an increase in wages and incentives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and amortization - </w:t>
      </w:r>
      <w:r>
        <w:rPr>
          <w:rFonts w:ascii="Arial" w:cs="Arial" w:eastAsia="Arial" w:hAnsi="Arial"/>
          <w:sz w:val="18"/>
          <w:szCs w:val="18"/>
          <w:color w:val="auto"/>
        </w:rPr>
        <w:t>for the three months ended March 31, 2020, increased as a result of significant property acquisitions during 2019. Refer to</w:t>
      </w:r>
      <w:r>
        <w:rPr>
          <w:rFonts w:ascii="Arial" w:cs="Arial" w:eastAsia="Arial" w:hAnsi="Arial"/>
          <w:sz w:val="18"/>
          <w:szCs w:val="18"/>
          <w:i w:val="1"/>
          <w:iCs w:val="1"/>
          <w:color w:val="auto"/>
        </w:rPr>
        <w:t xml:space="preserve"> </w:t>
      </w:r>
      <w:r>
        <w:rPr>
          <w:rFonts w:ascii="Arial" w:cs="Arial" w:eastAsia="Arial" w:hAnsi="Arial"/>
          <w:sz w:val="18"/>
          <w:szCs w:val="18"/>
          <w:color w:val="auto"/>
        </w:rPr>
        <w:t>Note 3, “Real Estate Acquisitions” of our accompanying Consolidated Financial Statements for additional information.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Loss on extinguishment of debt - </w:t>
      </w:r>
      <w:r>
        <w:rPr>
          <w:rFonts w:ascii="Arial" w:cs="Arial" w:eastAsia="Arial" w:hAnsi="Arial"/>
          <w:sz w:val="18"/>
          <w:szCs w:val="18"/>
          <w:color w:val="auto"/>
        </w:rPr>
        <w:t>for the three months ended March 31, 2020, increased primarily due to higher prepayment penalties related to debt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activity as compared to the same period 2019. Refer to Note 8, “Debt and Lines of Credit” of our accompanying Consolidated Financial Statements for additional information.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Loss on remeasurement of marketable securities - </w:t>
      </w:r>
      <w:r>
        <w:rPr>
          <w:rFonts w:ascii="Arial" w:cs="Arial" w:eastAsia="Arial" w:hAnsi="Arial"/>
          <w:sz w:val="18"/>
          <w:szCs w:val="18"/>
          <w:color w:val="auto"/>
        </w:rPr>
        <w:t>for the three months ended March 31, 2020, was $28.6 million, which represents the remeasurement loss</w:t>
      </w:r>
      <w:r>
        <w:rPr>
          <w:rFonts w:ascii="Arial" w:cs="Arial" w:eastAsia="Arial" w:hAnsi="Arial"/>
          <w:sz w:val="18"/>
          <w:szCs w:val="18"/>
          <w:i w:val="1"/>
          <w:iCs w:val="1"/>
          <w:color w:val="auto"/>
        </w:rPr>
        <w:t xml:space="preserve"> </w:t>
      </w:r>
      <w:r>
        <w:rPr>
          <w:rFonts w:ascii="Arial" w:cs="Arial" w:eastAsia="Arial" w:hAnsi="Arial"/>
          <w:sz w:val="18"/>
          <w:szCs w:val="18"/>
          <w:color w:val="auto"/>
        </w:rPr>
        <w:t>from our investment in marketable securities. Refer to Note 14, “Fair Value of Financial Instruments,” in our accompanying Consolidated Financial Statements for additional information.</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Gain / (loss) on foreign currency translation - </w:t>
      </w:r>
      <w:r>
        <w:rPr>
          <w:rFonts w:ascii="Arial" w:cs="Arial" w:eastAsia="Arial" w:hAnsi="Arial"/>
          <w:sz w:val="17"/>
          <w:szCs w:val="17"/>
          <w:color w:val="auto"/>
        </w:rPr>
        <w:t>for the three months ended March 31, 2020, was a $17.5 million loss as compared to $2.0 million gain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in 2019, primarily due to the fluctuation in exchange rate on Canadian and Australian denominated currencies.</w:t>
      </w:r>
    </w:p>
    <w:p>
      <w:pPr>
        <w:spacing w:after="0" w:line="14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Loss on remeasurement of notes receivable - </w:t>
      </w:r>
      <w:r>
        <w:rPr>
          <w:rFonts w:ascii="Arial" w:cs="Arial" w:eastAsia="Arial" w:hAnsi="Arial"/>
          <w:sz w:val="17"/>
          <w:szCs w:val="17"/>
          <w:color w:val="auto"/>
        </w:rPr>
        <w:t>for the three months ended March 31, 2020, represents the adjustment of our in-house financing notes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portfolio, for which we elected the fair value option on January 1, 2020. Refer to Note 14, “Fair Value of Financial instruments,” and Note 17, “Recent Accounting Pronouncements,” in our accompanying Consolidated Financial Statements for additional information.</w:t>
      </w:r>
    </w:p>
    <w:p>
      <w:pPr>
        <w:sectPr>
          <w:pgSz w:w="11900" w:h="16838" w:orient="portrait"/>
          <w:cols w:equalWidth="0" w:num="1">
            <w:col w:w="11240"/>
          </w:cols>
          <w:pgMar w:left="320" w:top="337"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337" w:right="33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from nonconsolidated affiliates - </w:t>
      </w:r>
      <w:r>
        <w:rPr>
          <w:rFonts w:ascii="Arial" w:cs="Arial" w:eastAsia="Arial" w:hAnsi="Arial"/>
          <w:sz w:val="18"/>
          <w:szCs w:val="18"/>
          <w:color w:val="auto"/>
        </w:rPr>
        <w:t>decreased primarily due to our nonconsolidated affiliates’ decreased performance impacted by COVID-19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Refer to Note 6, “Investment in Affiliates,” in our accompanying Consolidated Financial Statements for additional information.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Loss on remeasurement of investment in nonconsolidated affiliates - </w:t>
      </w:r>
      <w:r>
        <w:rPr>
          <w:rFonts w:ascii="Arial" w:cs="Arial" w:eastAsia="Arial" w:hAnsi="Arial"/>
          <w:sz w:val="18"/>
          <w:szCs w:val="18"/>
          <w:color w:val="auto"/>
        </w:rPr>
        <w:t>for the three months ended March 31, 2020, represents the adjustment of our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investment in GTSC, for which we elected the fair value option on January 1, 2020. Refer to Note 6, </w:t>
      </w:r>
      <w:r>
        <w:rPr>
          <w:rFonts w:ascii="Arial" w:cs="Arial" w:eastAsia="Arial" w:hAnsi="Arial"/>
          <w:sz w:val="18"/>
          <w:szCs w:val="18"/>
          <w:b w:val="1"/>
          <w:bCs w:val="1"/>
          <w:color w:val="auto"/>
        </w:rPr>
        <w:t>“</w:t>
      </w:r>
      <w:r>
        <w:rPr>
          <w:rFonts w:ascii="Arial" w:cs="Arial" w:eastAsia="Arial" w:hAnsi="Arial"/>
          <w:sz w:val="18"/>
          <w:szCs w:val="18"/>
          <w:color w:val="auto"/>
        </w:rPr>
        <w:t>Investment in Affiliates.” and Note 17, “Recent Accounting Pronouncements,” in our accompanying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Current tax expense - </w:t>
      </w:r>
      <w:r>
        <w:rPr>
          <w:rFonts w:ascii="Arial" w:cs="Arial" w:eastAsia="Arial" w:hAnsi="Arial"/>
          <w:sz w:val="18"/>
          <w:szCs w:val="18"/>
          <w:color w:val="auto"/>
        </w:rPr>
        <w:t>Refer to Note 12, “Income Taxes,” of our accompanying Consolidated Financial Statements for additional information.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Preferred return to preferred OP units / equity - </w:t>
      </w:r>
      <w:r>
        <w:rPr>
          <w:rFonts w:ascii="Arial" w:cs="Arial" w:eastAsia="Arial" w:hAnsi="Arial"/>
          <w:sz w:val="18"/>
          <w:szCs w:val="18"/>
          <w:color w:val="auto"/>
        </w:rPr>
        <w:t>for the three months ended March 31, 2020 increased primarily as a result of issuing 90,000 Series 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OP units in conjunction with an acquisition in March 2020. Refer to Note 3, “Acquisitions,” and Note 9, “Equity and Temporary Equity,” of our accompanying Consolidated Financial Statements for additional information.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 (loss) attributable to noncontrolling interests - </w:t>
      </w:r>
      <w:r>
        <w:rPr>
          <w:rFonts w:ascii="Arial" w:cs="Arial" w:eastAsia="Arial" w:hAnsi="Arial"/>
          <w:sz w:val="18"/>
          <w:szCs w:val="18"/>
          <w:color w:val="auto"/>
        </w:rPr>
        <w:t>for the three months ended March 31, 2020 was a loss primarily as a result of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in our RV based joint ventures as compared to the same period in 2019. This decreased performance is attributable to the impact of COVID-19 on cancellations at RV resorts.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37"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 (Loss) Attributable to Sun Communities, Inc. Common Stockholders to FFO</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Net income / (loss) attributable to Sun Communities, Inc. common stockholders to FFO for the three months ended March 31, 2020 and 2019 (in thousands, except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63"/>
        </w:trPr>
        <w:tc>
          <w:tcPr>
            <w:tcW w:w="8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15"/>
                <w:szCs w:val="15"/>
                <w:b w:val="1"/>
                <w:bCs w:val="1"/>
                <w:color w:val="auto"/>
              </w:rPr>
              <w:t>March 31, 2020</w:t>
            </w:r>
          </w:p>
        </w:tc>
        <w:tc>
          <w:tcPr>
            <w:tcW w:w="1220" w:type="dxa"/>
            <w:vAlign w:val="bottom"/>
            <w:gridSpan w:val="2"/>
          </w:tcPr>
          <w:p>
            <w:pPr>
              <w:jc w:val="right"/>
              <w:ind w:right="23"/>
              <w:spacing w:after="0"/>
              <w:rPr>
                <w:sz w:val="20"/>
                <w:szCs w:val="20"/>
                <w:color w:val="auto"/>
              </w:rPr>
            </w:pPr>
            <w:r>
              <w:rPr>
                <w:rFonts w:ascii="Arial" w:cs="Arial" w:eastAsia="Arial" w:hAnsi="Arial"/>
                <w:sz w:val="15"/>
                <w:szCs w:val="15"/>
                <w:b w:val="1"/>
                <w:bCs w:val="1"/>
                <w:color w:val="auto"/>
              </w:rPr>
              <w:t>March 31, 2019</w:t>
            </w:r>
          </w:p>
        </w:tc>
        <w:tc>
          <w:tcPr>
            <w:tcW w:w="0" w:type="dxa"/>
            <w:vAlign w:val="bottom"/>
          </w:tcPr>
          <w:p>
            <w:pPr>
              <w:spacing w:after="0"/>
              <w:rPr>
                <w:sz w:val="1"/>
                <w:szCs w:val="1"/>
                <w:color w:val="auto"/>
              </w:rPr>
            </w:pPr>
          </w:p>
        </w:tc>
      </w:tr>
      <w:tr>
        <w:trPr>
          <w:trHeight w:val="254"/>
        </w:trPr>
        <w:tc>
          <w:tcPr>
            <w:tcW w:w="8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 (Loss) Attributable to Sun Communities, Inc. Common Stockholders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(16,086)</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34,331</w:t>
            </w:r>
          </w:p>
        </w:tc>
        <w:tc>
          <w:tcPr>
            <w:tcW w:w="0" w:type="dxa"/>
            <w:vAlign w:val="bottom"/>
          </w:tcPr>
          <w:p>
            <w:pPr>
              <w:spacing w:after="0"/>
              <w:rPr>
                <w:sz w:val="1"/>
                <w:szCs w:val="1"/>
                <w:color w:val="auto"/>
              </w:rPr>
            </w:pPr>
          </w:p>
        </w:tc>
      </w:tr>
      <w:tr>
        <w:trPr>
          <w:trHeight w:val="270"/>
        </w:trPr>
        <w:tc>
          <w:tcPr>
            <w:tcW w:w="8660" w:type="dxa"/>
            <w:vAlign w:val="bottom"/>
          </w:tcPr>
          <w:p>
            <w:pPr>
              <w:ind w:left="40"/>
              <w:spacing w:after="0"/>
              <w:rPr>
                <w:sz w:val="20"/>
                <w:szCs w:val="20"/>
                <w:color w:val="auto"/>
              </w:rPr>
            </w:pPr>
            <w:r>
              <w:rPr>
                <w:rFonts w:ascii="Arial" w:cs="Arial" w:eastAsia="Arial" w:hAnsi="Arial"/>
                <w:sz w:val="15"/>
                <w:szCs w:val="15"/>
                <w:color w:val="auto"/>
              </w:rPr>
              <w:t>Adjustments</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shd w:val="clear" w:color="auto" w:fill="CCEEFF"/>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83,752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76,712</w:t>
            </w:r>
          </w:p>
        </w:tc>
        <w:tc>
          <w:tcPr>
            <w:tcW w:w="0" w:type="dxa"/>
            <w:vAlign w:val="bottom"/>
          </w:tcPr>
          <w:p>
            <w:pPr>
              <w:spacing w:after="0"/>
              <w:rPr>
                <w:sz w:val="1"/>
                <w:szCs w:val="1"/>
                <w:color w:val="auto"/>
              </w:rPr>
            </w:pPr>
          </w:p>
        </w:tc>
      </w:tr>
      <w:tr>
        <w:trPr>
          <w:trHeight w:val="266"/>
        </w:trPr>
        <w:tc>
          <w:tcPr>
            <w:tcW w:w="8660" w:type="dxa"/>
            <w:vAlign w:val="bottom"/>
          </w:tcPr>
          <w:p>
            <w:pPr>
              <w:ind w:left="280"/>
              <w:spacing w:after="0"/>
              <w:rPr>
                <w:sz w:val="20"/>
                <w:szCs w:val="20"/>
                <w:color w:val="auto"/>
              </w:rPr>
            </w:pPr>
            <w:r>
              <w:rPr>
                <w:rFonts w:ascii="Arial" w:cs="Arial" w:eastAsia="Arial" w:hAnsi="Arial"/>
                <w:sz w:val="15"/>
                <w:szCs w:val="15"/>
                <w:color w:val="auto"/>
              </w:rPr>
              <w:t>(Gain) / loss on remeasurement of marketable securities</w:t>
            </w:r>
          </w:p>
        </w:tc>
        <w:tc>
          <w:tcPr>
            <w:tcW w:w="12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28,647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274"/>
        </w:trPr>
        <w:tc>
          <w:tcPr>
            <w:tcW w:w="8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Loss on remeasurement of investment in nonconsolidated affiliates</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2,191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8660" w:type="dxa"/>
            <w:vAlign w:val="bottom"/>
          </w:tcPr>
          <w:p>
            <w:pPr>
              <w:ind w:left="280"/>
              <w:spacing w:after="0"/>
              <w:rPr>
                <w:sz w:val="20"/>
                <w:szCs w:val="20"/>
                <w:color w:val="auto"/>
              </w:rPr>
            </w:pPr>
            <w:r>
              <w:rPr>
                <w:rFonts w:ascii="Arial" w:cs="Arial" w:eastAsia="Arial" w:hAnsi="Arial"/>
                <w:sz w:val="15"/>
                <w:szCs w:val="15"/>
                <w:color w:val="auto"/>
              </w:rPr>
              <w:t>Loss on remeasurement of notes receivable</w:t>
            </w:r>
          </w:p>
        </w:tc>
        <w:tc>
          <w:tcPr>
            <w:tcW w:w="12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2,112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8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 (loss) attributable to noncontrolling interests</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723</w:t>
            </w:r>
          </w:p>
        </w:tc>
        <w:tc>
          <w:tcPr>
            <w:tcW w:w="0" w:type="dxa"/>
            <w:vAlign w:val="bottom"/>
          </w:tcPr>
          <w:p>
            <w:pPr>
              <w:spacing w:after="0"/>
              <w:rPr>
                <w:sz w:val="1"/>
                <w:szCs w:val="1"/>
                <w:color w:val="auto"/>
              </w:rPr>
            </w:pPr>
          </w:p>
        </w:tc>
      </w:tr>
      <w:tr>
        <w:trPr>
          <w:trHeight w:val="266"/>
        </w:trPr>
        <w:tc>
          <w:tcPr>
            <w:tcW w:w="8660" w:type="dxa"/>
            <w:vAlign w:val="bottom"/>
          </w:tcPr>
          <w:p>
            <w:pPr>
              <w:ind w:left="280"/>
              <w:spacing w:after="0"/>
              <w:rPr>
                <w:sz w:val="20"/>
                <w:szCs w:val="20"/>
                <w:color w:val="auto"/>
              </w:rPr>
            </w:pPr>
            <w:r>
              <w:rPr>
                <w:rFonts w:ascii="Arial" w:cs="Arial" w:eastAsia="Arial" w:hAnsi="Arial"/>
                <w:sz w:val="15"/>
                <w:szCs w:val="15"/>
                <w:color w:val="auto"/>
              </w:rPr>
              <w:t>Preferred return to preferred OP units</w:t>
            </w:r>
          </w:p>
        </w:tc>
        <w:tc>
          <w:tcPr>
            <w:tcW w:w="12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874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527</w:t>
            </w:r>
          </w:p>
        </w:tc>
        <w:tc>
          <w:tcPr>
            <w:tcW w:w="0" w:type="dxa"/>
            <w:vAlign w:val="bottom"/>
          </w:tcPr>
          <w:p>
            <w:pPr>
              <w:spacing w:after="0"/>
              <w:rPr>
                <w:sz w:val="1"/>
                <w:szCs w:val="1"/>
                <w:color w:val="auto"/>
              </w:rPr>
            </w:pPr>
          </w:p>
        </w:tc>
      </w:tr>
      <w:tr>
        <w:trPr>
          <w:trHeight w:val="274"/>
        </w:trPr>
        <w:tc>
          <w:tcPr>
            <w:tcW w:w="8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Preferred distribution to Series A-4 preferred stock</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432</w:t>
            </w:r>
          </w:p>
        </w:tc>
        <w:tc>
          <w:tcPr>
            <w:tcW w:w="0" w:type="dxa"/>
            <w:vAlign w:val="bottom"/>
          </w:tcPr>
          <w:p>
            <w:pPr>
              <w:spacing w:after="0"/>
              <w:rPr>
                <w:sz w:val="1"/>
                <w:szCs w:val="1"/>
                <w:color w:val="auto"/>
              </w:rPr>
            </w:pPr>
          </w:p>
        </w:tc>
      </w:tr>
      <w:tr>
        <w:trPr>
          <w:trHeight w:val="266"/>
        </w:trPr>
        <w:tc>
          <w:tcPr>
            <w:tcW w:w="86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Gain on disposition of assets, net</w:t>
            </w: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(5,562)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(5,679)</w:t>
            </w:r>
          </w:p>
        </w:tc>
        <w:tc>
          <w:tcPr>
            <w:tcW w:w="0" w:type="dxa"/>
            <w:vAlign w:val="bottom"/>
          </w:tcPr>
          <w:p>
            <w:pPr>
              <w:spacing w:after="0"/>
              <w:rPr>
                <w:sz w:val="1"/>
                <w:szCs w:val="1"/>
                <w:color w:val="auto"/>
              </w:rPr>
            </w:pPr>
          </w:p>
        </w:tc>
      </w:tr>
      <w:tr>
        <w:trPr>
          <w:trHeight w:val="227"/>
        </w:trPr>
        <w:tc>
          <w:tcPr>
            <w:tcW w:w="8660" w:type="dxa"/>
            <w:vAlign w:val="bottom"/>
            <w:shd w:val="clear" w:color="auto" w:fill="CCEEFF"/>
          </w:tcPr>
          <w:p>
            <w:pPr>
              <w:ind w:left="40"/>
              <w:spacing w:after="0" w:line="227" w:lineRule="exact"/>
              <w:rPr>
                <w:sz w:val="20"/>
                <w:szCs w:val="20"/>
                <w:color w:val="auto"/>
              </w:rPr>
            </w:pPr>
            <w:r>
              <w:rPr>
                <w:rFonts w:ascii="Arial" w:cs="Arial" w:eastAsia="Arial" w:hAnsi="Arial"/>
                <w:sz w:val="15"/>
                <w:szCs w:val="15"/>
                <w:b w:val="1"/>
                <w:bCs w:val="1"/>
                <w:color w:val="auto"/>
              </w:rPr>
              <w:t xml:space="preserve">FFO Attributable To Sun Communities, Inc. Common Stockholders And Dilutive Convertible Securities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95,046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106,779</w:t>
            </w:r>
          </w:p>
        </w:tc>
        <w:tc>
          <w:tcPr>
            <w:tcW w:w="0" w:type="dxa"/>
            <w:vAlign w:val="bottom"/>
          </w:tcPr>
          <w:p>
            <w:pPr>
              <w:spacing w:after="0"/>
              <w:rPr>
                <w:sz w:val="1"/>
                <w:szCs w:val="1"/>
                <w:color w:val="auto"/>
              </w:rPr>
            </w:pPr>
          </w:p>
        </w:tc>
      </w:tr>
      <w:tr>
        <w:trPr>
          <w:trHeight w:val="46"/>
        </w:trPr>
        <w:tc>
          <w:tcPr>
            <w:tcW w:w="8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8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8660" w:type="dxa"/>
            <w:vAlign w:val="bottom"/>
          </w:tcPr>
          <w:p>
            <w:pPr>
              <w:ind w:left="40"/>
              <w:spacing w:after="0"/>
              <w:rPr>
                <w:sz w:val="20"/>
                <w:szCs w:val="20"/>
                <w:color w:val="auto"/>
              </w:rPr>
            </w:pPr>
            <w:r>
              <w:rPr>
                <w:rFonts w:ascii="Arial" w:cs="Arial" w:eastAsia="Arial" w:hAnsi="Arial"/>
                <w:sz w:val="15"/>
                <w:szCs w:val="15"/>
                <w:color w:val="auto"/>
              </w:rPr>
              <w:t>Adjustments</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660" w:type="dxa"/>
            <w:vAlign w:val="bottom"/>
            <w:shd w:val="clear" w:color="auto" w:fill="CCEEFF"/>
          </w:tcPr>
          <w:p>
            <w:pPr>
              <w:ind w:left="280"/>
              <w:spacing w:after="0" w:line="274" w:lineRule="exact"/>
              <w:rPr>
                <w:sz w:val="20"/>
                <w:szCs w:val="20"/>
                <w:color w:val="auto"/>
              </w:rPr>
            </w:pPr>
            <w:r>
              <w:rPr>
                <w:rFonts w:ascii="Arial" w:cs="Arial" w:eastAsia="Arial" w:hAnsi="Arial"/>
                <w:sz w:val="15"/>
                <w:szCs w:val="15"/>
                <w:color w:val="auto"/>
              </w:rPr>
              <w:t xml:space="preserve">Other acquisition related costs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385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66"/>
        </w:trPr>
        <w:tc>
          <w:tcPr>
            <w:tcW w:w="8660" w:type="dxa"/>
            <w:vAlign w:val="bottom"/>
          </w:tcPr>
          <w:p>
            <w:pPr>
              <w:ind w:left="280"/>
              <w:spacing w:after="0"/>
              <w:rPr>
                <w:sz w:val="20"/>
                <w:szCs w:val="20"/>
                <w:color w:val="auto"/>
              </w:rPr>
            </w:pPr>
            <w:r>
              <w:rPr>
                <w:rFonts w:ascii="Arial" w:cs="Arial" w:eastAsia="Arial" w:hAnsi="Arial"/>
                <w:sz w:val="15"/>
                <w:szCs w:val="15"/>
                <w:color w:val="auto"/>
              </w:rPr>
              <w:t>Loss on extinguishment of debt</w:t>
            </w:r>
          </w:p>
        </w:tc>
        <w:tc>
          <w:tcPr>
            <w:tcW w:w="12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3,279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653</w:t>
            </w:r>
          </w:p>
        </w:tc>
        <w:tc>
          <w:tcPr>
            <w:tcW w:w="0" w:type="dxa"/>
            <w:vAlign w:val="bottom"/>
          </w:tcPr>
          <w:p>
            <w:pPr>
              <w:spacing w:after="0"/>
              <w:rPr>
                <w:sz w:val="1"/>
                <w:szCs w:val="1"/>
                <w:color w:val="auto"/>
              </w:rPr>
            </w:pPr>
          </w:p>
        </w:tc>
      </w:tr>
      <w:tr>
        <w:trPr>
          <w:trHeight w:val="274"/>
        </w:trPr>
        <w:tc>
          <w:tcPr>
            <w:tcW w:w="8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Catastrophic weather-related charges, net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606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782</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line="270" w:lineRule="exact"/>
              <w:rPr>
                <w:sz w:val="20"/>
                <w:szCs w:val="20"/>
                <w:color w:val="auto"/>
              </w:rPr>
            </w:pPr>
            <w:r>
              <w:rPr>
                <w:rFonts w:ascii="Arial" w:cs="Arial" w:eastAsia="Arial" w:hAnsi="Arial"/>
                <w:sz w:val="15"/>
                <w:szCs w:val="15"/>
                <w:color w:val="auto"/>
              </w:rPr>
              <w:t xml:space="preserve">Loss of earnings - catastrophic weather related </w:t>
            </w:r>
            <w:r>
              <w:rPr>
                <w:rFonts w:ascii="Arial" w:cs="Arial" w:eastAsia="Arial" w:hAnsi="Arial"/>
                <w:sz w:val="25"/>
                <w:szCs w:val="25"/>
                <w:color w:val="auto"/>
                <w:vertAlign w:val="superscript"/>
              </w:rPr>
              <w:t>(3)</w:t>
            </w:r>
          </w:p>
        </w:tc>
        <w:tc>
          <w:tcPr>
            <w:tcW w:w="12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8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(Gain) / loss on foreign currency translation</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17,479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(1,965)</w:t>
            </w:r>
          </w:p>
        </w:tc>
        <w:tc>
          <w:tcPr>
            <w:tcW w:w="0" w:type="dxa"/>
            <w:vAlign w:val="bottom"/>
          </w:tcPr>
          <w:p>
            <w:pPr>
              <w:spacing w:after="0"/>
              <w:rPr>
                <w:sz w:val="1"/>
                <w:szCs w:val="1"/>
                <w:color w:val="auto"/>
              </w:rPr>
            </w:pPr>
          </w:p>
        </w:tc>
      </w:tr>
      <w:tr>
        <w:trPr>
          <w:trHeight w:val="266"/>
        </w:trPr>
        <w:tc>
          <w:tcPr>
            <w:tcW w:w="8660" w:type="dxa"/>
            <w:vAlign w:val="bottom"/>
          </w:tcPr>
          <w:p>
            <w:pPr>
              <w:ind w:left="280"/>
              <w:spacing w:after="0"/>
              <w:rPr>
                <w:sz w:val="20"/>
                <w:szCs w:val="20"/>
                <w:color w:val="auto"/>
              </w:rPr>
            </w:pPr>
            <w:r>
              <w:rPr>
                <w:rFonts w:ascii="Arial" w:cs="Arial" w:eastAsia="Arial" w:hAnsi="Arial"/>
                <w:sz w:val="15"/>
                <w:szCs w:val="15"/>
                <w:color w:val="auto"/>
              </w:rPr>
              <w:t>Other expense, net</w:t>
            </w:r>
          </w:p>
        </w:tc>
        <w:tc>
          <w:tcPr>
            <w:tcW w:w="12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70"/>
        </w:trPr>
        <w:tc>
          <w:tcPr>
            <w:tcW w:w="8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tax benefits</w:t>
            </w: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280"/>
        </w:trPr>
        <w:tc>
          <w:tcPr>
            <w:tcW w:w="8660" w:type="dxa"/>
            <w:vAlign w:val="bottom"/>
            <w:tcBorders>
              <w:bottom w:val="single" w:sz="8" w:color="CCEEFF"/>
            </w:tcBorders>
          </w:tcPr>
          <w:p>
            <w:pPr>
              <w:ind w:left="40"/>
              <w:spacing w:after="0" w:line="240" w:lineRule="exact"/>
              <w:rPr>
                <w:sz w:val="20"/>
                <w:szCs w:val="20"/>
                <w:color w:val="auto"/>
              </w:rPr>
            </w:pPr>
            <w:r>
              <w:rPr>
                <w:rFonts w:ascii="Arial" w:cs="Arial" w:eastAsia="Arial" w:hAnsi="Arial"/>
                <w:sz w:val="15"/>
                <w:szCs w:val="15"/>
                <w:b w:val="1"/>
                <w:bCs w:val="1"/>
                <w:color w:val="auto"/>
              </w:rPr>
              <w:t>Core FFO Attributable To Sun Communities, Inc. Common Stockholders And Dilutive Convertible</w:t>
            </w:r>
            <w:r>
              <w:rPr>
                <w:rFonts w:ascii="Arial" w:cs="Arial" w:eastAsia="Arial" w:hAnsi="Arial"/>
                <w:sz w:val="25"/>
                <w:szCs w:val="25"/>
                <w:b w:val="1"/>
                <w:bCs w:val="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117,267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106,259</w:t>
            </w:r>
          </w:p>
        </w:tc>
        <w:tc>
          <w:tcPr>
            <w:tcW w:w="0" w:type="dxa"/>
            <w:vAlign w:val="bottom"/>
          </w:tcPr>
          <w:p>
            <w:pPr>
              <w:spacing w:after="0"/>
              <w:rPr>
                <w:sz w:val="1"/>
                <w:szCs w:val="1"/>
                <w:color w:val="auto"/>
              </w:rPr>
            </w:pPr>
          </w:p>
        </w:tc>
      </w:tr>
      <w:tr>
        <w:trPr>
          <w:trHeight w:val="264"/>
        </w:trPr>
        <w:tc>
          <w:tcPr>
            <w:tcW w:w="8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8660" w:type="dxa"/>
            <w:vAlign w:val="bottom"/>
          </w:tcPr>
          <w:p>
            <w:pPr>
              <w:ind w:left="40"/>
              <w:spacing w:after="0"/>
              <w:rPr>
                <w:sz w:val="20"/>
                <w:szCs w:val="20"/>
                <w:color w:val="auto"/>
              </w:rPr>
            </w:pPr>
            <w:r>
              <w:rPr>
                <w:rFonts w:ascii="Arial" w:cs="Arial" w:eastAsia="Arial" w:hAnsi="Arial"/>
                <w:sz w:val="15"/>
                <w:szCs w:val="15"/>
                <w:color w:val="auto"/>
              </w:rPr>
              <w:t>Weighted average common shares outstanding - basic</w:t>
            </w:r>
          </w:p>
        </w:tc>
        <w:tc>
          <w:tcPr>
            <w:tcW w:w="12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92,410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85,520</w:t>
            </w:r>
          </w:p>
        </w:tc>
        <w:tc>
          <w:tcPr>
            <w:tcW w:w="0" w:type="dxa"/>
            <w:vAlign w:val="bottom"/>
          </w:tcPr>
          <w:p>
            <w:pPr>
              <w:spacing w:after="0"/>
              <w:rPr>
                <w:sz w:val="1"/>
                <w:szCs w:val="1"/>
                <w:color w:val="auto"/>
              </w:rPr>
            </w:pPr>
          </w:p>
        </w:tc>
      </w:tr>
      <w:tr>
        <w:trPr>
          <w:trHeight w:val="274"/>
        </w:trPr>
        <w:tc>
          <w:tcPr>
            <w:tcW w:w="8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Add</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660" w:type="dxa"/>
            <w:vAlign w:val="bottom"/>
          </w:tcPr>
          <w:p>
            <w:pPr>
              <w:ind w:left="280"/>
              <w:spacing w:after="0"/>
              <w:rPr>
                <w:sz w:val="20"/>
                <w:szCs w:val="20"/>
                <w:color w:val="auto"/>
              </w:rPr>
            </w:pPr>
            <w:r>
              <w:rPr>
                <w:rFonts w:ascii="Arial" w:cs="Arial" w:eastAsia="Arial" w:hAnsi="Arial"/>
                <w:sz w:val="15"/>
                <w:szCs w:val="15"/>
                <w:color w:val="auto"/>
              </w:rPr>
              <w:t>Common OP units</w:t>
            </w:r>
          </w:p>
        </w:tc>
        <w:tc>
          <w:tcPr>
            <w:tcW w:w="12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2,412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2,722</w:t>
            </w:r>
          </w:p>
        </w:tc>
        <w:tc>
          <w:tcPr>
            <w:tcW w:w="0" w:type="dxa"/>
            <w:vAlign w:val="bottom"/>
          </w:tcPr>
          <w:p>
            <w:pPr>
              <w:spacing w:after="0"/>
              <w:rPr>
                <w:sz w:val="1"/>
                <w:szCs w:val="1"/>
                <w:color w:val="auto"/>
              </w:rPr>
            </w:pPr>
          </w:p>
        </w:tc>
      </w:tr>
      <w:tr>
        <w:trPr>
          <w:trHeight w:val="274"/>
        </w:trPr>
        <w:tc>
          <w:tcPr>
            <w:tcW w:w="8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Common stock issuable upon conversion of stock options</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66"/>
        </w:trPr>
        <w:tc>
          <w:tcPr>
            <w:tcW w:w="8660" w:type="dxa"/>
            <w:vAlign w:val="bottom"/>
          </w:tcPr>
          <w:p>
            <w:pPr>
              <w:ind w:left="280"/>
              <w:spacing w:after="0"/>
              <w:rPr>
                <w:sz w:val="20"/>
                <w:szCs w:val="20"/>
                <w:color w:val="auto"/>
              </w:rPr>
            </w:pPr>
            <w:r>
              <w:rPr>
                <w:rFonts w:ascii="Arial" w:cs="Arial" w:eastAsia="Arial" w:hAnsi="Arial"/>
                <w:sz w:val="15"/>
                <w:szCs w:val="15"/>
                <w:color w:val="auto"/>
              </w:rPr>
              <w:t>Restricted stock</w:t>
            </w:r>
          </w:p>
        </w:tc>
        <w:tc>
          <w:tcPr>
            <w:tcW w:w="12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524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512</w:t>
            </w:r>
          </w:p>
        </w:tc>
        <w:tc>
          <w:tcPr>
            <w:tcW w:w="0" w:type="dxa"/>
            <w:vAlign w:val="bottom"/>
          </w:tcPr>
          <w:p>
            <w:pPr>
              <w:spacing w:after="0"/>
              <w:rPr>
                <w:sz w:val="1"/>
                <w:szCs w:val="1"/>
                <w:color w:val="auto"/>
              </w:rPr>
            </w:pPr>
          </w:p>
        </w:tc>
      </w:tr>
      <w:tr>
        <w:trPr>
          <w:trHeight w:val="274"/>
        </w:trPr>
        <w:tc>
          <w:tcPr>
            <w:tcW w:w="8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Common stock issuable upon conversion of Series A-3 preferred OP units</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66"/>
        </w:trPr>
        <w:tc>
          <w:tcPr>
            <w:tcW w:w="8660" w:type="dxa"/>
            <w:vAlign w:val="bottom"/>
          </w:tcPr>
          <w:p>
            <w:pPr>
              <w:ind w:left="280"/>
              <w:spacing w:after="0"/>
              <w:rPr>
                <w:sz w:val="20"/>
                <w:szCs w:val="20"/>
                <w:color w:val="auto"/>
              </w:rPr>
            </w:pPr>
            <w:r>
              <w:rPr>
                <w:rFonts w:ascii="Arial" w:cs="Arial" w:eastAsia="Arial" w:hAnsi="Arial"/>
                <w:sz w:val="15"/>
                <w:szCs w:val="15"/>
                <w:color w:val="auto"/>
              </w:rPr>
              <w:t>Common stock issuable upon conversion of Series A-1 preferred OP units</w:t>
            </w:r>
          </w:p>
        </w:tc>
        <w:tc>
          <w:tcPr>
            <w:tcW w:w="12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746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803</w:t>
            </w:r>
          </w:p>
        </w:tc>
        <w:tc>
          <w:tcPr>
            <w:tcW w:w="0" w:type="dxa"/>
            <w:vAlign w:val="bottom"/>
          </w:tcPr>
          <w:p>
            <w:pPr>
              <w:spacing w:after="0"/>
              <w:rPr>
                <w:sz w:val="1"/>
                <w:szCs w:val="1"/>
                <w:color w:val="auto"/>
              </w:rPr>
            </w:pPr>
          </w:p>
        </w:tc>
      </w:tr>
      <w:tr>
        <w:trPr>
          <w:trHeight w:val="274"/>
        </w:trPr>
        <w:tc>
          <w:tcPr>
            <w:tcW w:w="8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Common stock issuable upon conversion of Series C preferred OP units</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6"/>
        </w:trPr>
        <w:tc>
          <w:tcPr>
            <w:tcW w:w="8660" w:type="dxa"/>
            <w:vAlign w:val="bottom"/>
          </w:tcPr>
          <w:p>
            <w:pPr>
              <w:ind w:left="280"/>
              <w:spacing w:after="0"/>
              <w:rPr>
                <w:sz w:val="20"/>
                <w:szCs w:val="20"/>
                <w:color w:val="auto"/>
              </w:rPr>
            </w:pPr>
            <w:r>
              <w:rPr>
                <w:rFonts w:ascii="Arial" w:cs="Arial" w:eastAsia="Arial" w:hAnsi="Arial"/>
                <w:sz w:val="15"/>
                <w:szCs w:val="15"/>
                <w:color w:val="auto"/>
              </w:rPr>
              <w:t>Common stock issuable upon conversion of Series A-4 preferred stock</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472</w:t>
            </w:r>
          </w:p>
        </w:tc>
        <w:tc>
          <w:tcPr>
            <w:tcW w:w="0" w:type="dxa"/>
            <w:vAlign w:val="bottom"/>
          </w:tcPr>
          <w:p>
            <w:pPr>
              <w:spacing w:after="0"/>
              <w:rPr>
                <w:sz w:val="1"/>
                <w:szCs w:val="1"/>
                <w:color w:val="auto"/>
              </w:rPr>
            </w:pPr>
          </w:p>
        </w:tc>
      </w:tr>
      <w:tr>
        <w:trPr>
          <w:trHeight w:val="241"/>
        </w:trPr>
        <w:tc>
          <w:tcPr>
            <w:tcW w:w="8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Weighted Average Common Shares Outstanding - Fully Diluted</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96,513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90,105</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6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w w:val="94"/>
              </w:rPr>
              <w:t>FFO Attributable To Sun Communities, Inc. Common Stockholders And Dilutive Convertible Securities Per Share - Fully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0.98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72"/>
        </w:trPr>
        <w:tc>
          <w:tcPr>
            <w:tcW w:w="8660" w:type="dxa"/>
            <w:vAlign w:val="bottom"/>
          </w:tcPr>
          <w:p>
            <w:pPr>
              <w:ind w:left="40"/>
              <w:spacing w:after="0"/>
              <w:rPr>
                <w:sz w:val="20"/>
                <w:szCs w:val="20"/>
                <w:color w:val="auto"/>
              </w:rPr>
            </w:pPr>
            <w:r>
              <w:rPr>
                <w:rFonts w:ascii="Arial" w:cs="Arial" w:eastAsia="Arial" w:hAnsi="Arial"/>
                <w:sz w:val="15"/>
                <w:szCs w:val="15"/>
                <w:b w:val="1"/>
                <w:bCs w:val="1"/>
                <w:color w:val="auto"/>
                <w:w w:val="96"/>
              </w:rPr>
              <w:t>Core FFO Attributable To Sun Communities, Inc. Common Stockholders And Dilutive Convertible Securities Per Share - Fully</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660" w:type="dxa"/>
            <w:vAlign w:val="bottom"/>
          </w:tcPr>
          <w:p>
            <w:pPr>
              <w:ind w:left="40"/>
              <w:spacing w:after="0"/>
              <w:rPr>
                <w:sz w:val="20"/>
                <w:szCs w:val="20"/>
                <w:color w:val="auto"/>
              </w:rPr>
            </w:pPr>
            <w:r>
              <w:rPr>
                <w:rFonts w:ascii="Arial" w:cs="Arial" w:eastAsia="Arial" w:hAnsi="Arial"/>
                <w:sz w:val="15"/>
                <w:szCs w:val="15"/>
                <w:b w:val="1"/>
                <w:bCs w:val="1"/>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bl>
    <w:p>
      <w:pPr>
        <w:ind w:left="200" w:hanging="192"/>
        <w:spacing w:after="0"/>
        <w:tabs>
          <w:tab w:leader="none" w:pos="200" w:val="left"/>
        </w:tabs>
        <w:numPr>
          <w:ilvl w:val="0"/>
          <w:numId w:val="28"/>
        </w:numPr>
        <w:rPr>
          <w:rFonts w:ascii="Arial" w:cs="Arial" w:eastAsia="Arial" w:hAnsi="Arial"/>
          <w:sz w:val="9"/>
          <w:szCs w:val="9"/>
          <w:color w:val="auto"/>
        </w:rPr>
      </w:pPr>
      <w:r>
        <w:rPr>
          <w:rFonts w:ascii="Arial" w:cs="Arial" w:eastAsia="Arial" w:hAnsi="Arial"/>
          <w:sz w:val="14"/>
          <w:szCs w:val="14"/>
          <w:color w:val="auto"/>
        </w:rPr>
        <w:t>The effect of certain anti-dilutive convertible securities is excluded from these items.</w:t>
      </w:r>
    </w:p>
    <w:p>
      <w:pPr>
        <w:spacing w:after="0" w:line="2" w:lineRule="exact"/>
        <w:rPr>
          <w:rFonts w:ascii="Arial" w:cs="Arial" w:eastAsia="Arial" w:hAnsi="Arial"/>
          <w:sz w:val="9"/>
          <w:szCs w:val="9"/>
          <w:color w:val="auto"/>
        </w:rPr>
      </w:pPr>
    </w:p>
    <w:p>
      <w:pPr>
        <w:ind w:left="340" w:hanging="332"/>
        <w:spacing w:after="0" w:line="241" w:lineRule="auto"/>
        <w:tabs>
          <w:tab w:leader="none" w:pos="340" w:val="left"/>
        </w:tabs>
        <w:numPr>
          <w:ilvl w:val="0"/>
          <w:numId w:val="28"/>
        </w:numPr>
        <w:rPr>
          <w:rFonts w:ascii="Arial" w:cs="Arial" w:eastAsia="Arial" w:hAnsi="Arial"/>
          <w:sz w:val="9"/>
          <w:szCs w:val="9"/>
          <w:color w:val="auto"/>
        </w:rPr>
      </w:pPr>
      <w:r>
        <w:rPr>
          <w:rFonts w:ascii="Arial" w:cs="Arial" w:eastAsia="Arial" w:hAnsi="Arial"/>
          <w:sz w:val="14"/>
          <w:szCs w:val="14"/>
          <w:color w:val="auto"/>
        </w:rPr>
        <w:t>These costs represent the expenses incurred to bring recently acquired properties up to our operating standards, including items such as tree trimming and painting costs that do not meet our capitalization policy.</w:t>
      </w:r>
    </w:p>
    <w:p>
      <w:pPr>
        <w:ind w:left="340" w:right="20" w:hanging="332"/>
        <w:spacing w:after="0" w:line="255" w:lineRule="auto"/>
        <w:tabs>
          <w:tab w:leader="none" w:pos="340" w:val="left"/>
        </w:tabs>
        <w:numPr>
          <w:ilvl w:val="0"/>
          <w:numId w:val="28"/>
        </w:numPr>
        <w:rPr>
          <w:rFonts w:ascii="Arial" w:cs="Arial" w:eastAsia="Arial" w:hAnsi="Arial"/>
          <w:sz w:val="9"/>
          <w:szCs w:val="9"/>
          <w:color w:val="auto"/>
        </w:rPr>
      </w:pPr>
      <w:r>
        <w:rPr>
          <w:rFonts w:ascii="Arial" w:cs="Arial" w:eastAsia="Arial" w:hAnsi="Arial"/>
          <w:sz w:val="14"/>
          <w:szCs w:val="14"/>
          <w:color w:val="auto"/>
        </w:rPr>
        <w:t>Adjustment represents estimated loss of earnings in excess of the applicable business interruption deductible in relation to our three Florida Keys communities that were impaired by Hurricane Irma which had not yet been received from our insurer.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37"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liquidity demands have historically been, and are expected to continue to be, distributions to our stockholders and the unit holders of the Operating Partnership, capital improvement of properties, the purchase of new and pre-owned homes, property acquisitions, development and expansion of properties, and debt repayment.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market conditions, we intend to continue to identify opportunities to expand our development pipeline and acquire existing communities. We finance acquisitions through available cash, secured financing, draws on our lines of credit, the assumption of existing debt on properties, and the issuance of equity securities. We will continue to evaluate acquisition opportunities that meet our criteria. Refer to Note 3, “Real Estate Acquisitions” in our accompanying Consolidated Financial Statements for information regarding recent community acquisitions.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intend to meet our liquidity requirements through available cash balances, cash flows generated from operations, draws on our lines of credit, and the use of debt and equity offerings under our shelf registration statement. Refer to Note 8, “Debt and Lines of Credit” and Note 9, “Equity and Temporary Equity” in our accompanying Consolidated Financial Statements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include expansion sites and development construction costs, lot modifications, recurring capital expenditures and rental home purchases.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and 2019, expansion and development activities of $60.2 million and $51.2 million, respectively, related to costs consisting primarily of construction of sites and other costs necessary to complete home site improvements. The increase is primarily driven by the ground-up developments and redevelopment at five communities.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2020 and 2019, lot modification expenditures were $7.9 million and $5.6 million, respectively. These expenditures improve asset quality in our communities and are incurred when an existing home is removed and the site is prepared for a new home (more often than not, a multi-sectional home). These activities, which are mandated by strict manufacturer’s installation requirements and state building codes, include items such as new foundations, driveways, and utility upgrades.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2020 and 2019, recurring capital expenditures were $5.9 million and $5.3 million, respectively, related to our continued commitment to the upkeep of our properties.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COVID-19, effective April 1, 2020, we have significantly curtailed non-essential capital expenditures activities, and we are carefully assessing acquisition activity in the near term to preserve financial flexibility.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invest in the acquisition of homes intended for the Rental Program. Expenditures for these investments depend upon the condition of the markets for repossessions and new home sales, as well as rental homes. We finance certain of our new home purchases with a $12.0 million manufactured home floor plan facility. Our ability to purchase homes for sale or rent may be limited by cash received from third-party financing of our home sales, available manufactured home floor plan financing and working capital available on our lines of credit.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37"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activities are summarized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04"/>
              <w:spacing w:after="0"/>
              <w:rPr>
                <w:sz w:val="20"/>
                <w:szCs w:val="20"/>
                <w:color w:val="auto"/>
              </w:rPr>
            </w:pPr>
            <w:r>
              <w:rPr>
                <w:rFonts w:ascii="Arial" w:cs="Arial" w:eastAsia="Arial" w:hAnsi="Arial"/>
                <w:sz w:val="15"/>
                <w:szCs w:val="15"/>
                <w:b w:val="1"/>
                <w:bCs w:val="1"/>
                <w:color w:val="auto"/>
              </w:rPr>
              <w:t>Three Months Ended</w:t>
            </w:r>
          </w:p>
        </w:tc>
      </w:tr>
      <w:tr>
        <w:trPr>
          <w:trHeight w:val="263"/>
        </w:trPr>
        <w:tc>
          <w:tcPr>
            <w:tcW w:w="7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2020</w:t>
            </w:r>
          </w:p>
        </w:tc>
        <w:tc>
          <w:tcPr>
            <w:tcW w:w="200" w:type="dxa"/>
            <w:vAlign w:val="bottom"/>
          </w:tcPr>
          <w:p>
            <w:pPr>
              <w:spacing w:after="0"/>
              <w:rPr>
                <w:sz w:val="22"/>
                <w:szCs w:val="22"/>
                <w:color w:val="auto"/>
              </w:rPr>
            </w:pPr>
          </w:p>
        </w:tc>
        <w:tc>
          <w:tcPr>
            <w:tcW w:w="1360" w:type="dxa"/>
            <w:vAlign w:val="bottom"/>
          </w:tcPr>
          <w:p>
            <w:pPr>
              <w:jc w:val="right"/>
              <w:ind w:right="204"/>
              <w:spacing w:after="0"/>
              <w:rPr>
                <w:sz w:val="20"/>
                <w:szCs w:val="20"/>
                <w:color w:val="auto"/>
              </w:rPr>
            </w:pPr>
            <w:r>
              <w:rPr>
                <w:rFonts w:ascii="Arial" w:cs="Arial" w:eastAsia="Arial" w:hAnsi="Arial"/>
                <w:sz w:val="15"/>
                <w:szCs w:val="15"/>
                <w:b w:val="1"/>
                <w:bCs w:val="1"/>
                <w:color w:val="auto"/>
                <w:w w:val="99"/>
              </w:rPr>
              <w:t>March 31, 2019</w:t>
            </w:r>
          </w:p>
        </w:tc>
      </w:tr>
      <w:tr>
        <w:trPr>
          <w:trHeight w:val="254"/>
        </w:trPr>
        <w:tc>
          <w:tcPr>
            <w:tcW w:w="7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118,513</w:t>
            </w:r>
          </w:p>
        </w:tc>
        <w:tc>
          <w:tcPr>
            <w:tcW w:w="2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103,141</w:t>
            </w:r>
          </w:p>
        </w:tc>
      </w:tr>
      <w:tr>
        <w:trPr>
          <w:trHeight w:val="266"/>
        </w:trPr>
        <w:tc>
          <w:tcPr>
            <w:tcW w:w="7880" w:type="dxa"/>
            <w:vAlign w:val="bottom"/>
          </w:tcPr>
          <w:p>
            <w:pPr>
              <w:ind w:left="40"/>
              <w:spacing w:after="0"/>
              <w:rPr>
                <w:sz w:val="20"/>
                <w:szCs w:val="20"/>
                <w:color w:val="auto"/>
              </w:rPr>
            </w:pPr>
            <w:r>
              <w:rPr>
                <w:rFonts w:ascii="Arial" w:cs="Arial" w:eastAsia="Arial" w:hAnsi="Arial"/>
                <w:sz w:val="15"/>
                <w:szCs w:val="15"/>
                <w:color w:val="auto"/>
              </w:rPr>
              <w:t>Net Cash Used for Investing Activities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(169,330)</w:t>
            </w:r>
          </w:p>
        </w:tc>
        <w:tc>
          <w:tcPr>
            <w:tcW w:w="200" w:type="dxa"/>
            <w:vAlign w:val="bottom"/>
          </w:tcPr>
          <w:p>
            <w:pPr>
              <w:spacing w:after="0"/>
              <w:rPr>
                <w:sz w:val="23"/>
                <w:szCs w:val="23"/>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(392,483)</w:t>
            </w:r>
          </w:p>
        </w:tc>
      </w:tr>
      <w:tr>
        <w:trPr>
          <w:trHeight w:val="274"/>
        </w:trPr>
        <w:tc>
          <w:tcPr>
            <w:tcW w:w="7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Financing Activities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411,109</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261,097</w:t>
            </w:r>
          </w:p>
        </w:tc>
      </w:tr>
      <w:tr>
        <w:trPr>
          <w:trHeight w:val="262"/>
        </w:trPr>
        <w:tc>
          <w:tcPr>
            <w:tcW w:w="7880" w:type="dxa"/>
            <w:vAlign w:val="bottom"/>
          </w:tcPr>
          <w:p>
            <w:pPr>
              <w:ind w:left="4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(382)</w:t>
            </w:r>
          </w:p>
        </w:tc>
        <w:tc>
          <w:tcPr>
            <w:tcW w:w="200" w:type="dxa"/>
            <w:vAlign w:val="bottom"/>
          </w:tcPr>
          <w:p>
            <w:pPr>
              <w:spacing w:after="0"/>
              <w:rPr>
                <w:sz w:val="22"/>
                <w:szCs w:val="22"/>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158</w:t>
            </w:r>
          </w:p>
        </w:tc>
      </w:tr>
    </w:tbl>
    <w:p>
      <w:pPr>
        <w:spacing w:after="0" w:line="2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Cash, cash equivalents and restricted cash increased by $359.9 million from $34.8 million as of December 31, 2019, to $394.7 million as of March 31, 2020.</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provided by operating activities increased by $15.4 million from $103.1 million for the three months ended March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to $118.5 million for the three months ended March 31, 2020.</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net cash flows provided by operating activities from continuing operations may be adversely impacted by, among other things: (a) the market and economic conditions in our current markets generally, and specifically in metropolitan areas of our current markets; (b) lower occupancy and rental rates of our properties; (c) increased operating costs, such as wage and benefit costs, insurance premiums, real estate taxes and utilities, that cannot be passed on to our tenants; (d) decreased sales of manufactured homes; (e) current volatility in economic conditions and the financial markets; and (f) the effects of the COVID-19 pandemic. See “Risk Factors” in Part I, Item 1A of our 2019 Annual Report and Part II, Item 1A of this report.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used for investing activities was $169.3 million for the three months ended March 31, 2020, compared to $392.5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2019. Refer to Note 3, “Real Estate Acquisitions” in our accompanying Consolidated Financial Statements for additional information.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provided by financing activities was $411.1 million for the three months ended March 31, 2020,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financing activities of $261.1 million for the three months ended March 31, 2019. Refer to Note 8, “Debt and Lines of Credit” and Note 9, “Equity and Temporary Equity” in our accompanying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Flexibility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2017, we entered into an at the market offering sales agreement (as amended,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from time to time under the Sales Agreement. Through March 31, 2020, we have sold shares of our common stock for gross proceeds of $163.8 million under the Sales Agreement. There were no issuances of common stock under the Sales Agreement during the three months ended March 31, 2020 or the year ended December 31, 2019.</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2019, we assumed a term loan facility with Citibank N.A. (“Citibank”), in the amount of $58.0 million in relation to an acquisition. The term loan has a four-year term ending October 29, 2023, and bears interest at a floating rate based on the Eurodollar rate or Prime rate. The outstanding balance was $54.2 million at March 31, 2020 and $57.0 million at December 31, 2019, respectively.</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2019, we amended and restated our credit agreement with Citibank, N.A. and certain other lenders. Pursuant to the credit agreement, we entered into a senior credit facility with Citibank and certain lenders in the amount of $750.0 million, comprised of a $650.0 million revolving loan, with the ability to use up to $100.0 million for advances in Australian dollars, and a $100.0 million term loan (the “A&amp;R Facility”). As of March 31, 2020, the term loan was fully drawn. The A&amp;R Credit Agreement has a four-year term ending May 21, 2023, which can be extended for two additional six-month periods, subject to the satisfaction of certain conditions as defined in the credit agreement. The credit agreement also provides for additional commitments in an amount not to exceed $350.0 million. The funding of these additional commitments is subject to certain conditions, including obtaining the consent of the lenders, some of which are outside of our control. If additional borrowings are made pursuant to any such additional commitments, the aggregate borrowing limit under the A&amp;R Facility may be increased up to $1.1 billion.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3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A&amp;R Facility bears interest at a floating rate based on the Eurodollar rate or Bank Bill Swap Bid Rate plus a margin that is determined based on our leverage ratio calculated in accordance with the credit agreement, which margin can range from 1.20 percent to 2.10 percent for the revolving loan and 1.20 percent to 2.05 percent for the term loan. As of March 31, 2020, the margin based on our leverage ratio was 1.2 percent on the revolving loan and 1.2 percent on the term loan. We had $424.9 million and $100.0 million of borrowings on the revolving loan and the term loan, respectively, as of March 31, 2020. We had $123.6 million of borrowings on the revolving loan and no borrowings on the term loan, as of December 31, 2019.</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March 31, 2020 and December 31, 2019, we had approximately $2.6 million and $2.8 million of availability,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A&amp;R Facility, we are subject to various financial and other covenants. We are currently in compliance with these covenants.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most restrictive financial covenants for the A&amp;R Facility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00" w:type="dxa"/>
            <w:vAlign w:val="bottom"/>
            <w:tcBorders>
              <w:bottom w:val="single" w:sz="8" w:color="auto"/>
            </w:tcBorders>
          </w:tcPr>
          <w:p>
            <w:pPr>
              <w:ind w:left="3240"/>
              <w:spacing w:after="0"/>
              <w:rPr>
                <w:sz w:val="20"/>
                <w:szCs w:val="20"/>
                <w:color w:val="auto"/>
              </w:rPr>
            </w:pPr>
            <w:r>
              <w:rPr>
                <w:rFonts w:ascii="Arial" w:cs="Arial" w:eastAsia="Arial" w:hAnsi="Arial"/>
                <w:sz w:val="15"/>
                <w:szCs w:val="15"/>
                <w:b w:val="1"/>
                <w:bCs w:val="1"/>
                <w:color w:val="auto"/>
              </w:rPr>
              <w:t>Covenant</w:t>
            </w:r>
          </w:p>
        </w:tc>
        <w:tc>
          <w:tcPr>
            <w:tcW w:w="2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Requirement</w:t>
            </w:r>
          </w:p>
        </w:tc>
        <w:tc>
          <w:tcPr>
            <w:tcW w:w="20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As of March 31, 2020</w:t>
            </w:r>
          </w:p>
        </w:tc>
      </w:tr>
      <w:tr>
        <w:trPr>
          <w:trHeight w:val="254"/>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Maximum Leverage Ratio</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&lt;65.0%</w:t>
            </w:r>
          </w:p>
        </w:tc>
        <w:tc>
          <w:tcPr>
            <w:tcW w:w="200" w:type="dxa"/>
            <w:vAlign w:val="bottom"/>
            <w:shd w:val="clear" w:color="auto" w:fill="CCEEFF"/>
          </w:tcPr>
          <w:p>
            <w:pPr>
              <w:spacing w:after="0"/>
              <w:rPr>
                <w:sz w:val="22"/>
                <w:szCs w:val="22"/>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27.7%</w:t>
            </w:r>
          </w:p>
        </w:tc>
      </w:tr>
      <w:tr>
        <w:trPr>
          <w:trHeight w:val="266"/>
        </w:trPr>
        <w:tc>
          <w:tcPr>
            <w:tcW w:w="7320" w:type="dxa"/>
            <w:vAlign w:val="bottom"/>
            <w:gridSpan w:val="2"/>
          </w:tcPr>
          <w:p>
            <w:pPr>
              <w:ind w:left="40"/>
              <w:spacing w:after="0"/>
              <w:rPr>
                <w:sz w:val="20"/>
                <w:szCs w:val="20"/>
                <w:color w:val="auto"/>
              </w:rPr>
            </w:pPr>
            <w:r>
              <w:rPr>
                <w:rFonts w:ascii="Arial" w:cs="Arial" w:eastAsia="Arial" w:hAnsi="Arial"/>
                <w:sz w:val="15"/>
                <w:szCs w:val="15"/>
                <w:color w:val="auto"/>
              </w:rPr>
              <w:t>Minimum Fixed Charge Coverage Ratio</w:t>
            </w:r>
          </w:p>
        </w:tc>
        <w:tc>
          <w:tcPr>
            <w:tcW w:w="1580" w:type="dxa"/>
            <w:vAlign w:val="bottom"/>
          </w:tcPr>
          <w:p>
            <w:pPr>
              <w:jc w:val="center"/>
              <w:spacing w:after="0"/>
              <w:rPr>
                <w:sz w:val="20"/>
                <w:szCs w:val="20"/>
                <w:color w:val="auto"/>
              </w:rPr>
            </w:pPr>
            <w:r>
              <w:rPr>
                <w:rFonts w:ascii="Arial" w:cs="Arial" w:eastAsia="Arial" w:hAnsi="Arial"/>
                <w:sz w:val="15"/>
                <w:szCs w:val="15"/>
                <w:color w:val="auto"/>
                <w:w w:val="89"/>
              </w:rPr>
              <w:t>&gt;1.40</w:t>
            </w:r>
          </w:p>
        </w:tc>
        <w:tc>
          <w:tcPr>
            <w:tcW w:w="200" w:type="dxa"/>
            <w:vAlign w:val="bottom"/>
          </w:tcPr>
          <w:p>
            <w:pPr>
              <w:spacing w:after="0"/>
              <w:rPr>
                <w:sz w:val="23"/>
                <w:szCs w:val="23"/>
                <w:color w:val="auto"/>
              </w:rPr>
            </w:pPr>
          </w:p>
        </w:tc>
        <w:tc>
          <w:tcPr>
            <w:tcW w:w="2140" w:type="dxa"/>
            <w:vAlign w:val="bottom"/>
          </w:tcPr>
          <w:p>
            <w:pPr>
              <w:jc w:val="center"/>
              <w:spacing w:after="0"/>
              <w:rPr>
                <w:sz w:val="20"/>
                <w:szCs w:val="20"/>
                <w:color w:val="auto"/>
              </w:rPr>
            </w:pPr>
            <w:r>
              <w:rPr>
                <w:rFonts w:ascii="Arial" w:cs="Arial" w:eastAsia="Arial" w:hAnsi="Arial"/>
                <w:sz w:val="15"/>
                <w:szCs w:val="15"/>
                <w:color w:val="auto"/>
                <w:w w:val="88"/>
              </w:rPr>
              <w:t>3.55</w:t>
            </w:r>
          </w:p>
        </w:tc>
      </w:tr>
      <w:tr>
        <w:trPr>
          <w:trHeight w:val="274"/>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Minimum Tangible Net Worth</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&gt;$3,257,121</w:t>
            </w:r>
          </w:p>
        </w:tc>
        <w:tc>
          <w:tcPr>
            <w:tcW w:w="200" w:type="dxa"/>
            <w:vAlign w:val="bottom"/>
            <w:shd w:val="clear" w:color="auto" w:fill="CCEEFF"/>
          </w:tcPr>
          <w:p>
            <w:pPr>
              <w:spacing w:after="0"/>
              <w:rPr>
                <w:sz w:val="23"/>
                <w:szCs w:val="23"/>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$5,610,018</w:t>
            </w:r>
          </w:p>
        </w:tc>
      </w:tr>
      <w:tr>
        <w:trPr>
          <w:trHeight w:val="266"/>
        </w:trPr>
        <w:tc>
          <w:tcPr>
            <w:tcW w:w="7320" w:type="dxa"/>
            <w:vAlign w:val="bottom"/>
            <w:gridSpan w:val="2"/>
          </w:tcPr>
          <w:p>
            <w:pPr>
              <w:ind w:left="40"/>
              <w:spacing w:after="0"/>
              <w:rPr>
                <w:sz w:val="20"/>
                <w:szCs w:val="20"/>
                <w:color w:val="auto"/>
              </w:rPr>
            </w:pPr>
            <w:r>
              <w:rPr>
                <w:rFonts w:ascii="Arial" w:cs="Arial" w:eastAsia="Arial" w:hAnsi="Arial"/>
                <w:sz w:val="15"/>
                <w:szCs w:val="15"/>
                <w:color w:val="auto"/>
              </w:rPr>
              <w:t>Maximum Dividend Payout Ratio</w:t>
            </w:r>
          </w:p>
        </w:tc>
        <w:tc>
          <w:tcPr>
            <w:tcW w:w="1580" w:type="dxa"/>
            <w:vAlign w:val="bottom"/>
          </w:tcPr>
          <w:p>
            <w:pPr>
              <w:jc w:val="center"/>
              <w:spacing w:after="0"/>
              <w:rPr>
                <w:sz w:val="20"/>
                <w:szCs w:val="20"/>
                <w:color w:val="auto"/>
              </w:rPr>
            </w:pPr>
            <w:r>
              <w:rPr>
                <w:rFonts w:ascii="Arial" w:cs="Arial" w:eastAsia="Arial" w:hAnsi="Arial"/>
                <w:sz w:val="15"/>
                <w:szCs w:val="15"/>
                <w:color w:val="auto"/>
                <w:w w:val="93"/>
              </w:rPr>
              <w:t>&lt;95.0%</w:t>
            </w:r>
          </w:p>
        </w:tc>
        <w:tc>
          <w:tcPr>
            <w:tcW w:w="200" w:type="dxa"/>
            <w:vAlign w:val="bottom"/>
          </w:tcPr>
          <w:p>
            <w:pPr>
              <w:spacing w:after="0"/>
              <w:rPr>
                <w:sz w:val="23"/>
                <w:szCs w:val="23"/>
                <w:color w:val="auto"/>
              </w:rPr>
            </w:pPr>
          </w:p>
        </w:tc>
        <w:tc>
          <w:tcPr>
            <w:tcW w:w="2140" w:type="dxa"/>
            <w:vAlign w:val="bottom"/>
          </w:tcPr>
          <w:p>
            <w:pPr>
              <w:jc w:val="center"/>
              <w:spacing w:after="0"/>
              <w:rPr>
                <w:sz w:val="20"/>
                <w:szCs w:val="20"/>
                <w:color w:val="auto"/>
              </w:rPr>
            </w:pPr>
            <w:r>
              <w:rPr>
                <w:rFonts w:ascii="Arial" w:cs="Arial" w:eastAsia="Arial" w:hAnsi="Arial"/>
                <w:sz w:val="15"/>
                <w:szCs w:val="15"/>
                <w:color w:val="auto"/>
                <w:w w:val="93"/>
              </w:rPr>
              <w:t>60.4%</w:t>
            </w:r>
          </w:p>
        </w:tc>
      </w:tr>
      <w:tr>
        <w:trPr>
          <w:trHeight w:val="274"/>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Maximum Variable Rate Indebtness</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&lt;50.0%</w:t>
            </w:r>
          </w:p>
        </w:tc>
        <w:tc>
          <w:tcPr>
            <w:tcW w:w="200" w:type="dxa"/>
            <w:vAlign w:val="bottom"/>
            <w:shd w:val="clear" w:color="auto" w:fill="CCEEFF"/>
          </w:tcPr>
          <w:p>
            <w:pPr>
              <w:spacing w:after="0"/>
              <w:rPr>
                <w:sz w:val="23"/>
                <w:szCs w:val="23"/>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4.4%</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meeting our long-term liquidity requirements, such as scheduled debt maturities, large property acquisitions, expansion and development of communities, and Operating Partnership unit redemptions through the issuance of certain debt or equity securities and/or the collateralization of our properties. At March 31, 2020, we had 143 unencumbered properties.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implemented measures to mitigate the impact of COVID-19 on our business. These efforts include increasing our cash position, bolstering liquidity and eliminating, reducing or deferring non-essential expenditures. Additionally, our Board of Directors and executive officers have elected to forgo base compensation for at least the second quarter. Cost containment measures have also included the furlough of a group of team members and reductions in base compensation for certain non-furloughed team members. We will provide health benefit coverage to furloughed team members, if enrolled, at no cost to the team member.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bolster liquidity, we increased unrestricted cash on hand as of March 31, 2020 to approximately $380.0 million by drawing on our line of credit and completing a $230.0 million secured financing transaction. As of March 31, 2020, there is approximately $222.5 million of remaining capacity on the line of credit. We also have 143 unencumbered properties with an estimated asset value, as of March 31, 2020, of approximately $2.6 billion available to secure potential mortgage debt.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we may also issue shares of our capital stock, issue equity units in our Operating Partnership, obtain debt financing, or sell selected assets. Our ability to finance our long-term liquidity requirements in such a manner will be affected by numerous economic factors affecting the MH and RV community industry at the time, including the effects of the COVID-19 pandemic,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See “Risk Factors” in Part I, Item 1A of our 2019 Annual Report and in Part II, Item 1A of this report. If we are unable to obtain additional debt or equity financing on acceptable terms, our business, results of operations and financial condition would be adversely impacted.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2020, our net debt to enterprise value was approximately 22.6 percent (assuming conversion of all common OP units, Series A-1 preferred OP units, Series A-3 preferred OP units, Series A-4 preferred OP units, Series C preferred OP units, Series D preferred OP units, and Series E preferred OP units. to shares of common stock). Our debt has a weighted average maturity of approximately 10.6 years and a weighted average interest rate of 3.6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37"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off-balance sheet investments include nonconsolidated affiliates. These investments all have varying ownership structures. Substantially all of our nonconsolidated affiliates are accounted for under the equity method of accounting as we have the ability to exercise significant influence, but not control, over the operating and financial decisions of these JV arrangements. Refer to Note 6,"Investment in Affiliates" and Note 8, "Debt and Lines of Credit" in the accompanying consolidated financial statements, for additional information on our off-balance sheet investments.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Nonconsolidated Affiliate Indebtedness - </w:t>
      </w:r>
      <w:r>
        <w:rPr>
          <w:rFonts w:ascii="Arial" w:cs="Arial" w:eastAsia="Arial" w:hAnsi="Arial"/>
          <w:sz w:val="18"/>
          <w:szCs w:val="18"/>
          <w:color w:val="auto"/>
        </w:rPr>
        <w:t>During September 2019, GTSC, LLC entered into a warehouse line of credit with a maximum loan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$125.0 million. During February 2020, the maximum amount was increased to $140.0 million. As of March 31, 2020, the aggregate carrying amount of debt, including both our and our partners’ share, incurred by GTSC was approximately $139.9 million (of which our proportionate share is approximately $56.0 million). The debt bears interest at a variable rate based on LIBOR plus 1.65 percent per annum and matures on September 15, 2023. Refer to Note 6,"Investment in Affiliates" for additional information on our nonconsolidated affiliates.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37" w:right="339" w:bottom="1440" w:gutter="0" w:footer="0" w:header="0"/>
        </w:sectPr>
      </w:pPr>
    </w:p>
    <w:bookmarkStart w:id="44" w:name="page45"/>
    <w:bookmarkEnd w:id="44"/>
    <w:p>
      <w:pPr>
        <w:ind w:left="4520"/>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filing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filing. These risks and uncertainties may cause our actual results to be materially different from any future results expressed or implied by such forward-looking statements. In addition to the risks disclosed under “Risk Factors” in our 2019 Annual Report on Form 10-K, in our other filings with the SEC, and in Part II, Item 1A of this report, such risks and uncertainties include, but are not limited to:</w:t>
      </w:r>
    </w:p>
    <w:p>
      <w:pPr>
        <w:spacing w:after="0" w:line="233" w:lineRule="exact"/>
        <w:rPr>
          <w:sz w:val="20"/>
          <w:szCs w:val="20"/>
          <w:color w:val="auto"/>
        </w:rPr>
      </w:pPr>
    </w:p>
    <w:p>
      <w:pPr>
        <w:ind w:left="660" w:right="100" w:hanging="328"/>
        <w:spacing w:after="0" w:line="36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outbreaks of disease, including the COVID-19 pandemic, and related stay-at-home orders, quarantine policies and restrictions on travel, trade and business operations;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general economic conditions, the real estate industry, and the markets in which we operate;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developments and expansions successfully;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liquidity and refinancing demands;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or refinance maturing debt;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compliance with covenants contained in our debt facilities;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foreign currency exchange rates, including between the U.S. dollar and each of the Canadian dollar and the Australian dollar;</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rental rates and occupancy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 over financial reporting and disclosure controls and procedures;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interest rates and operating costs, including insurance premiums and real property taxes;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related to natural disasters such as hurricanes, earthquakes, floods and wildfires;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volatility of the capital markets and the market price of shares of our capital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maintain our status as a REIT;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real estate and zoning laws and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legislative or regulatory changes, including changes to laws governing the taxation of REITs;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judgments or settlements;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competitive market forces;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manufactured home buyers to obtain financing;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repossessions by manufactured home lenders.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filing, whether as a result of new information, future events, changes in our expectations or otherwise, except as required by law.</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3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variable rate debt totaled $583.1 million and $396.5 million as of March 31, 2020 and 2019, respectively, and bears interest at Prime or various LIBOR rates. If Prime or LIBOR increased or decreased by 1.0 percent, our interest expense would have increased or decreased by approximately $0.9 million and $0.7 million for the three months ended March 31, 2020 and 2019, respectively, based on the $356.6 million and $290.3 million average balances outstanding under our variable rate debt facilities,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Canadian properties, and our Australian equity investment and JV into U.S. dollars. Fluctuations in foreign currency exchange rates can therefore create volatility in our results of operations and may adversely affect our financial condition.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2020 and December 31, 2019, our stockholder’s equity included $154.0 million and $202.5 million from our Canadian subsidiaries and Australian equity investments, respectively, which represented 4.1 percent and 5.2 percent of total stockholder’s equity, respectively. Based on our sensitivity analysis, a 10.0 percent strengthening of the U.S. dollar against the Canadian and Australian dollar would have caused a reduction of $15.4 million and $20.2 million to our total stockholder’s equity at March 31, 2020 and December 31, 2019,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(pursuant to Rules 13a-15(e) or 15d-15(e) of the Exchange Act) at March 31, 2020. Based upon this evaluation, our CEO and CFO concluded that our disclosure controls and procedures were effective as of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three months ended March 31, 2020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37"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Refer to “Legal Proceedings” in Part 1 - Item 1 - Note 15, “Commitments and Contingencies” in our accompanying Consolidated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prospects are subject to certain uncertainties and risks. Our future results could differ materially from current results, and our actual results could differ materially from those projected in forward-looking statements as a result of certain risk factors. In addition to the other information set forth in this report, you should carefully consider the factors described below and under “Risk Factors” in our 2019 Annual Report on Form 10-K and in our other filings with the SEC</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current pandemic of the coronavirus, or COVID-19, has materially and adversely impacted and disrupted our financial condition, results of operations, cash flows and performance, and we expect it will continue to do so.</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COVID-19 pandemic has had, and it could continue to have, or a future pandemic could have, material and adverse effects on our ability to successfully operate and on our financial condition, results of operations and cash flows, including in the following possible ways, among others:</w:t>
      </w:r>
    </w:p>
    <w:p>
      <w:pPr>
        <w:spacing w:after="0" w:line="14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downturn in the economy may affect the ability of the residents in our MH communities to pay their rent.</w:t>
      </w:r>
    </w:p>
    <w:p>
      <w:pPr>
        <w:spacing w:after="0" w:line="22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Travel restrictions may affect the ability of potential guests to travel to and use our RV communities, a downturn in the economy may independently reduce demand for our RV communities, and our RV revenue may decrease if we cannot convert as many transient RV sites to annual RV sites as planned.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RV resorts in the northern United States and Canada that normally would commence operations in early spring have had their openings delayed and have not yet opened, and their opening dates are uncertain.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ancillary revenue from amenities at our communities, such as restaurants, golf courses and resort activities, may decrease;</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accessing debt and equity capital on attractive terms, or at all, and a severe disruption and instability in the global financial markets or deteriorations in credit and financing conditions may result in insufficient liquidity or affect our access to capital necessary to fund and grow our business and address maturing liabilities on a timely basis. As of March 31, 2020, we have drawn $524.9 million on our line of credit, of which the total capacity, excluding the unexercised accordion feature, is $750.0 million.</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impact of the COVID-19 pandemic could negatively impact our future compliance with financial covenants of our debt agreements and result in a default and potentially an acceleration of indebtedness, which non-compliance could negatively impact our ability to make additional borrowings under our revolving credit facility.</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ground up development and expansion activities, and conversions of transient RV sites to annual RV sites may be disrupted, and we may be delayed in our current projects and timelines, the magnitude of which will depend, in part, on the length and severity of the current closures and any other restrictions or limitations implemented in the future.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impacts on our results of operations and our access to capital could cause us to eliminate or reduce the amount of our distributions to stockholders, or to pay some or all of our distributions in common stock rather than cash.</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general decline in business activity and demand for real estate transactions could adversely affect our ability or desire to acquire additional properties.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revenue from home sales and brokerage fees may decrease as a result of stay-at-home orders and travel restrictions.</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recession or additional market corrections resulting from the spread of COVID-19 could further affect the value of our common stock, which recently decreased from a 52-week high of $173.98 to as low as $95.34. We expect our stock price to continue to be volatile.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37" w:right="339" w:bottom="1440" w:gutter="0" w:footer="0" w:header="0"/>
        </w:sectPr>
      </w:pPr>
    </w:p>
    <w:bookmarkStart w:id="47" w:name="page48"/>
    <w:bookmarkEnd w:id="47"/>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Governmental agencies that permit and approve our projects, suppliers, homebuilders, and other business partners and third parties may be prevented from conducting business activities in the ordinary course for an indefinite period of time, which could in turn negatively affect our business.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furloughed a group of team members and have also reduced hours and / or reduced pay for other team members. Furloughed team members may not be available if we later desire to hire them back. Furloughs and reductions in pay and hours may negatively affect the morale of our team members.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experience disruptions or inefficiencies in our ability to effectively operate our business because the vast majority of our team members, including at our Main Office in Southfield, Michigan, are working virtually from their homes.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extent to which the COVID-19 pandemic impacts our operations, financial condition and financial results will depend on future developments, which are highly uncertain and cannot be predicted with confidence, including the scope, severity and duration of the pandemic, the actions taken to contain the pandemic or mitigate its impact, and the direct and indirect economic effects of the pandemic and containment measures, among others. The rapid development and fluidity of this situation precludes any prediction as to the full adverse impact of the COVID-19 pandemic. Nevertheless, the COVID-19 pandemic presents material uncertainty and risk with respect to our performance, financial condition, results of operations, cash flows and performance. Moreover, many risk factors set forth in our Annual Report on Form 10-K for the year ended December 31, 2019 should be interpreted as heightened risks as a result of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98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OP units and Preferred stock have converted the following units during the three months ended March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right"/>
              <w:ind w:right="407"/>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83"/>
        </w:trPr>
        <w:tc>
          <w:tcPr>
            <w:tcW w:w="7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tcPr>
          <w:p>
            <w:pPr>
              <w:jc w:val="right"/>
              <w:ind w:right="607"/>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Series</w:t>
            </w:r>
          </w:p>
        </w:tc>
        <w:tc>
          <w:tcPr>
            <w:tcW w:w="220" w:type="dxa"/>
            <w:vAlign w:val="bottom"/>
            <w:vMerge w:val="restart"/>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7"/>
              </w:rPr>
              <w:t>Conversion Rate</w:t>
            </w:r>
          </w:p>
        </w:tc>
        <w:tc>
          <w:tcPr>
            <w:tcW w:w="220" w:type="dxa"/>
            <w:vAlign w:val="bottom"/>
            <w:vMerge w:val="restart"/>
          </w:tcPr>
          <w:p>
            <w:pPr>
              <w:spacing w:after="0"/>
              <w:rPr>
                <w:sz w:val="14"/>
                <w:szCs w:val="14"/>
                <w:color w:val="auto"/>
              </w:rPr>
            </w:pPr>
          </w:p>
        </w:tc>
        <w:tc>
          <w:tcPr>
            <w:tcW w:w="1240" w:type="dxa"/>
            <w:vAlign w:val="bottom"/>
          </w:tcPr>
          <w:p>
            <w:pPr>
              <w:jc w:val="right"/>
              <w:ind w:right="122"/>
              <w:spacing w:after="0" w:line="169" w:lineRule="exact"/>
              <w:rPr>
                <w:sz w:val="20"/>
                <w:szCs w:val="20"/>
                <w:color w:val="auto"/>
              </w:rPr>
            </w:pPr>
            <w:r>
              <w:rPr>
                <w:rFonts w:ascii="Arial" w:cs="Arial" w:eastAsia="Arial" w:hAnsi="Arial"/>
                <w:sz w:val="15"/>
                <w:szCs w:val="15"/>
                <w:b w:val="1"/>
                <w:bCs w:val="1"/>
                <w:color w:val="auto"/>
              </w:rPr>
              <w:t>Units/Shares</w:t>
            </w:r>
          </w:p>
        </w:tc>
        <w:tc>
          <w:tcPr>
            <w:tcW w:w="1220" w:type="dxa"/>
            <w:vAlign w:val="bottom"/>
          </w:tcPr>
          <w:p>
            <w:pPr>
              <w:jc w:val="right"/>
              <w:ind w:right="47"/>
              <w:spacing w:after="0" w:line="169" w:lineRule="exact"/>
              <w:rPr>
                <w:sz w:val="20"/>
                <w:szCs w:val="20"/>
                <w:color w:val="auto"/>
              </w:rPr>
            </w:pPr>
            <w:r>
              <w:rPr>
                <w:rFonts w:ascii="Arial" w:cs="Arial" w:eastAsia="Arial" w:hAnsi="Arial"/>
                <w:sz w:val="15"/>
                <w:szCs w:val="15"/>
                <w:b w:val="1"/>
                <w:bCs w:val="1"/>
                <w:color w:val="auto"/>
                <w:w w:val="98"/>
              </w:rPr>
              <w:t>Common Stock</w:t>
            </w:r>
          </w:p>
        </w:tc>
        <w:tc>
          <w:tcPr>
            <w:tcW w:w="0" w:type="dxa"/>
            <w:vAlign w:val="bottom"/>
          </w:tcPr>
          <w:p>
            <w:pPr>
              <w:spacing w:after="0"/>
              <w:rPr>
                <w:sz w:val="1"/>
                <w:szCs w:val="1"/>
                <w:color w:val="auto"/>
              </w:rPr>
            </w:pPr>
          </w:p>
        </w:tc>
      </w:tr>
      <w:tr>
        <w:trPr>
          <w:trHeight w:val="200"/>
        </w:trPr>
        <w:tc>
          <w:tcPr>
            <w:tcW w:w="71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5"/>
                <w:szCs w:val="15"/>
                <w:b w:val="1"/>
                <w:bCs w:val="1"/>
                <w:color w:val="auto"/>
              </w:rPr>
              <w:t>Converted</w:t>
            </w:r>
          </w:p>
        </w:tc>
        <w:tc>
          <w:tcPr>
            <w:tcW w:w="122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252"/>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Common OP unit</w:t>
            </w:r>
          </w:p>
        </w:tc>
        <w:tc>
          <w:tcPr>
            <w:tcW w:w="12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1.0000</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11,949</w:t>
            </w:r>
          </w:p>
        </w:tc>
        <w:tc>
          <w:tcPr>
            <w:tcW w:w="12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11,949</w:t>
            </w:r>
          </w:p>
        </w:tc>
        <w:tc>
          <w:tcPr>
            <w:tcW w:w="0" w:type="dxa"/>
            <w:vAlign w:val="bottom"/>
          </w:tcPr>
          <w:p>
            <w:pPr>
              <w:spacing w:after="0"/>
              <w:rPr>
                <w:sz w:val="1"/>
                <w:szCs w:val="1"/>
                <w:color w:val="auto"/>
              </w:rPr>
            </w:pPr>
          </w:p>
        </w:tc>
      </w:tr>
      <w:tr>
        <w:trPr>
          <w:trHeight w:val="262"/>
        </w:trPr>
        <w:tc>
          <w:tcPr>
            <w:tcW w:w="7320" w:type="dxa"/>
            <w:vAlign w:val="bottom"/>
            <w:gridSpan w:val="2"/>
          </w:tcPr>
          <w:p>
            <w:pPr>
              <w:ind w:left="40"/>
              <w:spacing w:after="0"/>
              <w:rPr>
                <w:sz w:val="20"/>
                <w:szCs w:val="20"/>
                <w:color w:val="auto"/>
              </w:rPr>
            </w:pPr>
            <w:r>
              <w:rPr>
                <w:rFonts w:ascii="Arial" w:cs="Arial" w:eastAsia="Arial" w:hAnsi="Arial"/>
                <w:sz w:val="15"/>
                <w:szCs w:val="15"/>
                <w:color w:val="auto"/>
              </w:rPr>
              <w:t>Series A-1 preferred OP unit</w:t>
            </w:r>
          </w:p>
        </w:tc>
        <w:tc>
          <w:tcPr>
            <w:tcW w:w="1240" w:type="dxa"/>
            <w:vAlign w:val="bottom"/>
          </w:tcPr>
          <w:p>
            <w:pPr>
              <w:jc w:val="right"/>
              <w:ind w:right="24"/>
              <w:spacing w:after="0"/>
              <w:rPr>
                <w:sz w:val="20"/>
                <w:szCs w:val="20"/>
                <w:color w:val="auto"/>
              </w:rPr>
            </w:pPr>
            <w:r>
              <w:rPr>
                <w:rFonts w:ascii="Arial" w:cs="Arial" w:eastAsia="Arial" w:hAnsi="Arial"/>
                <w:sz w:val="15"/>
                <w:szCs w:val="15"/>
                <w:color w:val="auto"/>
              </w:rPr>
              <w:t>2.4390</w:t>
            </w:r>
          </w:p>
        </w:tc>
        <w:tc>
          <w:tcPr>
            <w:tcW w:w="220" w:type="dxa"/>
            <w:vAlign w:val="bottom"/>
          </w:tcPr>
          <w:p>
            <w:pPr>
              <w:spacing w:after="0"/>
              <w:rPr>
                <w:sz w:val="22"/>
                <w:szCs w:val="22"/>
                <w:color w:val="auto"/>
              </w:rPr>
            </w:pPr>
          </w:p>
        </w:tc>
        <w:tc>
          <w:tcPr>
            <w:tcW w:w="1240" w:type="dxa"/>
            <w:vAlign w:val="bottom"/>
          </w:tcPr>
          <w:p>
            <w:pPr>
              <w:jc w:val="right"/>
              <w:ind w:right="42"/>
              <w:spacing w:after="0"/>
              <w:rPr>
                <w:sz w:val="20"/>
                <w:szCs w:val="20"/>
                <w:color w:val="auto"/>
              </w:rPr>
            </w:pPr>
            <w:r>
              <w:rPr>
                <w:rFonts w:ascii="Arial" w:cs="Arial" w:eastAsia="Arial" w:hAnsi="Arial"/>
                <w:sz w:val="15"/>
                <w:szCs w:val="15"/>
                <w:color w:val="auto"/>
              </w:rPr>
              <w:t>6,677</w:t>
            </w: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16,283</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w:t>
      </w:r>
      <w:r>
        <w:rPr>
          <w:rFonts w:ascii="Arial" w:cs="Arial" w:eastAsia="Arial" w:hAnsi="Arial"/>
          <w:sz w:val="14"/>
          <w:szCs w:val="14"/>
          <w:color w:val="auto"/>
        </w:rPr>
        <w:t>alculation may yield minor differences due to rounding incorporated in the above numbers.</w:t>
      </w:r>
    </w:p>
    <w:p>
      <w:pPr>
        <w:spacing w:after="0" w:line="173"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All of the above shares of common stock were issued in private placements in reliance on Section 4(a)(2) of the Securities Act of 1933, as amended, including Regulation D promulgated thereunder. No underwriters were used in connection with any of such issuances.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358" w:lineRule="exact"/>
        <w:rPr>
          <w:sz w:val="20"/>
          <w:szCs w:val="20"/>
          <w:color w:val="auto"/>
        </w:rPr>
      </w:pPr>
    </w:p>
    <w:tbl>
      <w:tblPr>
        <w:tblLayout w:type="fixed"/>
        <w:tblInd w:w="310" w:type="dxa"/>
        <w:tblCellMar>
          <w:top w:w="0" w:type="dxa"/>
          <w:left w:w="0" w:type="dxa"/>
          <w:bottom w:w="0" w:type="dxa"/>
          <w:right w:w="0" w:type="dxa"/>
        </w:tblCellMar>
      </w:tblPr>
      <w:tr>
        <w:trPr>
          <w:trHeight w:val="257"/>
        </w:trPr>
        <w:tc>
          <w:tcPr>
            <w:tcW w:w="12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Exhibit No.</w:t>
            </w:r>
          </w:p>
        </w:tc>
        <w:tc>
          <w:tcPr>
            <w:tcW w:w="2360" w:type="dxa"/>
            <w:vAlign w:val="bottom"/>
            <w:tcBorders>
              <w:top w:val="single" w:sz="8" w:color="auto"/>
            </w:tcBorders>
          </w:tcPr>
          <w:p>
            <w:pPr>
              <w:spacing w:after="0"/>
              <w:rPr>
                <w:sz w:val="22"/>
                <w:szCs w:val="22"/>
                <w:color w:val="auto"/>
              </w:rPr>
            </w:pPr>
          </w:p>
        </w:tc>
        <w:tc>
          <w:tcPr>
            <w:tcW w:w="4240" w:type="dxa"/>
            <w:vAlign w:val="bottom"/>
            <w:tcBorders>
              <w:top w:val="single" w:sz="8" w:color="auto"/>
              <w:right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Description</w:t>
            </w:r>
          </w:p>
        </w:tc>
        <w:tc>
          <w:tcPr>
            <w:tcW w:w="288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Method of Filing</w:t>
            </w:r>
          </w:p>
        </w:tc>
        <w:tc>
          <w:tcPr>
            <w:tcW w:w="0" w:type="dxa"/>
            <w:vAlign w:val="bottom"/>
          </w:tcPr>
          <w:p>
            <w:pPr>
              <w:spacing w:after="0"/>
              <w:rPr>
                <w:sz w:val="1"/>
                <w:szCs w:val="1"/>
                <w:color w:val="auto"/>
              </w:rPr>
            </w:pP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6600" w:type="dxa"/>
            <w:vAlign w:val="bottom"/>
            <w:tcBorders>
              <w:right w:val="single" w:sz="8" w:color="auto"/>
            </w:tcBorders>
            <w:gridSpan w:val="5"/>
            <w:shd w:val="clear" w:color="auto" w:fill="CCEEFF"/>
          </w:tcPr>
          <w:p>
            <w:pPr>
              <w:spacing w:after="0"/>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Sun Communities, Inc. Articles of Restatement</w:t>
              </w:r>
            </w:hyperlink>
          </w:p>
        </w:tc>
        <w:tc>
          <w:tcPr>
            <w:tcW w:w="2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Communities, Inc.'s Annual Report on</w:t>
            </w:r>
          </w:p>
        </w:tc>
        <w:tc>
          <w:tcPr>
            <w:tcW w:w="0" w:type="dxa"/>
            <w:vAlign w:val="bottom"/>
          </w:tcPr>
          <w:p>
            <w:pPr>
              <w:spacing w:after="0"/>
              <w:rPr>
                <w:sz w:val="1"/>
                <w:szCs w:val="1"/>
                <w:color w:val="auto"/>
              </w:rPr>
            </w:pPr>
          </w:p>
        </w:tc>
      </w:tr>
      <w:tr>
        <w:trPr>
          <w:trHeight w:val="262"/>
        </w:trPr>
        <w:tc>
          <w:tcPr>
            <w:tcW w:w="120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8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Form 10-K filed on February 22, 2018</w:t>
            </w:r>
          </w:p>
        </w:tc>
        <w:tc>
          <w:tcPr>
            <w:tcW w:w="0" w:type="dxa"/>
            <w:vAlign w:val="bottom"/>
          </w:tcPr>
          <w:p>
            <w:pPr>
              <w:spacing w:after="0"/>
              <w:rPr>
                <w:sz w:val="1"/>
                <w:szCs w:val="1"/>
                <w:color w:val="auto"/>
              </w:rPr>
            </w:pPr>
          </w:p>
        </w:tc>
      </w:tr>
      <w:tr>
        <w:trPr>
          <w:trHeight w:val="222"/>
        </w:trPr>
        <w:tc>
          <w:tcPr>
            <w:tcW w:w="1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3.2</w:t>
            </w:r>
          </w:p>
        </w:tc>
        <w:tc>
          <w:tcPr>
            <w:tcW w:w="6600" w:type="dxa"/>
            <w:vAlign w:val="bottom"/>
            <w:tcBorders>
              <w:top w:val="single" w:sz="8" w:color="auto"/>
              <w:right w:val="single" w:sz="8" w:color="auto"/>
            </w:tcBorders>
            <w:gridSpan w:val="5"/>
          </w:tcPr>
          <w:p>
            <w:pPr>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Third Amended and Restated Bylaws</w:t>
              </w:r>
            </w:hyperlink>
          </w:p>
        </w:tc>
        <w:tc>
          <w:tcPr>
            <w:tcW w:w="2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Communities Inc.'s Current Report on</w:t>
            </w: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right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 8-K filed on May 12, 2017</w:t>
            </w:r>
          </w:p>
        </w:tc>
        <w:tc>
          <w:tcPr>
            <w:tcW w:w="0" w:type="dxa"/>
            <w:vAlign w:val="bottom"/>
          </w:tcPr>
          <w:p>
            <w:pPr>
              <w:spacing w:after="0"/>
              <w:rPr>
                <w:sz w:val="1"/>
                <w:szCs w:val="1"/>
                <w:color w:val="auto"/>
              </w:rPr>
            </w:pP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00" w:type="dxa"/>
            <w:vAlign w:val="bottom"/>
            <w:tcBorders>
              <w:left w:val="single" w:sz="8" w:color="auto"/>
              <w:bottom w:val="single" w:sz="8" w:color="CCEEFF"/>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648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First Amendment to the Fourth Amended and Restated Agreement of Limited Partnership</w:t>
              </w:r>
            </w:hyperlink>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2880" w:type="dxa"/>
            <w:vAlign w:val="bottom"/>
            <w:tcBorders>
              <w:bottom w:val="single" w:sz="8" w:color="CCEEFF"/>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right w:val="single" w:sz="8" w:color="auto"/>
            </w:tcBorders>
            <w:shd w:val="clear" w:color="auto" w:fill="CCEEFF"/>
          </w:tcPr>
          <w:p>
            <w:pPr>
              <w:spacing w:after="0"/>
              <w:rPr>
                <w:sz w:val="19"/>
                <w:szCs w:val="19"/>
                <w:color w:val="auto"/>
              </w:rPr>
            </w:pPr>
          </w:p>
        </w:tc>
        <w:tc>
          <w:tcPr>
            <w:tcW w:w="6600" w:type="dxa"/>
            <w:vAlign w:val="bottom"/>
            <w:tcBorders>
              <w:right w:val="single" w:sz="8" w:color="auto"/>
            </w:tcBorders>
            <w:gridSpan w:val="5"/>
            <w:shd w:val="clear" w:color="auto" w:fill="CCEEFF"/>
          </w:tcPr>
          <w:p>
            <w:pPr>
              <w:spacing w:after="0"/>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of Sun Communities Operating Limited Partnership dated January 9, 2020</w:t>
              </w:r>
            </w:hyperlink>
          </w:p>
        </w:tc>
        <w:tc>
          <w:tcPr>
            <w:tcW w:w="2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Communities, Inc.’s Current Report</w:t>
            </w: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on Form 8-K filed on January 13,</w:t>
            </w:r>
          </w:p>
        </w:tc>
        <w:tc>
          <w:tcPr>
            <w:tcW w:w="0" w:type="dxa"/>
            <w:vAlign w:val="bottom"/>
          </w:tcPr>
          <w:p>
            <w:pPr>
              <w:spacing w:after="0"/>
              <w:rPr>
                <w:sz w:val="1"/>
                <w:szCs w:val="1"/>
                <w:color w:val="auto"/>
              </w:rPr>
            </w:pPr>
          </w:p>
        </w:tc>
      </w:tr>
      <w:tr>
        <w:trPr>
          <w:trHeight w:val="262"/>
        </w:trPr>
        <w:tc>
          <w:tcPr>
            <w:tcW w:w="120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8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1200" w:type="dxa"/>
            <w:vAlign w:val="bottom"/>
            <w:tcBorders>
              <w:top w:val="single" w:sz="8" w:color="auto"/>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5820" w:type="dxa"/>
            <w:vAlign w:val="bottom"/>
            <w:tcBorders>
              <w:top w:val="single" w:sz="8" w:color="auto"/>
              <w:bottom w:val="single" w:sz="8" w:color="0000FF"/>
            </w:tcBorders>
            <w:gridSpan w:val="2"/>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Second Amendment to the Fourth Amended and Restated Agreement of Limited</w:t>
              </w:r>
            </w:hyperlink>
          </w:p>
        </w:tc>
        <w:tc>
          <w:tcPr>
            <w:tcW w:w="780" w:type="dxa"/>
            <w:vAlign w:val="bottom"/>
            <w:tcBorders>
              <w:top w:val="single" w:sz="8" w:color="auto"/>
              <w:right w:val="single" w:sz="8" w:color="auto"/>
            </w:tcBorders>
            <w:gridSpan w:val="3"/>
          </w:tcPr>
          <w:p>
            <w:pPr>
              <w:spacing w:after="0"/>
              <w:rPr>
                <w:sz w:val="17"/>
                <w:szCs w:val="17"/>
                <w:color w:val="auto"/>
              </w:rPr>
            </w:pPr>
          </w:p>
        </w:tc>
        <w:tc>
          <w:tcPr>
            <w:tcW w:w="2880" w:type="dxa"/>
            <w:vAlign w:val="bottom"/>
            <w:tcBorders>
              <w:top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right w:val="single" w:sz="8" w:color="auto"/>
            </w:tcBorders>
          </w:tcPr>
          <w:p>
            <w:pPr>
              <w:spacing w:after="0"/>
              <w:rPr>
                <w:sz w:val="19"/>
                <w:szCs w:val="19"/>
                <w:color w:val="auto"/>
              </w:rPr>
            </w:pPr>
          </w:p>
        </w:tc>
        <w:tc>
          <w:tcPr>
            <w:tcW w:w="6600" w:type="dxa"/>
            <w:vAlign w:val="bottom"/>
            <w:tcBorders>
              <w:right w:val="single" w:sz="8" w:color="auto"/>
            </w:tcBorders>
            <w:gridSpan w:val="5"/>
          </w:tcPr>
          <w:p>
            <w:pPr>
              <w:spacing w:after="0"/>
              <w:rPr>
                <w:rFonts w:ascii="Arial" w:cs="Arial" w:eastAsia="Arial" w:hAnsi="Arial"/>
                <w:sz w:val="18"/>
                <w:szCs w:val="18"/>
                <w:u w:val="single" w:color="auto"/>
                <w:color w:val="0000FF"/>
                <w:w w:val="94"/>
              </w:rPr>
            </w:pPr>
            <w:hyperlink r:id="rId18">
              <w:r>
                <w:rPr>
                  <w:rFonts w:ascii="Arial" w:cs="Arial" w:eastAsia="Arial" w:hAnsi="Arial"/>
                  <w:sz w:val="18"/>
                  <w:szCs w:val="18"/>
                  <w:u w:val="single" w:color="auto"/>
                  <w:color w:val="0000FF"/>
                  <w:w w:val="94"/>
                </w:rPr>
                <w:t>Partnership of Sun Communities Operating Limited Partnership dated January 13, 2020</w:t>
              </w:r>
            </w:hyperlink>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Communities, Inc.’s Current Report</w:t>
            </w: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on Form 8-K filed on January 14,</w:t>
            </w: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right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00" w:type="dxa"/>
            <w:vAlign w:val="bottom"/>
            <w:tcBorders>
              <w:left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6600" w:type="dxa"/>
            <w:vAlign w:val="bottom"/>
            <w:tcBorders>
              <w:right w:val="single" w:sz="8" w:color="auto"/>
            </w:tcBorders>
            <w:gridSpan w:val="5"/>
            <w:shd w:val="clear" w:color="auto" w:fill="CCEEFF"/>
          </w:tcPr>
          <w:p>
            <w:pPr>
              <w:spacing w:after="0" w:line="196" w:lineRule="exact"/>
              <w:rPr>
                <w:rFonts w:ascii="Arial" w:cs="Arial" w:eastAsia="Arial" w:hAnsi="Arial"/>
                <w:sz w:val="18"/>
                <w:szCs w:val="18"/>
                <w:color w:val="0000FF"/>
                <w:w w:val="95"/>
              </w:rPr>
            </w:pPr>
            <w:hyperlink w:anchor="page52">
              <w:r>
                <w:rPr>
                  <w:rFonts w:ascii="Arial" w:cs="Arial" w:eastAsia="Arial" w:hAnsi="Arial"/>
                  <w:sz w:val="18"/>
                  <w:szCs w:val="18"/>
                  <w:color w:val="0000FF"/>
                  <w:w w:val="95"/>
                </w:rPr>
                <w:t>Certification of Chief Executive Officer pursuant to Securities Exchange Act Rules 13a-</w:t>
              </w:r>
            </w:hyperlink>
          </w:p>
        </w:tc>
        <w:tc>
          <w:tcPr>
            <w:tcW w:w="2880" w:type="dxa"/>
            <w:vAlign w:val="bottom"/>
            <w:tcBorders>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12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0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288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20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6600" w:type="dxa"/>
            <w:vAlign w:val="bottom"/>
            <w:tcBorders>
              <w:bottom w:val="single" w:sz="8" w:color="CCEEFF"/>
              <w:right w:val="single" w:sz="8" w:color="auto"/>
            </w:tcBorders>
            <w:gridSpan w:val="5"/>
            <w:shd w:val="clear" w:color="auto" w:fill="CCEEFF"/>
          </w:tcPr>
          <w:p>
            <w:pPr>
              <w:spacing w:after="0"/>
              <w:rPr>
                <w:rFonts w:ascii="Arial" w:cs="Arial" w:eastAsia="Arial" w:hAnsi="Arial"/>
                <w:sz w:val="18"/>
                <w:szCs w:val="18"/>
                <w:u w:val="single" w:color="auto"/>
                <w:color w:val="0000FF"/>
                <w:w w:val="91"/>
              </w:rPr>
            </w:pPr>
            <w:hyperlink w:anchor="page52">
              <w:r>
                <w:rPr>
                  <w:rFonts w:ascii="Arial" w:cs="Arial" w:eastAsia="Arial" w:hAnsi="Arial"/>
                  <w:sz w:val="18"/>
                  <w:szCs w:val="18"/>
                  <w:u w:val="single" w:color="auto"/>
                  <w:color w:val="0000FF"/>
                  <w:w w:val="91"/>
                </w:rPr>
                <w:t>14(a)/15(d)-14(a), as adopted pursuant to Section 302 of the Sarbanes-Oxley Act of 2002.</w:t>
              </w:r>
            </w:hyperlink>
          </w:p>
        </w:tc>
        <w:tc>
          <w:tcPr>
            <w:tcW w:w="288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00" w:type="dxa"/>
            <w:vAlign w:val="bottom"/>
            <w:tcBorders>
              <w:top w:val="single" w:sz="8" w:color="auto"/>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6360" w:type="dxa"/>
            <w:vAlign w:val="bottom"/>
            <w:tcBorders>
              <w:top w:val="single" w:sz="8" w:color="auto"/>
              <w:bottom w:val="single" w:sz="8" w:color="0000FF"/>
            </w:tcBorders>
            <w:gridSpan w:val="3"/>
          </w:tcPr>
          <w:p>
            <w:pPr>
              <w:spacing w:after="0" w:line="196" w:lineRule="exact"/>
              <w:rPr>
                <w:rFonts w:ascii="Arial" w:cs="Arial" w:eastAsia="Arial" w:hAnsi="Arial"/>
                <w:sz w:val="18"/>
                <w:szCs w:val="18"/>
                <w:color w:val="0000FF"/>
                <w:w w:val="92"/>
              </w:rPr>
            </w:pPr>
            <w:hyperlink w:anchor="page53">
              <w:r>
                <w:rPr>
                  <w:rFonts w:ascii="Arial" w:cs="Arial" w:eastAsia="Arial" w:hAnsi="Arial"/>
                  <w:sz w:val="18"/>
                  <w:szCs w:val="18"/>
                  <w:color w:val="0000FF"/>
                  <w:w w:val="92"/>
                </w:rPr>
                <w:t>Certification of Chief Financial Officer pursuant to Securities Exchange Act Rules 13a-</w:t>
              </w:r>
            </w:hyperlink>
          </w:p>
        </w:tc>
        <w:tc>
          <w:tcPr>
            <w:tcW w:w="240" w:type="dxa"/>
            <w:vAlign w:val="bottom"/>
            <w:tcBorders>
              <w:top w:val="single" w:sz="8" w:color="auto"/>
              <w:right w:val="single" w:sz="8" w:color="auto"/>
            </w:tcBorders>
            <w:gridSpan w:val="2"/>
          </w:tcPr>
          <w:p>
            <w:pPr>
              <w:spacing w:after="0"/>
              <w:rPr>
                <w:sz w:val="17"/>
                <w:szCs w:val="17"/>
                <w:color w:val="auto"/>
              </w:rPr>
            </w:pPr>
          </w:p>
        </w:tc>
        <w:tc>
          <w:tcPr>
            <w:tcW w:w="2880" w:type="dxa"/>
            <w:vAlign w:val="bottom"/>
            <w:tcBorders>
              <w:top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gridSpan w:val="5"/>
          </w:tcPr>
          <w:p>
            <w:pPr>
              <w:spacing w:after="0"/>
              <w:rPr>
                <w:rFonts w:ascii="Arial" w:cs="Arial" w:eastAsia="Arial" w:hAnsi="Arial"/>
                <w:sz w:val="18"/>
                <w:szCs w:val="18"/>
                <w:u w:val="single" w:color="auto"/>
                <w:color w:val="0000FF"/>
                <w:w w:val="91"/>
              </w:rPr>
            </w:pPr>
            <w:hyperlink w:anchor="page53">
              <w:r>
                <w:rPr>
                  <w:rFonts w:ascii="Arial" w:cs="Arial" w:eastAsia="Arial" w:hAnsi="Arial"/>
                  <w:sz w:val="18"/>
                  <w:szCs w:val="18"/>
                  <w:u w:val="single" w:color="auto"/>
                  <w:color w:val="0000FF"/>
                  <w:w w:val="91"/>
                </w:rPr>
                <w:t>14(a)/15(d)-14(a), as adopted pursuant to Section 302 of the Sarbanes-Oxley Act of 2002.</w:t>
              </w:r>
            </w:hyperlink>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00" w:type="dxa"/>
            <w:vAlign w:val="bottom"/>
            <w:tcBorders>
              <w:left w:val="single" w:sz="8" w:color="auto"/>
              <w:bottom w:val="single" w:sz="8" w:color="CCEEFF"/>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6600" w:type="dxa"/>
            <w:vAlign w:val="bottom"/>
            <w:tcBorders>
              <w:bottom w:val="single" w:sz="8" w:color="0000FF"/>
              <w:right w:val="single" w:sz="8" w:color="auto"/>
            </w:tcBorders>
            <w:gridSpan w:val="5"/>
            <w:shd w:val="clear" w:color="auto" w:fill="CCEEFF"/>
          </w:tcPr>
          <w:p>
            <w:pPr>
              <w:spacing w:after="0" w:line="196" w:lineRule="exact"/>
              <w:rPr>
                <w:rFonts w:ascii="Arial" w:cs="Arial" w:eastAsia="Arial" w:hAnsi="Arial"/>
                <w:sz w:val="18"/>
                <w:szCs w:val="18"/>
                <w:color w:val="0000FF"/>
                <w:w w:val="94"/>
              </w:rPr>
            </w:pPr>
            <w:hyperlink w:anchor="page54">
              <w:r>
                <w:rPr>
                  <w:rFonts w:ascii="Arial" w:cs="Arial" w:eastAsia="Arial" w:hAnsi="Arial"/>
                  <w:sz w:val="18"/>
                  <w:szCs w:val="18"/>
                  <w:color w:val="0000FF"/>
                  <w:w w:val="94"/>
                </w:rPr>
                <w:t>Certification pursuant to 18 U.S.C. Section 1350, as adopted pursuant to Section 906 of</w:t>
              </w:r>
            </w:hyperlink>
          </w:p>
        </w:tc>
        <w:tc>
          <w:tcPr>
            <w:tcW w:w="2880" w:type="dxa"/>
            <w:vAlign w:val="bottom"/>
            <w:tcBorders>
              <w:bottom w:val="single" w:sz="8" w:color="CCEEFF"/>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63"/>
        </w:trPr>
        <w:tc>
          <w:tcPr>
            <w:tcW w:w="120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6600" w:type="dxa"/>
            <w:vAlign w:val="bottom"/>
            <w:tcBorders>
              <w:bottom w:val="single" w:sz="8" w:color="auto"/>
              <w:right w:val="single" w:sz="8" w:color="auto"/>
            </w:tcBorders>
            <w:gridSpan w:val="5"/>
            <w:shd w:val="clear" w:color="auto" w:fill="CCEEFF"/>
          </w:tcPr>
          <w:p>
            <w:pPr>
              <w:spacing w:after="0" w:line="196" w:lineRule="exact"/>
              <w:rPr>
                <w:rFonts w:ascii="Arial" w:cs="Arial" w:eastAsia="Arial" w:hAnsi="Arial"/>
                <w:sz w:val="18"/>
                <w:szCs w:val="18"/>
                <w:color w:val="0000FF"/>
              </w:rPr>
            </w:pPr>
            <w:hyperlink w:anchor="page54">
              <w:r>
                <w:rPr>
                  <w:rFonts w:ascii="Arial" w:cs="Arial" w:eastAsia="Arial" w:hAnsi="Arial"/>
                  <w:sz w:val="18"/>
                  <w:szCs w:val="18"/>
                  <w:color w:val="0000FF"/>
                </w:rPr>
                <w:t>the Sarbanes-Oxley Act of 2002.</w:t>
              </w:r>
            </w:hyperlink>
          </w:p>
        </w:tc>
        <w:tc>
          <w:tcPr>
            <w:tcW w:w="288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101.INS</w:t>
            </w:r>
          </w:p>
        </w:tc>
        <w:tc>
          <w:tcPr>
            <w:tcW w:w="66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XBRL Instance Document</w:t>
            </w:r>
          </w:p>
        </w:tc>
        <w:tc>
          <w:tcPr>
            <w:tcW w:w="2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The instance document does not</w:t>
            </w:r>
          </w:p>
        </w:tc>
        <w:tc>
          <w:tcPr>
            <w:tcW w:w="0" w:type="dxa"/>
            <w:vAlign w:val="bottom"/>
          </w:tcPr>
          <w:p>
            <w:pPr>
              <w:spacing w:after="0"/>
              <w:rPr>
                <w:sz w:val="1"/>
                <w:szCs w:val="1"/>
                <w:color w:val="auto"/>
              </w:rPr>
            </w:pPr>
          </w:p>
        </w:tc>
      </w:tr>
      <w:tr>
        <w:trPr>
          <w:trHeight w:val="67"/>
        </w:trPr>
        <w:tc>
          <w:tcPr>
            <w:tcW w:w="1200" w:type="dxa"/>
            <w:vAlign w:val="bottom"/>
            <w:tcBorders>
              <w:left w:val="single" w:sz="8" w:color="auto"/>
              <w:right w:val="single" w:sz="8" w:color="auto"/>
            </w:tcBorders>
          </w:tcPr>
          <w:p>
            <w:pPr>
              <w:spacing w:after="0"/>
              <w:rPr>
                <w:sz w:val="5"/>
                <w:szCs w:val="5"/>
                <w:color w:val="auto"/>
              </w:rPr>
            </w:pPr>
          </w:p>
        </w:tc>
        <w:tc>
          <w:tcPr>
            <w:tcW w:w="2360" w:type="dxa"/>
            <w:vAlign w:val="bottom"/>
          </w:tcPr>
          <w:p>
            <w:pPr>
              <w:spacing w:after="0"/>
              <w:rPr>
                <w:sz w:val="5"/>
                <w:szCs w:val="5"/>
                <w:color w:val="auto"/>
              </w:rPr>
            </w:pPr>
          </w:p>
        </w:tc>
        <w:tc>
          <w:tcPr>
            <w:tcW w:w="3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8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appear in the Interactive Data File</w:t>
            </w: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because its XBRL tags are embedded</w:t>
            </w: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right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2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12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6600" w:type="dxa"/>
            <w:vAlign w:val="bottom"/>
            <w:tcBorders>
              <w:bottom w:val="single" w:sz="8" w:color="CCEEFF"/>
              <w:right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28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1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101.CAL</w:t>
            </w:r>
          </w:p>
        </w:tc>
        <w:tc>
          <w:tcPr>
            <w:tcW w:w="660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2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6600" w:type="dxa"/>
            <w:vAlign w:val="bottom"/>
            <w:tcBorders>
              <w:bottom w:val="single" w:sz="8" w:color="CCEEFF"/>
              <w:right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28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1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101.PRE</w:t>
            </w:r>
          </w:p>
        </w:tc>
        <w:tc>
          <w:tcPr>
            <w:tcW w:w="660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2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6600" w:type="dxa"/>
            <w:vAlign w:val="bottom"/>
            <w:tcBorders>
              <w:bottom w:val="single" w:sz="8" w:color="CCEEFF"/>
              <w:right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8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642"/>
        </w:trPr>
        <w:tc>
          <w:tcPr>
            <w:tcW w:w="1200" w:type="dxa"/>
            <w:vAlign w:val="bottom"/>
            <w:tcBorders>
              <w:top w:val="single" w:sz="8" w:color="auto"/>
            </w:tcBorders>
          </w:tcPr>
          <w:p>
            <w:pPr>
              <w:spacing w:after="0"/>
              <w:rPr>
                <w:sz w:val="24"/>
                <w:szCs w:val="24"/>
                <w:color w:val="auto"/>
              </w:rPr>
            </w:pPr>
          </w:p>
        </w:tc>
        <w:tc>
          <w:tcPr>
            <w:tcW w:w="5820" w:type="dxa"/>
            <w:vAlign w:val="bottom"/>
            <w:tcBorders>
              <w:top w:val="single" w:sz="8" w:color="auto"/>
            </w:tcBorders>
            <w:gridSpan w:val="2"/>
          </w:tcPr>
          <w:p>
            <w:pPr>
              <w:ind w:left="4040"/>
              <w:spacing w:after="0"/>
              <w:rPr>
                <w:sz w:val="20"/>
                <w:szCs w:val="20"/>
                <w:color w:val="auto"/>
              </w:rPr>
            </w:pPr>
            <w:r>
              <w:rPr>
                <w:rFonts w:ascii="Arial" w:cs="Arial" w:eastAsia="Arial" w:hAnsi="Arial"/>
                <w:sz w:val="18"/>
                <w:szCs w:val="18"/>
                <w:color w:val="auto"/>
              </w:rPr>
              <w:t>48</w:t>
            </w: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769" w:right="5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40"/>
        <w:spacing w:after="0"/>
        <w:tabs>
          <w:tab w:leader="none" w:pos="4260" w:val="left"/>
          <w:tab w:leader="none" w:pos="4680" w:val="left"/>
        </w:tabs>
        <w:rPr>
          <w:sz w:val="20"/>
          <w:szCs w:val="20"/>
          <w:color w:val="auto"/>
        </w:rPr>
      </w:pPr>
      <w:r>
        <w:rPr>
          <w:rFonts w:ascii="Arial" w:cs="Arial" w:eastAsia="Arial" w:hAnsi="Arial"/>
          <w:sz w:val="18"/>
          <w:szCs w:val="18"/>
          <w:color w:val="auto"/>
        </w:rPr>
        <w:t>Dated: April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31750</wp:posOffset>
            </wp:positionV>
            <wp:extent cx="360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Karen J. Dearing, Chief Financial Officer and Secretary</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3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A. Shiffman,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40" w:hanging="317"/>
        <w:spacing w:after="0" w:line="263"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40" w:hanging="317"/>
        <w:spacing w:after="0" w:line="263"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40" w:right="20" w:hanging="317"/>
        <w:spacing w:after="0" w:line="342" w:lineRule="auto"/>
        <w:tabs>
          <w:tab w:leader="none" w:pos="1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40" w:hanging="317"/>
        <w:spacing w:after="0" w:line="263"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080" w:hanging="316"/>
        <w:spacing w:after="0" w:line="308" w:lineRule="auto"/>
        <w:tabs>
          <w:tab w:leader="none" w:pos="1080" w:val="left"/>
        </w:tabs>
        <w:numPr>
          <w:ilvl w:val="2"/>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80" w:right="20" w:hanging="316"/>
        <w:spacing w:after="0" w:line="277" w:lineRule="auto"/>
        <w:tabs>
          <w:tab w:leader="none" w:pos="10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4840" w:val="left"/>
        </w:tabs>
        <w:rPr>
          <w:sz w:val="20"/>
          <w:szCs w:val="20"/>
          <w:color w:val="auto"/>
        </w:rPr>
      </w:pPr>
      <w:r>
        <w:rPr>
          <w:rFonts w:ascii="Arial" w:cs="Arial" w:eastAsia="Arial" w:hAnsi="Arial"/>
          <w:sz w:val="18"/>
          <w:szCs w:val="18"/>
          <w:color w:val="auto"/>
        </w:rPr>
        <w:t>Dated: April 23, 2020</w:t>
      </w:r>
      <w:r>
        <w:rPr>
          <w:sz w:val="20"/>
          <w:szCs w:val="20"/>
          <w:color w:val="auto"/>
        </w:rPr>
        <w:tab/>
      </w:r>
      <w:r>
        <w:rPr>
          <w:rFonts w:ascii="Arial" w:cs="Arial" w:eastAsia="Arial" w:hAnsi="Arial"/>
          <w:sz w:val="16"/>
          <w:szCs w:val="16"/>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31750</wp:posOffset>
            </wp:positionV>
            <wp:extent cx="4063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Gary A. Shiffman, Chief Executive Officer</w:t>
      </w:r>
    </w:p>
    <w:p>
      <w:pPr>
        <w:sectPr>
          <w:pgSz w:w="11900" w:h="16838" w:orient="portrait"/>
          <w:cols w:equalWidth="0" w:num="1">
            <w:col w:w="11240"/>
          </w:cols>
          <w:pgMar w:left="320" w:top="55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Karen J. Dearing, certify that:</w:t>
      </w:r>
    </w:p>
    <w:p>
      <w:pPr>
        <w:spacing w:after="0" w:line="266"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6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4"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4" w:lineRule="exact"/>
        <w:rPr>
          <w:rFonts w:ascii="Arial" w:cs="Arial" w:eastAsia="Arial" w:hAnsi="Arial"/>
          <w:sz w:val="18"/>
          <w:szCs w:val="18"/>
          <w:color w:val="auto"/>
        </w:rPr>
      </w:pPr>
    </w:p>
    <w:p>
      <w:pPr>
        <w:jc w:val="both"/>
        <w:ind w:left="1060" w:hanging="323"/>
        <w:spacing w:after="0" w:line="263"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jc w:val="both"/>
        <w:ind w:left="1060" w:hanging="323"/>
        <w:spacing w:after="0" w:line="263"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4" w:lineRule="exact"/>
        <w:rPr>
          <w:rFonts w:ascii="Arial" w:cs="Arial" w:eastAsia="Arial" w:hAnsi="Arial"/>
          <w:sz w:val="18"/>
          <w:szCs w:val="18"/>
          <w:color w:val="auto"/>
        </w:rPr>
      </w:pPr>
    </w:p>
    <w:p>
      <w:pPr>
        <w:ind w:left="1060" w:hanging="323"/>
        <w:spacing w:after="0" w:line="342" w:lineRule="auto"/>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jc w:val="both"/>
        <w:ind w:left="1060" w:hanging="323"/>
        <w:spacing w:after="0" w:line="263"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4"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6" w:lineRule="exact"/>
        <w:rPr>
          <w:rFonts w:ascii="Arial" w:cs="Arial" w:eastAsia="Arial" w:hAnsi="Arial"/>
          <w:sz w:val="17"/>
          <w:szCs w:val="17"/>
          <w:color w:val="auto"/>
        </w:rPr>
      </w:pPr>
    </w:p>
    <w:p>
      <w:pPr>
        <w:ind w:left="1080" w:hanging="316"/>
        <w:spacing w:after="0" w:line="308" w:lineRule="auto"/>
        <w:tabs>
          <w:tab w:leader="none" w:pos="1080" w:val="left"/>
        </w:tabs>
        <w:numPr>
          <w:ilvl w:val="2"/>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7"/>
          <w:szCs w:val="17"/>
          <w:color w:val="auto"/>
        </w:rPr>
      </w:pPr>
    </w:p>
    <w:p>
      <w:pPr>
        <w:ind w:left="1080" w:hanging="316"/>
        <w:spacing w:after="0" w:line="277" w:lineRule="auto"/>
        <w:tabs>
          <w:tab w:leader="none" w:pos="10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tabs>
          <w:tab w:leader="none" w:pos="5260" w:val="left"/>
        </w:tabs>
        <w:rPr>
          <w:sz w:val="20"/>
          <w:szCs w:val="20"/>
          <w:color w:val="auto"/>
        </w:rPr>
      </w:pPr>
      <w:r>
        <w:rPr>
          <w:rFonts w:ascii="Arial" w:cs="Arial" w:eastAsia="Arial" w:hAnsi="Arial"/>
          <w:sz w:val="18"/>
          <w:szCs w:val="18"/>
          <w:color w:val="auto"/>
        </w:rPr>
        <w:t>Dated: April 23, 2020</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31750</wp:posOffset>
            </wp:positionV>
            <wp:extent cx="360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Karen J. Dearing, Chief Financial Officer</w:t>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Under Section 906 of the Sarbanes-Oxley Act of 2002)</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officers, Gary A. Shiffman and Karen J. Dearing, hereby certify that to the best of their knowledge: (a) this Quarterly Report on Form 10-Q of Sun Communities, Inc., for the period ended March 31, 2020,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1900" w:type="dxa"/>
            <w:vAlign w:val="bottom"/>
          </w:tcPr>
          <w:p>
            <w:pPr>
              <w:spacing w:after="0"/>
              <w:rPr>
                <w:sz w:val="17"/>
                <w:szCs w:val="17"/>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/s/ Gary A. Shiffman</w:t>
            </w:r>
          </w:p>
        </w:tc>
        <w:tc>
          <w:tcPr>
            <w:tcW w:w="2600" w:type="dxa"/>
            <w:vAlign w:val="bottom"/>
            <w:gridSpan w:val="3"/>
          </w:tcPr>
          <w:p>
            <w:pPr>
              <w:jc w:val="center"/>
              <w:ind w:left="1470"/>
              <w:spacing w:after="0"/>
              <w:rPr>
                <w:sz w:val="20"/>
                <w:szCs w:val="20"/>
                <w:color w:val="auto"/>
              </w:rPr>
            </w:pPr>
            <w:r>
              <w:rPr>
                <w:rFonts w:ascii="Arial" w:cs="Arial" w:eastAsia="Arial" w:hAnsi="Arial"/>
                <w:sz w:val="18"/>
                <w:szCs w:val="18"/>
                <w:color w:val="auto"/>
                <w:w w:val="93"/>
              </w:rPr>
              <w:t>April 23, 2020</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Gary A. Shiffman, Chief Executive Officer</w:t>
            </w:r>
          </w:p>
        </w:tc>
        <w:tc>
          <w:tcPr>
            <w:tcW w:w="1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/s/ Karen J. Dearing</w:t>
            </w:r>
          </w:p>
        </w:tc>
        <w:tc>
          <w:tcPr>
            <w:tcW w:w="2600" w:type="dxa"/>
            <w:vAlign w:val="bottom"/>
            <w:gridSpan w:val="3"/>
          </w:tcPr>
          <w:p>
            <w:pPr>
              <w:jc w:val="center"/>
              <w:ind w:left="1470"/>
              <w:spacing w:after="0"/>
              <w:rPr>
                <w:sz w:val="20"/>
                <w:szCs w:val="20"/>
                <w:color w:val="auto"/>
              </w:rPr>
            </w:pPr>
            <w:r>
              <w:rPr>
                <w:rFonts w:ascii="Arial" w:cs="Arial" w:eastAsia="Arial" w:hAnsi="Arial"/>
                <w:sz w:val="18"/>
                <w:szCs w:val="18"/>
                <w:color w:val="auto"/>
                <w:w w:val="93"/>
              </w:rPr>
              <w:t>April 23, 2020</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Karen J. Dearing, Chief Financial Officer</w:t>
            </w:r>
          </w:p>
        </w:tc>
        <w:tc>
          <w:tcPr>
            <w:tcW w:w="1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1."/>
      <w:numFmt w:val="decimal"/>
      <w:start w:val="7"/>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9"/>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0"/>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1"/>
    </w:lvl>
  </w:abstractNum>
  <w:abstractNum w:abstractNumId="17">
    <w:nsid w:val="B03E0C6"/>
    <w:multiLevelType w:val="hybridMultilevel"/>
    <w:lvl w:ilvl="0">
      <w:lvlJc w:val="left"/>
      <w:lvlText w:val="%1."/>
      <w:numFmt w:val="decimal"/>
      <w:start w:val="12"/>
    </w:lvl>
  </w:abstractNum>
  <w:abstractNum w:abstractNumId="18">
    <w:nsid w:val="189A769B"/>
    <w:multiLevelType w:val="hybridMultilevel"/>
    <w:lvl w:ilvl="0">
      <w:lvlJc w:val="left"/>
      <w:lvlText w:val="%1."/>
      <w:numFmt w:val="decimal"/>
      <w:start w:val="13"/>
    </w:lvl>
  </w:abstractNum>
  <w:abstractNum w:abstractNumId="19">
    <w:nsid w:val="54E49EB4"/>
    <w:multiLevelType w:val="hybridMultilevel"/>
    <w:lvl w:ilvl="0">
      <w:lvlJc w:val="left"/>
      <w:lvlText w:val="%1."/>
      <w:numFmt w:val="decimal"/>
      <w:start w:val="14"/>
    </w:lvl>
  </w:abstractNum>
  <w:abstractNum w:abstractNumId="20">
    <w:nsid w:val="71F32454"/>
    <w:multiLevelType w:val="hybridMultilevel"/>
    <w:lvl w:ilvl="0">
      <w:lvlJc w:val="left"/>
      <w:lvlText w:val="%1."/>
      <w:numFmt w:val="decimal"/>
      <w:start w:val="16"/>
    </w:lvl>
  </w:abstractNum>
  <w:abstractNum w:abstractNumId="21">
    <w:nsid w:val="2CA88611"/>
    <w:multiLevelType w:val="hybridMultilevel"/>
    <w:lvl w:ilvl="0">
      <w:lvlJc w:val="left"/>
      <w:lvlText w:val="%1."/>
      <w:numFmt w:val="decimal"/>
      <w:start w:val="17"/>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15" Type="http://schemas.openxmlformats.org/officeDocument/2006/relationships/hyperlink" Target="http://www.sec.gov/Archives/edgar/data/912593/000091259318000049/exhibit31-suncommunitiesin.htm" TargetMode="External"/><Relationship Id="rId16" Type="http://schemas.openxmlformats.org/officeDocument/2006/relationships/hyperlink" Target="http://www.sec.gov/Archives/edgar/data/912593/000091259317000078/exhibit31-thirdamendedandr.htm" TargetMode="External"/><Relationship Id="rId17" Type="http://schemas.openxmlformats.org/officeDocument/2006/relationships/hyperlink" Target="http://www.sec.gov/Archives/edgar/data/912593/000091259320000016/amendmentnumber1toscol.htm" TargetMode="External"/><Relationship Id="rId18" Type="http://schemas.openxmlformats.org/officeDocument/2006/relationships/hyperlink" Target="http://www.sec.gov/Archives/edgar/data/912593/000091259320000018/a2ndamendmenttoscolp4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2020-04-23T12:06:11Z</dcterms:created>
  <dcterms:modified xsi:type="dcterms:W3CDTF">2020-04-23T12:06:11Z</dcterms:modified>
</cp:coreProperties>
</file>