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3" w:lineRule="exact"/>
        <w:rPr>
          <w:sz w:val="24"/>
          <w:szCs w:val="24"/>
          <w:color w:val="auto"/>
        </w:rPr>
      </w:pPr>
    </w:p>
    <w:p>
      <w:pPr>
        <w:jc w:val="center"/>
        <w:ind w:left="3820" w:right="920" w:hanging="2889"/>
        <w:spacing w:after="0" w:line="286" w:lineRule="auto"/>
        <w:tabs>
          <w:tab w:leader="none" w:pos="11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w:t>
      </w:r>
    </w:p>
    <w:p>
      <w:pPr>
        <w:spacing w:after="0" w:line="113" w:lineRule="exact"/>
        <w:rPr>
          <w:sz w:val="24"/>
          <w:szCs w:val="24"/>
          <w:color w:val="auto"/>
        </w:rPr>
      </w:pPr>
    </w:p>
    <w:p>
      <w:pPr>
        <w:jc w:val="center"/>
        <w:ind w:left="3780" w:right="920" w:hanging="2856"/>
        <w:spacing w:after="0" w:line="286" w:lineRule="auto"/>
        <w:tabs>
          <w:tab w:leader="none" w:pos="11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87"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1-12616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148590</wp:posOffset>
            </wp:positionV>
            <wp:extent cx="180848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848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SUN COMMUNITIES,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4"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5780" w:type="dxa"/>
            <w:vAlign w:val="bottom"/>
          </w:tcPr>
          <w:p>
            <w:pPr>
              <w:jc w:val="center"/>
              <w:ind w:right="287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04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38-2730780</w:t>
            </w:r>
          </w:p>
        </w:tc>
      </w:tr>
      <w:tr>
        <w:trPr>
          <w:trHeight w:val="234"/>
        </w:trPr>
        <w:tc>
          <w:tcPr>
            <w:tcW w:w="5780" w:type="dxa"/>
            <w:vAlign w:val="bottom"/>
          </w:tcPr>
          <w:p>
            <w:pPr>
              <w:jc w:val="center"/>
              <w:ind w:right="287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40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41"/>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27777 Franklin Rd, Suite 300,   Southfield,   Michigan</w:t>
            </w:r>
          </w:p>
        </w:tc>
        <w:tc>
          <w:tcPr>
            <w:tcW w:w="404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48034</w:t>
            </w:r>
          </w:p>
        </w:tc>
      </w:tr>
      <w:tr>
        <w:trPr>
          <w:trHeight w:val="234"/>
        </w:trPr>
        <w:tc>
          <w:tcPr>
            <w:tcW w:w="5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356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(248) 208-2500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324"/>
        </w:trPr>
        <w:tc>
          <w:tcPr>
            <w:tcW w:w="3300" w:type="dxa"/>
            <w:vAlign w:val="bottom"/>
          </w:tcPr>
          <w:p>
            <w:pPr>
              <w:spacing w:after="0"/>
              <w:rPr>
                <w:sz w:val="24"/>
                <w:szCs w:val="24"/>
                <w:color w:val="auto"/>
              </w:rPr>
            </w:pPr>
          </w:p>
        </w:tc>
        <w:tc>
          <w:tcPr>
            <w:tcW w:w="42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60" w:type="dxa"/>
            <w:vAlign w:val="bottom"/>
          </w:tcPr>
          <w:p>
            <w:pPr>
              <w:spacing w:after="0"/>
              <w:rPr>
                <w:sz w:val="24"/>
                <w:szCs w:val="24"/>
                <w:color w:val="auto"/>
              </w:rPr>
            </w:pPr>
          </w:p>
        </w:tc>
      </w:tr>
      <w:tr>
        <w:trPr>
          <w:trHeight w:val="324"/>
        </w:trPr>
        <w:tc>
          <w:tcPr>
            <w:tcW w:w="3300" w:type="dxa"/>
            <w:vAlign w:val="bottom"/>
          </w:tcPr>
          <w:p>
            <w:pPr>
              <w:spacing w:after="0"/>
              <w:rPr>
                <w:sz w:val="24"/>
                <w:szCs w:val="24"/>
                <w:color w:val="auto"/>
              </w:rPr>
            </w:pPr>
          </w:p>
        </w:tc>
        <w:tc>
          <w:tcPr>
            <w:tcW w:w="7860" w:type="dxa"/>
            <w:vAlign w:val="bottom"/>
            <w:gridSpan w:val="6"/>
          </w:tcPr>
          <w:p>
            <w:pPr>
              <w:jc w:val="center"/>
              <w:ind w:right="32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365"/>
        </w:trPr>
        <w:tc>
          <w:tcPr>
            <w:tcW w:w="33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6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300" w:type="dxa"/>
            <w:vAlign w:val="bottom"/>
            <w:tcBorders>
              <w:top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SUI</w:t>
            </w:r>
          </w:p>
        </w:tc>
        <w:tc>
          <w:tcPr>
            <w:tcW w:w="2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50" w:right="339" w:bottom="1440" w:gutter="0" w:footer="0" w:header="0"/>
        </w:sectPr>
      </w:pPr>
    </w:p>
    <w:p>
      <w:pPr>
        <w:spacing w:after="0" w:line="10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38" w:lineRule="exact"/>
        <w:rPr>
          <w:sz w:val="24"/>
          <w:szCs w:val="24"/>
          <w:color w:val="auto"/>
        </w:rPr>
      </w:pPr>
    </w:p>
    <w:p>
      <w:pPr>
        <w:sectPr>
          <w:pgSz w:w="11900" w:h="16838" w:orient="portrait"/>
          <w:cols w:equalWidth="0" w:num="5">
            <w:col w:w="1860" w:space="600"/>
            <w:col w:w="1200" w:space="720"/>
            <w:col w:w="1520" w:space="600"/>
            <w:col w:w="1960" w:space="540"/>
            <w:col w:w="2240"/>
          </w:cols>
          <w:pgMar w:left="320" w:top="1350" w:right="339" w:bottom="1440" w:gutter="0" w:footer="0" w:header="0"/>
          <w:type w:val="continuous"/>
        </w:sectPr>
      </w:pPr>
    </w:p>
    <w:p>
      <w:pPr>
        <w:ind w:left="9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2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5">
            <w:col w:w="2260" w:space="720"/>
            <w:col w:w="1360" w:space="720"/>
            <w:col w:w="1620" w:space="720"/>
            <w:col w:w="1780" w:space="720"/>
            <w:col w:w="1340"/>
          </w:cols>
          <w:pgMar w:left="320" w:top="1350" w:right="339" w:bottom="1440" w:gutter="0" w:footer="0" w:header="0"/>
          <w:type w:val="continuous"/>
        </w:sectPr>
      </w:pPr>
    </w:p>
    <w:p>
      <w:pPr>
        <w:spacing w:after="0" w:line="54"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20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Number of shares of Common Stock, $0.01 par value per share, outstanding as of April 21, 2026: 123,230,757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1032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1032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700" w:type="dxa"/>
            <w:vAlign w:val="bottom"/>
          </w:tcPr>
          <w:p>
            <w:pPr>
              <w:spacing w:after="0"/>
              <w:rPr>
                <w:sz w:val="16"/>
                <w:szCs w:val="16"/>
                <w:color w:val="auto"/>
              </w:rPr>
            </w:pPr>
          </w:p>
        </w:tc>
        <w:tc>
          <w:tcPr>
            <w:tcW w:w="103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March 31, 2026 (Unaudited) and December 31, 2025</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2026 and 2025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Comprehensive Loss for the Three Months Ended March 31, 2026 and 2025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Three Months Ended March 31, 2026 and 2025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2026 and 2025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24</w:t>
            </w:r>
          </w:p>
        </w:tc>
      </w:tr>
      <w:tr>
        <w:trPr>
          <w:trHeight w:val="21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38</w:t>
            </w: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38</w:t>
            </w: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026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39</w:t>
            </w:r>
          </w:p>
        </w:tc>
        <w:tc>
          <w:tcPr>
            <w:tcW w:w="20" w:type="dxa"/>
            <w:vAlign w:val="bottom"/>
          </w:tcPr>
          <w:p>
            <w:pPr>
              <w:spacing w:after="0"/>
              <w:rPr>
                <w:sz w:val="24"/>
                <w:szCs w:val="24"/>
                <w:color w:val="auto"/>
              </w:rPr>
            </w:pPr>
          </w:p>
        </w:tc>
      </w:tr>
      <w:tr>
        <w:trPr>
          <w:trHeight w:val="20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39</w:t>
            </w:r>
          </w:p>
        </w:tc>
        <w:tc>
          <w:tcPr>
            <w:tcW w:w="20" w:type="dxa"/>
            <w:vAlign w:val="bottom"/>
          </w:tcPr>
          <w:p>
            <w:pPr>
              <w:spacing w:after="0"/>
              <w:rPr>
                <w:sz w:val="18"/>
                <w:szCs w:val="18"/>
                <w:color w:val="auto"/>
              </w:rPr>
            </w:pPr>
          </w:p>
        </w:tc>
      </w:tr>
      <w:tr>
        <w:trPr>
          <w:trHeight w:val="20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39</w:t>
            </w:r>
          </w:p>
        </w:tc>
        <w:tc>
          <w:tcPr>
            <w:tcW w:w="20" w:type="dxa"/>
            <w:vAlign w:val="bottom"/>
          </w:tcPr>
          <w:p>
            <w:pPr>
              <w:spacing w:after="0"/>
              <w:rPr>
                <w:sz w:val="18"/>
                <w:szCs w:val="18"/>
                <w:color w:val="auto"/>
              </w:rPr>
            </w:pPr>
          </w:p>
        </w:tc>
      </w:tr>
      <w:tr>
        <w:trPr>
          <w:trHeight w:val="21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39</w:t>
            </w:r>
          </w:p>
        </w:tc>
        <w:tc>
          <w:tcPr>
            <w:tcW w:w="20" w:type="dxa"/>
            <w:vAlign w:val="bottom"/>
          </w:tcPr>
          <w:p>
            <w:pPr>
              <w:spacing w:after="0"/>
              <w:rPr>
                <w:sz w:val="18"/>
                <w:szCs w:val="18"/>
                <w:color w:val="auto"/>
              </w:rPr>
            </w:pPr>
          </w:p>
        </w:tc>
      </w:tr>
      <w:tr>
        <w:trPr>
          <w:trHeight w:val="20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40</w:t>
            </w:r>
          </w:p>
        </w:tc>
        <w:tc>
          <w:tcPr>
            <w:tcW w:w="20" w:type="dxa"/>
            <w:vAlign w:val="bottom"/>
          </w:tcPr>
          <w:p>
            <w:pPr>
              <w:spacing w:after="0"/>
              <w:rPr>
                <w:sz w:val="18"/>
                <w:szCs w:val="18"/>
                <w:color w:val="auto"/>
              </w:rPr>
            </w:pPr>
          </w:p>
        </w:tc>
      </w:tr>
      <w:tr>
        <w:trPr>
          <w:trHeight w:val="209"/>
        </w:trPr>
        <w:tc>
          <w:tcPr>
            <w:tcW w:w="780" w:type="dxa"/>
            <w:vAlign w:val="bottom"/>
          </w:tcPr>
          <w:p>
            <w:pPr>
              <w:spacing w:after="0"/>
              <w:rPr>
                <w:sz w:val="18"/>
                <w:szCs w:val="18"/>
                <w:color w:val="auto"/>
              </w:rPr>
            </w:pP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41</w:t>
            </w:r>
          </w:p>
        </w:tc>
        <w:tc>
          <w:tcPr>
            <w:tcW w:w="20" w:type="dxa"/>
            <w:vAlign w:val="bottom"/>
          </w:tcPr>
          <w:p>
            <w:pPr>
              <w:spacing w:after="0"/>
              <w:rPr>
                <w:sz w:val="18"/>
                <w:szCs w:val="18"/>
                <w:color w:val="auto"/>
              </w:rPr>
            </w:pPr>
          </w:p>
        </w:tc>
      </w:tr>
      <w:tr>
        <w:trPr>
          <w:trHeight w:val="1283"/>
        </w:trPr>
        <w:tc>
          <w:tcPr>
            <w:tcW w:w="7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32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for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40" w:type="dxa"/>
            <w:vAlign w:val="bottom"/>
          </w:tcPr>
          <w:p>
            <w:pPr>
              <w:spacing w:after="0"/>
              <w:rPr>
                <w:sz w:val="17"/>
                <w:szCs w:val="17"/>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200"/>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00"/>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Land</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3,489.2</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3,503.2</w:t>
            </w:r>
          </w:p>
        </w:tc>
      </w:tr>
      <w:tr>
        <w:trPr>
          <w:trHeight w:val="205"/>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Land improvements and buildings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9,286.8</w:t>
            </w:r>
          </w:p>
        </w:tc>
      </w:tr>
      <w:tr>
        <w:trPr>
          <w:trHeight w:val="200"/>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Rental homes and improvements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967.2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940.2</w:t>
            </w:r>
          </w:p>
        </w:tc>
      </w:tr>
      <w:tr>
        <w:trPr>
          <w:trHeight w:val="205"/>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Furniture, fixtures and equipment</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763.4</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769.8</w:t>
            </w:r>
          </w:p>
        </w:tc>
      </w:tr>
      <w:tr>
        <w:trPr>
          <w:trHeight w:val="194"/>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property</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14,564.8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14,500.0</w:t>
            </w:r>
          </w:p>
        </w:tc>
      </w:tr>
      <w:tr>
        <w:trPr>
          <w:trHeight w:val="205"/>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Accumulated depreciation</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(3,693.3)</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(3,598.3)</w:t>
            </w:r>
          </w:p>
        </w:tc>
      </w:tr>
      <w:tr>
        <w:trPr>
          <w:trHeight w:val="194"/>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property, net</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10,871.5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10,901.7</w:t>
            </w:r>
          </w:p>
        </w:tc>
      </w:tr>
      <w:tr>
        <w:trPr>
          <w:trHeight w:val="205"/>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636.1</w:t>
            </w:r>
          </w:p>
        </w:tc>
      </w:tr>
      <w:tr>
        <w:trPr>
          <w:trHeight w:val="200"/>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Inventory of manufactured homes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142.9</w:t>
            </w:r>
          </w:p>
        </w:tc>
      </w:tr>
      <w:tr>
        <w:trPr>
          <w:trHeight w:val="205"/>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Notes and other receivables, net (includes $189.0 and $183.7 at fair value, respectively, see Note 4)</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332.1</w:t>
            </w:r>
          </w:p>
        </w:tc>
      </w:tr>
      <w:tr>
        <w:trPr>
          <w:trHeight w:val="200"/>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Collateralized receivables, net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w:t>
            </w:r>
          </w:p>
        </w:tc>
      </w:tr>
      <w:tr>
        <w:trPr>
          <w:trHeight w:val="205"/>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Goodwill</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200"/>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intangible assets, net (see Note 5)</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101.5</w:t>
            </w:r>
          </w:p>
        </w:tc>
      </w:tr>
      <w:tr>
        <w:trPr>
          <w:trHeight w:val="20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assets, net</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375.5</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355.9</w:t>
            </w:r>
          </w:p>
        </w:tc>
      </w:tr>
      <w:tr>
        <w:trPr>
          <w:trHeight w:val="198"/>
        </w:trPr>
        <w:tc>
          <w:tcPr>
            <w:tcW w:w="7860" w:type="dxa"/>
            <w:vAlign w:val="bottom"/>
          </w:tcPr>
          <w:p>
            <w:pPr>
              <w:ind w:left="48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12,358.8</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12,522.9</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200"/>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Mortgage loans payable (see Note 7)</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2,417.5</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2,429.0</w:t>
            </w:r>
          </w:p>
        </w:tc>
      </w:tr>
      <w:tr>
        <w:trPr>
          <w:trHeight w:val="205"/>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Secured borrowings on collateralized receivables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r>
      <w:tr>
        <w:trPr>
          <w:trHeight w:val="200"/>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Unsecured debt (see Note 7)</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1,787.1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1,786.5</w:t>
            </w:r>
          </w:p>
        </w:tc>
      </w:tr>
      <w:tr>
        <w:trPr>
          <w:trHeight w:val="205"/>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Distributions payable</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131.1</w:t>
            </w:r>
          </w:p>
        </w:tc>
      </w:tr>
      <w:tr>
        <w:trPr>
          <w:trHeight w:val="200"/>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Advanced reservation deposits and rent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255.9</w:t>
            </w:r>
          </w:p>
        </w:tc>
      </w:tr>
      <w:tr>
        <w:trPr>
          <w:trHeight w:val="205"/>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expenses and accounts payable</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228.1</w:t>
            </w:r>
          </w:p>
        </w:tc>
      </w:tr>
      <w:tr>
        <w:trPr>
          <w:trHeight w:val="200"/>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liabilities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328.1</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320.6</w:t>
            </w:r>
          </w:p>
        </w:tc>
      </w:tr>
      <w:tr>
        <w:trPr>
          <w:trHeight w:val="198"/>
        </w:trPr>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5,299.1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5,194.4</w:t>
            </w:r>
          </w:p>
        </w:tc>
      </w:tr>
      <w:tr>
        <w:trPr>
          <w:trHeight w:val="200"/>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Commitments and contingencies (see Note 14)</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5"/>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Temporary equity (see Note 8)</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255.7</w:t>
            </w:r>
          </w:p>
        </w:tc>
      </w:tr>
      <w:tr>
        <w:trPr>
          <w:trHeight w:val="202"/>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58"/>
        </w:trPr>
        <w:tc>
          <w:tcPr>
            <w:tcW w:w="7860" w:type="dxa"/>
            <w:vAlign w:val="bottom"/>
            <w:shd w:val="clear" w:color="auto" w:fill="CCEEFF"/>
          </w:tcPr>
          <w:p>
            <w:pPr>
              <w:ind w:left="240"/>
              <w:spacing w:after="0" w:line="159" w:lineRule="exact"/>
              <w:rPr>
                <w:sz w:val="20"/>
                <w:szCs w:val="20"/>
                <w:color w:val="auto"/>
              </w:rPr>
            </w:pPr>
            <w:r>
              <w:rPr>
                <w:rFonts w:ascii="Times New Roman" w:cs="Times New Roman" w:eastAsia="Times New Roman" w:hAnsi="Times New Roman"/>
                <w:sz w:val="15"/>
                <w:szCs w:val="15"/>
                <w:color w:val="auto"/>
              </w:rPr>
              <w:t>Common stock, $0.01 par value. Authorized: 360.0 shares; Issued and outstanding: 123.3 at March 31, 2026 and 123.5 at</w:t>
            </w: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206"/>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December 31, 2025</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0"/>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9,543.1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9,563.1</w:t>
            </w:r>
          </w:p>
        </w:tc>
      </w:tr>
      <w:tr>
        <w:trPr>
          <w:trHeight w:val="205"/>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w:t>
            </w:r>
          </w:p>
        </w:tc>
      </w:tr>
      <w:tr>
        <w:trPr>
          <w:trHeight w:val="200"/>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Distributions in excess of accumulated earnings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(2,802.6)</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(2,634.7)</w:t>
            </w:r>
          </w:p>
        </w:tc>
      </w:tr>
      <w:tr>
        <w:trPr>
          <w:trHeight w:val="198"/>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b w:val="1"/>
                <w:bCs w:val="1"/>
                <w:color w:val="auto"/>
              </w:rPr>
              <w:t>Total SUI Shareholders' Equity</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6,753.5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6,956.1</w:t>
            </w:r>
          </w:p>
        </w:tc>
      </w:tr>
      <w:tr>
        <w:trPr>
          <w:trHeight w:val="200"/>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109.4</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116.7</w:t>
            </w:r>
          </w:p>
        </w:tc>
      </w:tr>
      <w:tr>
        <w:trPr>
          <w:trHeight w:val="196"/>
        </w:trPr>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6,862.9</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7,072.8</w:t>
            </w:r>
          </w:p>
        </w:tc>
      </w:tr>
      <w:tr>
        <w:trPr>
          <w:trHeight w:val="198"/>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Total Liabilities, Temporary Equity and Shareholders' Equity</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12,358.8</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12,522.9</w:t>
            </w:r>
          </w:p>
        </w:tc>
      </w:tr>
      <w:tr>
        <w:trPr>
          <w:trHeight w:val="21"/>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for per share amounts) (Unaudited)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r>
      <w:tr>
        <w:trPr>
          <w:trHeight w:val="200"/>
        </w:trPr>
        <w:tc>
          <w:tcPr>
            <w:tcW w:w="78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Borders>
              <w:bottom w:val="single" w:sz="8" w:color="auto"/>
            </w:tcBorders>
          </w:tcPr>
          <w:p>
            <w:pPr>
              <w:spacing w:after="0"/>
              <w:rPr>
                <w:sz w:val="17"/>
                <w:szCs w:val="17"/>
                <w:color w:val="auto"/>
              </w:rPr>
            </w:pPr>
          </w:p>
        </w:tc>
      </w:tr>
      <w:tr>
        <w:trPr>
          <w:trHeight w:val="18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property</w:t>
            </w:r>
          </w:p>
        </w:tc>
        <w:tc>
          <w:tcPr>
            <w:tcW w:w="108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417.2</w:t>
            </w:r>
          </w:p>
        </w:tc>
        <w:tc>
          <w:tcPr>
            <w:tcW w:w="200" w:type="dxa"/>
            <w:vAlign w:val="bottom"/>
          </w:tcPr>
          <w:p>
            <w:pPr>
              <w:spacing w:after="0"/>
              <w:rPr>
                <w:sz w:val="17"/>
                <w:szCs w:val="17"/>
                <w:color w:val="auto"/>
              </w:rPr>
            </w:pPr>
          </w:p>
        </w:tc>
        <w:tc>
          <w:tcPr>
            <w:tcW w:w="1080" w:type="dxa"/>
            <w:vAlign w:val="bottom"/>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384.4</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68.1</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Ancillary</w:t>
            </w:r>
          </w:p>
        </w:tc>
        <w:tc>
          <w:tcPr>
            <w:tcW w:w="1080" w:type="dxa"/>
            <w:vAlign w:val="bottom"/>
          </w:tcPr>
          <w:p>
            <w:pPr>
              <w:spacing w:after="0"/>
              <w:rPr>
                <w:sz w:val="17"/>
                <w:szCs w:val="17"/>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13.3</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200"/>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Brokerage commissions and other, net</w:t>
            </w: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1.9</w:t>
            </w: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98"/>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10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507.9</w:t>
            </w:r>
          </w:p>
        </w:tc>
        <w:tc>
          <w:tcPr>
            <w:tcW w:w="2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470.2</w:t>
            </w:r>
          </w:p>
        </w:tc>
      </w:tr>
      <w:tr>
        <w:trPr>
          <w:trHeight w:val="182"/>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Property operating and maintenance</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140.8</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131.3</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estate tax</w:t>
            </w:r>
          </w:p>
        </w:tc>
        <w:tc>
          <w:tcPr>
            <w:tcW w:w="1080" w:type="dxa"/>
            <w:vAlign w:val="bottom"/>
          </w:tcPr>
          <w:p>
            <w:pPr>
              <w:spacing w:after="0"/>
              <w:rPr>
                <w:sz w:val="17"/>
                <w:szCs w:val="17"/>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29.5</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costs and selling</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56.2</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Ancillary</w:t>
            </w:r>
          </w:p>
        </w:tc>
        <w:tc>
          <w:tcPr>
            <w:tcW w:w="1080" w:type="dxa"/>
            <w:vAlign w:val="bottom"/>
          </w:tcPr>
          <w:p>
            <w:pPr>
              <w:spacing w:after="0"/>
              <w:rPr>
                <w:sz w:val="17"/>
                <w:szCs w:val="17"/>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16.7</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69.5</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 (see Note 14)</w:t>
            </w:r>
          </w:p>
        </w:tc>
        <w:tc>
          <w:tcPr>
            <w:tcW w:w="1080" w:type="dxa"/>
            <w:vAlign w:val="bottom"/>
          </w:tcPr>
          <w:p>
            <w:pPr>
              <w:spacing w:after="0"/>
              <w:rPr>
                <w:sz w:val="17"/>
                <w:szCs w:val="17"/>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132.5</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123.7</w:t>
            </w:r>
          </w:p>
        </w:tc>
      </w:tr>
      <w:tr>
        <w:trPr>
          <w:trHeight w:val="226"/>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Asset impairments (see Note 13)</w:t>
            </w:r>
          </w:p>
        </w:tc>
        <w:tc>
          <w:tcPr>
            <w:tcW w:w="1080" w:type="dxa"/>
            <w:vAlign w:val="bottom"/>
          </w:tcPr>
          <w:p>
            <w:pPr>
              <w:spacing w:after="0"/>
              <w:rPr>
                <w:sz w:val="19"/>
                <w:szCs w:val="19"/>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w:t>
            </w:r>
          </w:p>
        </w:tc>
      </w:tr>
      <w:tr>
        <w:trPr>
          <w:trHeight w:val="206"/>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0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38.4</w:t>
            </w:r>
          </w:p>
        </w:tc>
        <w:tc>
          <w:tcPr>
            <w:tcW w:w="2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w:t>
            </w:r>
          </w:p>
        </w:tc>
      </w:tr>
      <w:tr>
        <w:trPr>
          <w:trHeight w:val="194"/>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484.4</w:t>
            </w:r>
          </w:p>
        </w:tc>
        <w:tc>
          <w:tcPr>
            <w:tcW w:w="2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512.7</w:t>
            </w:r>
          </w:p>
        </w:tc>
      </w:tr>
      <w:tr>
        <w:trPr>
          <w:trHeight w:val="19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 (Loss) Before Other Items</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23.5</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dispositions of properties, net (see Note 3)</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notes receivable (see Note 4)</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from nonconsolidated affiliates (see Note 6)</w:t>
            </w:r>
          </w:p>
        </w:tc>
        <w:tc>
          <w:tcPr>
            <w:tcW w:w="1080" w:type="dxa"/>
            <w:vAlign w:val="bottom"/>
          </w:tcPr>
          <w:p>
            <w:pPr>
              <w:spacing w:after="0"/>
              <w:rPr>
                <w:sz w:val="17"/>
                <w:szCs w:val="17"/>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6.1</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on remeasurement of investment in nonconsolidated affiliates</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Current tax expense</w:t>
            </w: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tax benefit / (expense)</w:t>
            </w:r>
          </w:p>
        </w:tc>
        <w:tc>
          <w:tcPr>
            <w:tcW w:w="10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2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194"/>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Loss from Continuing Operations</w:t>
            </w: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r>
      <w:tr>
        <w:trPr>
          <w:trHeight w:val="23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from discontinued operations, net (see Note 2)</w:t>
            </w:r>
          </w:p>
        </w:tc>
        <w:tc>
          <w:tcPr>
            <w:tcW w:w="10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r>
      <w:tr>
        <w:trPr>
          <w:trHeight w:val="192"/>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10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w:t>
            </w:r>
          </w:p>
        </w:tc>
      </w:tr>
      <w:tr>
        <w:trPr>
          <w:trHeight w:val="207"/>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Less: Preferred return to preferred OP units / equity interests</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0"/>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Less: Loss attributable to noncontrolling interests</w:t>
            </w: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Loss Attributable to SUI Common Shareholders</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122.6</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126.6</w:t>
            </w:r>
          </w:p>
        </w:tc>
      </w:tr>
      <w:tr>
        <w:trPr>
          <w:trHeight w:val="200"/>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diluted</w:t>
            </w:r>
          </w:p>
        </w:tc>
        <w:tc>
          <w:tcPr>
            <w:tcW w:w="1080" w:type="dxa"/>
            <w:vAlign w:val="bottom"/>
          </w:tcPr>
          <w:p>
            <w:pPr>
              <w:spacing w:after="0"/>
              <w:rPr>
                <w:sz w:val="17"/>
                <w:szCs w:val="17"/>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125.5</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129.8</w:t>
            </w:r>
          </w:p>
        </w:tc>
      </w:tr>
      <w:tr>
        <w:trPr>
          <w:trHeight w:val="218"/>
        </w:trPr>
        <w:tc>
          <w:tcPr>
            <w:tcW w:w="7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0"/>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 loss per share from continuing operations (see Note 11)</w:t>
            </w:r>
          </w:p>
        </w:tc>
        <w:tc>
          <w:tcPr>
            <w:tcW w:w="108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200" w:type="dxa"/>
            <w:vAlign w:val="bottom"/>
          </w:tcPr>
          <w:p>
            <w:pPr>
              <w:spacing w:after="0"/>
              <w:rPr>
                <w:sz w:val="17"/>
                <w:szCs w:val="17"/>
                <w:color w:val="auto"/>
              </w:rPr>
            </w:pPr>
          </w:p>
        </w:tc>
        <w:tc>
          <w:tcPr>
            <w:tcW w:w="1080" w:type="dxa"/>
            <w:vAlign w:val="bottom"/>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(0.19)</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loss per share from discontinued operations (see Note 11)</w:t>
            </w:r>
          </w:p>
        </w:tc>
        <w:tc>
          <w:tcPr>
            <w:tcW w:w="10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(0.15)</w:t>
            </w:r>
          </w:p>
        </w:tc>
      </w:tr>
      <w:tr>
        <w:trPr>
          <w:trHeight w:val="198"/>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 loss per share (see Note 11)</w:t>
            </w:r>
          </w:p>
        </w:tc>
        <w:tc>
          <w:tcPr>
            <w:tcW w:w="1080" w:type="dxa"/>
            <w:vAlign w:val="bottom"/>
            <w:tcBorders>
              <w:top w:val="single" w:sz="8" w:color="auto"/>
              <w:bottom w:val="single" w:sz="8" w:color="auto"/>
            </w:tcBorders>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2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(0.34)</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3"/>
        </w:trPr>
        <w:tc>
          <w:tcPr>
            <w:tcW w:w="7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loss per share from continuing operations (see Note 11)</w:t>
            </w:r>
          </w:p>
        </w:tc>
        <w:tc>
          <w:tcPr>
            <w:tcW w:w="108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200" w:type="dxa"/>
            <w:vAlign w:val="bottom"/>
          </w:tcPr>
          <w:p>
            <w:pPr>
              <w:spacing w:after="0"/>
              <w:rPr>
                <w:sz w:val="20"/>
                <w:szCs w:val="20"/>
                <w:color w:val="auto"/>
              </w:rPr>
            </w:pPr>
          </w:p>
        </w:tc>
        <w:tc>
          <w:tcPr>
            <w:tcW w:w="1080" w:type="dxa"/>
            <w:vAlign w:val="bottom"/>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(0.19)</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loss per share from discontinued operations (see Note 11)</w:t>
            </w:r>
          </w:p>
        </w:tc>
        <w:tc>
          <w:tcPr>
            <w:tcW w:w="10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(0.15)</w:t>
            </w:r>
          </w:p>
        </w:tc>
      </w:tr>
      <w:tr>
        <w:trPr>
          <w:trHeight w:val="200"/>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loss per share (see Note 11)</w:t>
            </w:r>
          </w:p>
        </w:tc>
        <w:tc>
          <w:tcPr>
            <w:tcW w:w="1080" w:type="dxa"/>
            <w:vAlign w:val="bottom"/>
            <w:tcBorders>
              <w:top w:val="single" w:sz="8" w:color="auto"/>
              <w:bottom w:val="single" w:sz="8" w:color="auto"/>
            </w:tcBorders>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2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(0.34)</w:t>
            </w: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r>
      <w:tr>
        <w:trPr>
          <w:trHeight w:val="200"/>
        </w:trPr>
        <w:tc>
          <w:tcPr>
            <w:tcW w:w="78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Borders>
              <w:bottom w:val="single" w:sz="8" w:color="auto"/>
            </w:tcBorders>
          </w:tcPr>
          <w:p>
            <w:pPr>
              <w:spacing w:after="0"/>
              <w:rPr>
                <w:sz w:val="17"/>
                <w:szCs w:val="17"/>
                <w:color w:val="auto"/>
              </w:rPr>
            </w:pPr>
          </w:p>
        </w:tc>
      </w:tr>
      <w:tr>
        <w:trPr>
          <w:trHeight w:val="19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foreign currency translation gains / (losses)</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Flow Hedges</w:t>
            </w: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unrealized losses on interest rate derivatives</w:t>
            </w:r>
          </w:p>
        </w:tc>
        <w:tc>
          <w:tcPr>
            <w:tcW w:w="10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200"/>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Interest rate derivative gains reclassified to earnings</w:t>
            </w: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9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unrealized losses on interest rate derivatives</w:t>
            </w:r>
          </w:p>
        </w:tc>
        <w:tc>
          <w:tcPr>
            <w:tcW w:w="10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194"/>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Loss</w:t>
            </w: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w:t>
            </w: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Less: Comprehensive income / (loss) attributable to noncontrolling interests</w:t>
            </w:r>
          </w:p>
        </w:tc>
        <w:tc>
          <w:tcPr>
            <w:tcW w:w="10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2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98"/>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Loss Attributable to SUI</w:t>
            </w:r>
          </w:p>
        </w:tc>
        <w:tc>
          <w:tcPr>
            <w:tcW w:w="108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w:t>
            </w: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0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Excess of</w:t>
            </w:r>
          </w:p>
        </w:tc>
        <w:tc>
          <w:tcPr>
            <w:tcW w:w="220" w:type="dxa"/>
            <w:vAlign w:val="bottom"/>
          </w:tcPr>
          <w:p>
            <w:pPr>
              <w:spacing w:after="0"/>
              <w:rPr>
                <w:sz w:val="12"/>
                <w:szCs w:val="12"/>
                <w:color w:val="auto"/>
              </w:rPr>
            </w:pPr>
          </w:p>
        </w:tc>
        <w:tc>
          <w:tcPr>
            <w:tcW w:w="78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580" w:type="dxa"/>
            <w:vAlign w:val="bottom"/>
          </w:tcPr>
          <w:p>
            <w:pPr>
              <w:jc w:val="center"/>
              <w:ind w:right="4"/>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580" w:type="dxa"/>
            <w:vAlign w:val="bottom"/>
          </w:tcPr>
          <w:p>
            <w:pPr>
              <w:jc w:val="right"/>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3860" w:type="dxa"/>
            <w:vAlign w:val="bottom"/>
            <w:gridSpan w:val="9"/>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 Comprehensive Noncontrolling Shareholders'</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5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7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160" w:type="dxa"/>
            <w:vAlign w:val="bottom"/>
          </w:tcPr>
          <w:p>
            <w:pPr>
              <w:spacing w:after="0"/>
              <w:rPr>
                <w:sz w:val="17"/>
                <w:szCs w:val="17"/>
                <w:color w:val="auto"/>
              </w:rPr>
            </w:pPr>
          </w:p>
        </w:tc>
        <w:tc>
          <w:tcPr>
            <w:tcW w:w="8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6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2025</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255.7</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9,563.1</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(2,634.7)</w:t>
            </w: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7,072.8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7,328.5</w:t>
            </w:r>
          </w:p>
        </w:tc>
        <w:tc>
          <w:tcPr>
            <w:tcW w:w="0" w:type="dxa"/>
            <w:vAlign w:val="bottom"/>
          </w:tcPr>
          <w:p>
            <w:pPr>
              <w:spacing w:after="0"/>
              <w:rPr>
                <w:sz w:val="1"/>
                <w:szCs w:val="1"/>
                <w:color w:val="auto"/>
              </w:rPr>
            </w:pPr>
          </w:p>
        </w:tc>
      </w:tr>
      <w:tr>
        <w:trPr>
          <w:trHeight w:val="158"/>
        </w:trPr>
        <w:tc>
          <w:tcPr>
            <w:tcW w:w="36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common OP units, and other</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securities, net</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Common stock withheld to satisfy income tax obligations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related to vesting of restricted stock awards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Common stock repurchased</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(60.1)</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Conversions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 - amortization and forfeitures</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16.4</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Redemptions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 / (loss)</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 (loss)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(138.2)</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(143.8)</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 accretion</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2026</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196.8</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9,543.1</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(2,802.6)</w:t>
            </w: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6,862.9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7,059.7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0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Excess of</w:t>
            </w:r>
          </w:p>
        </w:tc>
        <w:tc>
          <w:tcPr>
            <w:tcW w:w="220" w:type="dxa"/>
            <w:vAlign w:val="bottom"/>
          </w:tcPr>
          <w:p>
            <w:pPr>
              <w:spacing w:after="0"/>
              <w:rPr>
                <w:sz w:val="12"/>
                <w:szCs w:val="12"/>
                <w:color w:val="auto"/>
              </w:rPr>
            </w:pPr>
          </w:p>
        </w:tc>
        <w:tc>
          <w:tcPr>
            <w:tcW w:w="780" w:type="dxa"/>
            <w:vAlign w:val="bottom"/>
          </w:tcPr>
          <w:p>
            <w:pPr>
              <w:jc w:val="center"/>
              <w:ind w:right="124"/>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5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5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386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Comprehensive Noncontrolling Shareholders'</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5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7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160" w:type="dxa"/>
            <w:vAlign w:val="bottom"/>
          </w:tcPr>
          <w:p>
            <w:pPr>
              <w:spacing w:after="0"/>
              <w:rPr>
                <w:sz w:val="17"/>
                <w:szCs w:val="17"/>
                <w:color w:val="auto"/>
              </w:rPr>
            </w:pPr>
          </w:p>
        </w:tc>
        <w:tc>
          <w:tcPr>
            <w:tcW w:w="8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6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259.8</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9,864.2</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(2,775.9)</w:t>
            </w: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7,192.8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7,452.6</w:t>
            </w:r>
          </w:p>
        </w:tc>
        <w:tc>
          <w:tcPr>
            <w:tcW w:w="0" w:type="dxa"/>
            <w:vAlign w:val="bottom"/>
          </w:tcPr>
          <w:p>
            <w:pPr>
              <w:spacing w:after="0"/>
              <w:rPr>
                <w:sz w:val="1"/>
                <w:szCs w:val="1"/>
                <w:color w:val="auto"/>
              </w:rPr>
            </w:pPr>
          </w:p>
        </w:tc>
      </w:tr>
      <w:tr>
        <w:trPr>
          <w:trHeight w:val="148"/>
        </w:trPr>
        <w:tc>
          <w:tcPr>
            <w:tcW w:w="36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Issuance of common stock, common OP units, and other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securities, net</w:t>
            </w:r>
          </w:p>
        </w:tc>
        <w:tc>
          <w:tcPr>
            <w:tcW w:w="120" w:type="dxa"/>
            <w:vAlign w:val="bottom"/>
          </w:tcPr>
          <w:p>
            <w:pPr>
              <w:spacing w:after="0"/>
              <w:rPr>
                <w:sz w:val="18"/>
                <w:szCs w:val="18"/>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153"/>
        </w:trPr>
        <w:tc>
          <w:tcPr>
            <w:tcW w:w="36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Common stock withheld to satisfy income tax obligations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related to vesting of restricted stock awards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Conversions</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Share-based compensation - amortization and forfeitures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Redemptions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 (loss)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 units accretion</w:t>
            </w:r>
          </w:p>
        </w:tc>
        <w:tc>
          <w:tcPr>
            <w:tcW w:w="12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2025</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9,865.4</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(2,938.7)</w:t>
            </w:r>
          </w:p>
        </w:tc>
        <w:tc>
          <w:tcPr>
            <w:tcW w:w="22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7,025.9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7,270.2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560" w:type="dxa"/>
            <w:vAlign w:val="bottom"/>
            <w:tcBorders>
              <w:bottom w:val="single" w:sz="8" w:color="auto"/>
            </w:tcBorders>
          </w:tcPr>
          <w:p>
            <w:pPr>
              <w:spacing w:after="0"/>
              <w:rPr>
                <w:sz w:val="17"/>
                <w:szCs w:val="17"/>
                <w:color w:val="auto"/>
              </w:rPr>
            </w:pPr>
          </w:p>
        </w:tc>
      </w:tr>
      <w:tr>
        <w:trPr>
          <w:trHeight w:val="200"/>
        </w:trPr>
        <w:tc>
          <w:tcPr>
            <w:tcW w:w="78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2026</w:t>
            </w: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560" w:type="dxa"/>
            <w:vAlign w:val="bottom"/>
            <w:tcBorders>
              <w:bottom w:val="single" w:sz="8" w:color="auto"/>
            </w:tcBorders>
          </w:tcPr>
          <w:p>
            <w:pPr>
              <w:spacing w:after="0"/>
              <w:rPr>
                <w:sz w:val="17"/>
                <w:szCs w:val="17"/>
                <w:color w:val="auto"/>
              </w:rPr>
            </w:pPr>
          </w:p>
        </w:tc>
      </w:tr>
      <w:tr>
        <w:trPr>
          <w:trHeight w:val="18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10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cash provided by operating activities - continuing operations</w:t>
            </w:r>
          </w:p>
        </w:tc>
        <w:tc>
          <w:tcPr>
            <w:tcW w:w="1040" w:type="dxa"/>
            <w:vAlign w:val="bottom"/>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269.3</w:t>
            </w:r>
          </w:p>
        </w:tc>
        <w:tc>
          <w:tcPr>
            <w:tcW w:w="200" w:type="dxa"/>
            <w:vAlign w:val="bottom"/>
          </w:tcPr>
          <w:p>
            <w:pPr>
              <w:spacing w:after="0"/>
              <w:rPr>
                <w:sz w:val="17"/>
                <w:szCs w:val="17"/>
                <w:color w:val="auto"/>
              </w:rPr>
            </w:pPr>
          </w:p>
        </w:tc>
        <w:tc>
          <w:tcPr>
            <w:tcW w:w="1040" w:type="dxa"/>
            <w:vAlign w:val="bottom"/>
          </w:tcPr>
          <w:p>
            <w:pPr>
              <w:jc w:val="right"/>
              <w:ind w:right="88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139.3</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cash provided by operating activities - discontinued operations</w:t>
            </w:r>
          </w:p>
        </w:tc>
        <w:tc>
          <w:tcPr>
            <w:tcW w:w="10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104.6</w:t>
            </w:r>
          </w:p>
        </w:tc>
      </w:tr>
      <w:tr>
        <w:trPr>
          <w:trHeight w:val="194"/>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10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269.3</w:t>
            </w:r>
          </w:p>
        </w:tc>
        <w:tc>
          <w:tcPr>
            <w:tcW w:w="20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243.9</w:t>
            </w:r>
          </w:p>
        </w:tc>
      </w:tr>
      <w:tr>
        <w:trPr>
          <w:trHeight w:val="18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in properties</w:t>
            </w:r>
          </w:p>
        </w:tc>
        <w:tc>
          <w:tcPr>
            <w:tcW w:w="10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(107.0)</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Acquisitions, net of cash acquired</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disposition of assets and depreciated homes, net</w:t>
            </w:r>
          </w:p>
        </w:tc>
        <w:tc>
          <w:tcPr>
            <w:tcW w:w="1040" w:type="dxa"/>
            <w:vAlign w:val="bottom"/>
          </w:tcPr>
          <w:p>
            <w:pPr>
              <w:spacing w:after="0"/>
              <w:rPr>
                <w:sz w:val="17"/>
                <w:szCs w:val="17"/>
                <w:color w:val="auto"/>
              </w:rPr>
            </w:pP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related to disposition of properties</w:t>
            </w:r>
          </w:p>
        </w:tc>
        <w:tc>
          <w:tcPr>
            <w:tcW w:w="10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Repayments of notes and other receivables</w:t>
            </w:r>
          </w:p>
        </w:tc>
        <w:tc>
          <w:tcPr>
            <w:tcW w:w="1040" w:type="dxa"/>
            <w:vAlign w:val="bottom"/>
          </w:tcPr>
          <w:p>
            <w:pPr>
              <w:spacing w:after="0"/>
              <w:rPr>
                <w:sz w:val="17"/>
                <w:szCs w:val="17"/>
                <w:color w:val="auto"/>
              </w:rPr>
            </w:pP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0.8</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10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w:t>
            </w:r>
          </w:p>
        </w:tc>
        <w:tc>
          <w:tcPr>
            <w:tcW w:w="2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194"/>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cash provided by / (used for) investing activities - continuing operations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(140.2)</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cash used for investing activities - discontinued operations</w:t>
            </w:r>
          </w:p>
        </w:tc>
        <w:tc>
          <w:tcPr>
            <w:tcW w:w="10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w:t>
            </w:r>
          </w:p>
        </w:tc>
      </w:tr>
      <w:tr>
        <w:trPr>
          <w:trHeight w:val="194"/>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Used For Investing Activities</w:t>
            </w:r>
          </w:p>
        </w:tc>
        <w:tc>
          <w:tcPr>
            <w:tcW w:w="10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(140.2)</w:t>
            </w:r>
          </w:p>
        </w:tc>
        <w:tc>
          <w:tcPr>
            <w:tcW w:w="20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w:t>
            </w:r>
          </w:p>
        </w:tc>
      </w:tr>
      <w:tr>
        <w:trPr>
          <w:trHeight w:val="18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and costs of common stock, OP units and preferred OP units, net</w:t>
            </w:r>
          </w:p>
        </w:tc>
        <w:tc>
          <w:tcPr>
            <w:tcW w:w="104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Common stock withheld to satisfy income tax obligations related to vesting of restricted stock</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10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(60.1)</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Redemptions of preferred OP units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Borrowings on lines of credit</w:t>
            </w:r>
          </w:p>
        </w:tc>
        <w:tc>
          <w:tcPr>
            <w:tcW w:w="104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356.3</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Payments on lines of credit</w:t>
            </w:r>
          </w:p>
        </w:tc>
        <w:tc>
          <w:tcPr>
            <w:tcW w:w="10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(327.8)</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on other debt</w:t>
            </w:r>
          </w:p>
        </w:tc>
        <w:tc>
          <w:tcPr>
            <w:tcW w:w="10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Distributions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(134.0)</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(125.4)</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capital transfer from consolidated affiliates</w:t>
            </w:r>
          </w:p>
        </w:tc>
        <w:tc>
          <w:tcPr>
            <w:tcW w:w="104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w:t>
            </w:r>
          </w:p>
        </w:tc>
      </w:tr>
      <w:tr>
        <w:trPr>
          <w:trHeight w:val="198"/>
        </w:trPr>
        <w:tc>
          <w:tcPr>
            <w:tcW w:w="78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cash used for financing activities - continuing operations</w:t>
            </w:r>
          </w:p>
        </w:tc>
        <w:tc>
          <w:tcPr>
            <w:tcW w:w="10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(267.3)</w:t>
            </w: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(119.0)</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cash used for financing activities - discontinued operations</w:t>
            </w:r>
          </w:p>
        </w:tc>
        <w:tc>
          <w:tcPr>
            <w:tcW w:w="104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w:t>
            </w:r>
          </w:p>
        </w:tc>
      </w:tr>
      <w:tr>
        <w:trPr>
          <w:trHeight w:val="198"/>
        </w:trPr>
        <w:tc>
          <w:tcPr>
            <w:tcW w:w="78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Used For Financing Activities</w:t>
            </w: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(267.3)</w:t>
            </w: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(170.7)</w:t>
            </w:r>
          </w:p>
        </w:tc>
      </w:tr>
      <w:tr>
        <w:trPr>
          <w:trHeight w:val="194"/>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2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19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(139.1)</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w:t>
            </w:r>
          </w:p>
        </w:tc>
      </w:tr>
      <w:tr>
        <w:trPr>
          <w:trHeight w:val="20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636.1</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63.9</w:t>
            </w:r>
          </w:p>
        </w:tc>
      </w:tr>
      <w:tr>
        <w:trPr>
          <w:trHeight w:val="19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497.0</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w:t>
            </w:r>
          </w:p>
        </w:tc>
      </w:tr>
      <w:tr>
        <w:trPr>
          <w:trHeight w:val="200"/>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Less: Cash, cash equivalents and restricted cash - discontinued operations</w:t>
            </w:r>
          </w:p>
        </w:tc>
        <w:tc>
          <w:tcPr>
            <w:tcW w:w="104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r>
      <w:tr>
        <w:trPr>
          <w:trHeight w:val="223"/>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 Continuing Operations</w:t>
            </w:r>
          </w:p>
        </w:tc>
        <w:tc>
          <w:tcPr>
            <w:tcW w:w="1040" w:type="dxa"/>
            <w:vAlign w:val="bottom"/>
            <w:tcBorders>
              <w:top w:val="single" w:sz="8" w:color="auto"/>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0"/>
        </w:trPr>
        <w:tc>
          <w:tcPr>
            <w:tcW w:w="7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2026</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8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Information</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0"/>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interest (net of capitalized interest of $0.2 and $1.4, respectively)</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33.9</w:t>
            </w:r>
          </w:p>
        </w:tc>
        <w:tc>
          <w:tcPr>
            <w:tcW w:w="20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w:t>
            </w: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2"/>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distributions declared and outstanding</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9.8</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Conversion of common and preferred OP units</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w:t>
            </w:r>
          </w:p>
        </w:tc>
        <w:tc>
          <w:tcPr>
            <w:tcW w:w="20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Reduction in note receivable balance in exchange for redemption of preferred OP units</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 Communities, Inc., and all wholly-owned or majority-owned and controlled subsidiaries, including Sun Communities Operating Limited Partnership (the "Operating Partnership"), Sun Home Services, Inc. ("SHS"), and our Park Holidays subsidiaries and the other entities through which we operate our business in the United Kingdom ("UK") are referred to herein as the "Company," "SUI," "us," "we," or "our."</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elected to be taxed as a real estate investment trust ("REIT") pursuant to Section 856(c) of the Internal Revenue Code of 1986, as amended ("Code"). We analyzed the various REIT tests and confirmed that we continued to qualify as a REIT during the three months ended March 31, 2026.</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significant intercompany transactions have been eliminated in consolidation.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2025 as filed with the SEC on February 25, 2026 (our "2025 Annual Report"). These statements have been prepared on a basis that is substantially consistent with the accounting principles applied in our 2025 Annual Report.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2025, we entered into a definitive agreement to sell our former Safe Harbor Marinas, LLC subsidiary ("Safe Harbor") for an aggregate purchase price of approximately $5.65 billion, subject to certain adjustments (the "Safe Harbor Sale"). The results of the Safe Harbor business have been reflected as discontinued operations on our Consolidated Statements of Operations through the final transaction closing date of August 29, 2025. Prior periods have been recast to reflect this presentation in accordance with ASC 205-20, "</w:t>
      </w:r>
      <w:r>
        <w:rPr>
          <w:rFonts w:ascii="Times New Roman" w:cs="Times New Roman" w:eastAsia="Times New Roman" w:hAnsi="Times New Roman"/>
          <w:sz w:val="18"/>
          <w:szCs w:val="18"/>
          <w:i w:val="1"/>
          <w:iCs w:val="1"/>
          <w:color w:val="auto"/>
        </w:rPr>
        <w:t>Presentation of Financial Statements: Discontinued Operations</w:t>
      </w:r>
      <w:r>
        <w:rPr>
          <w:rFonts w:ascii="Times New Roman" w:cs="Times New Roman" w:eastAsia="Times New Roman" w:hAnsi="Times New Roman"/>
          <w:sz w:val="18"/>
          <w:szCs w:val="18"/>
          <w:color w:val="auto"/>
        </w:rPr>
        <w:t>." As of December 31, 2025, we had fully divested our investment in Safe Harbor and there were no assets or liabilities classified as discontinued operations. The following table sets forth a summary of the operating results of Safe Harbor included within Income from discontinued operations, net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20" w:type="dxa"/>
            <w:vAlign w:val="bottom"/>
          </w:tcPr>
          <w:p>
            <w:pPr>
              <w:spacing w:after="0"/>
              <w:rPr>
                <w:sz w:val="15"/>
                <w:szCs w:val="15"/>
                <w:color w:val="auto"/>
              </w:rPr>
            </w:pPr>
          </w:p>
        </w:tc>
        <w:tc>
          <w:tcPr>
            <w:tcW w:w="20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Three Months Ended March</w:t>
            </w:r>
          </w:p>
        </w:tc>
      </w:tr>
      <w:tr>
        <w:trPr>
          <w:trHeight w:val="209"/>
        </w:trPr>
        <w:tc>
          <w:tcPr>
            <w:tcW w:w="9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31, 2025</w:t>
            </w:r>
          </w:p>
        </w:tc>
      </w:tr>
      <w:tr>
        <w:trPr>
          <w:trHeight w:val="18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4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00"/>
        </w:trPr>
        <w:tc>
          <w:tcPr>
            <w:tcW w:w="92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property</w:t>
            </w: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103.1</w:t>
            </w:r>
          </w:p>
        </w:tc>
      </w:tr>
      <w:tr>
        <w:trPr>
          <w:trHeight w:val="205"/>
        </w:trPr>
        <w:tc>
          <w:tcPr>
            <w:tcW w:w="9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Service, retail, dining, and entertainment</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108.3</w:t>
            </w:r>
          </w:p>
        </w:tc>
      </w:tr>
      <w:tr>
        <w:trPr>
          <w:trHeight w:val="200"/>
        </w:trPr>
        <w:tc>
          <w:tcPr>
            <w:tcW w:w="9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Interest, brokerage commissions and other, net</w:t>
            </w: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98"/>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4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212.7</w:t>
            </w:r>
          </w:p>
        </w:tc>
      </w:tr>
      <w:tr>
        <w:trPr>
          <w:trHeight w:val="182"/>
        </w:trPr>
        <w:tc>
          <w:tcPr>
            <w:tcW w:w="92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3"/>
        </w:trPr>
        <w:tc>
          <w:tcPr>
            <w:tcW w:w="9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Property operating and maintenance</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w:t>
            </w:r>
          </w:p>
        </w:tc>
      </w:tr>
      <w:tr>
        <w:trPr>
          <w:trHeight w:val="200"/>
        </w:trPr>
        <w:tc>
          <w:tcPr>
            <w:tcW w:w="92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estate tax</w:t>
            </w:r>
          </w:p>
        </w:tc>
        <w:tc>
          <w:tcPr>
            <w:tcW w:w="4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205"/>
        </w:trPr>
        <w:tc>
          <w:tcPr>
            <w:tcW w:w="9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Service, retail, dining and entertainment</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103.9</w:t>
            </w:r>
          </w:p>
        </w:tc>
      </w:tr>
      <w:tr>
        <w:trPr>
          <w:trHeight w:val="203"/>
        </w:trPr>
        <w:tc>
          <w:tcPr>
            <w:tcW w:w="922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General and administrative</w:t>
            </w:r>
            <w:r>
              <w:rPr>
                <w:rFonts w:ascii="Times New Roman" w:cs="Times New Roman" w:eastAsia="Times New Roman" w:hAnsi="Times New Roman"/>
                <w:sz w:val="19"/>
                <w:szCs w:val="19"/>
                <w:color w:val="auto"/>
                <w:vertAlign w:val="superscript"/>
              </w:rPr>
              <w:t>(1)</w:t>
            </w:r>
          </w:p>
        </w:tc>
        <w:tc>
          <w:tcPr>
            <w:tcW w:w="4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w:t>
            </w:r>
          </w:p>
        </w:tc>
      </w:tr>
      <w:tr>
        <w:trPr>
          <w:trHeight w:val="203"/>
        </w:trPr>
        <w:tc>
          <w:tcPr>
            <w:tcW w:w="9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Transaction costs</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r>
      <w:tr>
        <w:trPr>
          <w:trHeight w:val="200"/>
        </w:trPr>
        <w:tc>
          <w:tcPr>
            <w:tcW w:w="92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amortization and loss on disposal of assets</w:t>
            </w:r>
          </w:p>
        </w:tc>
        <w:tc>
          <w:tcPr>
            <w:tcW w:w="4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w:t>
            </w:r>
          </w:p>
        </w:tc>
      </w:tr>
      <w:tr>
        <w:trPr>
          <w:trHeight w:val="205"/>
        </w:trPr>
        <w:tc>
          <w:tcPr>
            <w:tcW w:w="9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Asset impairments</w:t>
            </w:r>
          </w:p>
        </w:tc>
        <w:tc>
          <w:tcPr>
            <w:tcW w:w="4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94"/>
        </w:trPr>
        <w:tc>
          <w:tcPr>
            <w:tcW w:w="9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216.3</w:t>
            </w:r>
          </w:p>
        </w:tc>
      </w:tr>
      <w:tr>
        <w:trPr>
          <w:trHeight w:val="198"/>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Loss Before Other Items</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203"/>
        </w:trPr>
        <w:tc>
          <w:tcPr>
            <w:tcW w:w="9220" w:type="dxa"/>
            <w:vAlign w:val="bottom"/>
            <w:tcBorders>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5"/>
                <w:szCs w:val="15"/>
                <w:color w:val="auto"/>
              </w:rPr>
              <w:t>Other expense, net</w:t>
            </w:r>
            <w:r>
              <w:rPr>
                <w:rFonts w:ascii="Times New Roman" w:cs="Times New Roman" w:eastAsia="Times New Roman" w:hAnsi="Times New Roman"/>
                <w:sz w:val="19"/>
                <w:szCs w:val="19"/>
                <w:color w:val="auto"/>
                <w:vertAlign w:val="superscript"/>
              </w:rPr>
              <w:t>(2)</w:t>
            </w: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w:t>
            </w:r>
          </w:p>
        </w:tc>
      </w:tr>
      <w:tr>
        <w:trPr>
          <w:trHeight w:val="196"/>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Loss from discontinued operations, before income taxes</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r>
      <w:tr>
        <w:trPr>
          <w:trHeight w:val="200"/>
        </w:trPr>
        <w:tc>
          <w:tcPr>
            <w:tcW w:w="9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Current tax expense</w:t>
            </w: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223"/>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Loss from discontinued operations, net</w:t>
            </w: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transaction costs of $14.6 million that were directly attributable to the Safe Harbor Sale, including legal and advisory fees and other transaction costs.</w:t>
      </w:r>
    </w:p>
    <w:p>
      <w:pPr>
        <w:spacing w:after="0" w:line="3" w:lineRule="exact"/>
        <w:rPr>
          <w:rFonts w:ascii="Times New Roman" w:cs="Times New Roman" w:eastAsia="Times New Roman" w:hAnsi="Times New Roman"/>
          <w:sz w:val="19"/>
          <w:szCs w:val="19"/>
          <w:color w:val="auto"/>
          <w:vertAlign w:val="superscript"/>
        </w:rPr>
      </w:pPr>
    </w:p>
    <w:p>
      <w:pPr>
        <w:jc w:val="both"/>
        <w:ind w:left="180" w:hanging="172"/>
        <w:spacing w:after="0" w:line="231" w:lineRule="auto"/>
        <w:tabs>
          <w:tab w:leader="none" w:pos="15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three months ended March 31, 2025, we recorded a contingent consideration expense of $14.6 million related to a tax protection agreement that we entered into with former owners of certain Marina properties at the time of acquisition. The tax protection agreement stipulates that we indemnify those owners for certain tax obligations incurred related to the sale of certain Marina properties. As a result of the Safe Harbor Sale, we concluded that our tax liability to the former owners was probable of being realized and estimable.</w:t>
      </w:r>
    </w:p>
    <w:p>
      <w:pPr>
        <w:spacing w:after="0" w:line="1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amortization, and capital expenditures attributable to discontinued operations related to Safe Harbor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20" w:type="dxa"/>
            <w:vAlign w:val="bottom"/>
          </w:tcPr>
          <w:p>
            <w:pPr>
              <w:spacing w:after="0"/>
              <w:rPr>
                <w:sz w:val="15"/>
                <w:szCs w:val="15"/>
                <w:color w:val="auto"/>
              </w:rPr>
            </w:pPr>
          </w:p>
        </w:tc>
        <w:tc>
          <w:tcPr>
            <w:tcW w:w="20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Three Months Ended March</w:t>
            </w:r>
          </w:p>
        </w:tc>
      </w:tr>
      <w:tr>
        <w:trPr>
          <w:trHeight w:val="206"/>
        </w:trPr>
        <w:tc>
          <w:tcPr>
            <w:tcW w:w="9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31, 2025</w:t>
            </w:r>
          </w:p>
        </w:tc>
      </w:tr>
      <w:tr>
        <w:trPr>
          <w:trHeight w:val="20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r>
      <w:tr>
        <w:trPr>
          <w:trHeight w:val="200"/>
        </w:trPr>
        <w:tc>
          <w:tcPr>
            <w:tcW w:w="9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w:t>
            </w: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0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Capital Expenditures</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Real Estate Acquisitions and Dispositions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Acquisitions and Dispositions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acquisitions of real estate properties occurred during the three months ended March 31,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80" w:type="dxa"/>
            <w:vAlign w:val="bottom"/>
            <w:gridSpan w:val="2"/>
          </w:tcPr>
          <w:p>
            <w:pPr>
              <w:ind w:left="2200"/>
              <w:spacing w:after="0"/>
              <w:rPr>
                <w:sz w:val="20"/>
                <w:szCs w:val="20"/>
                <w:color w:val="auto"/>
              </w:rPr>
            </w:pPr>
            <w:r>
              <w:rPr>
                <w:rFonts w:ascii="Times New Roman" w:cs="Times New Roman" w:eastAsia="Times New Roman" w:hAnsi="Times New Roman"/>
                <w:sz w:val="15"/>
                <w:szCs w:val="15"/>
                <w:b w:val="1"/>
                <w:bCs w:val="1"/>
                <w:color w:val="auto"/>
              </w:rPr>
              <w:t>Property Name</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Segment</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State, Province, or Country</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Month Acquired</w:t>
            </w:r>
          </w:p>
        </w:tc>
      </w:tr>
      <w:tr>
        <w:trPr>
          <w:trHeight w:val="200"/>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Parkhurst Estates</w:t>
            </w: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MH</w:t>
            </w:r>
          </w:p>
        </w:tc>
        <w:tc>
          <w:tcPr>
            <w:tcW w:w="8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MI</w:t>
            </w: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January</w:t>
            </w:r>
          </w:p>
        </w:tc>
      </w:tr>
      <w:tr>
        <w:trPr>
          <w:trHeight w:val="198"/>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Kingfisher</w:t>
            </w:r>
          </w:p>
        </w:tc>
        <w:tc>
          <w:tcPr>
            <w:tcW w:w="1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UK</w:t>
            </w:r>
          </w:p>
        </w:tc>
        <w:tc>
          <w:tcPr>
            <w:tcW w:w="23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UK</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March</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assets acquired, net of liabilities assumed, at the acquisition date and the consideration paid for the acquisitions, subject to adjustments based on final purchase price allocations, completed during the three months ended March 31, 2026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gridSpan w:val="5"/>
          </w:tcPr>
          <w:p>
            <w:pPr>
              <w:ind w:left="860"/>
              <w:spacing w:after="0"/>
              <w:rPr>
                <w:sz w:val="20"/>
                <w:szCs w:val="20"/>
                <w:color w:val="auto"/>
              </w:rPr>
            </w:pPr>
            <w:r>
              <w:rPr>
                <w:rFonts w:ascii="Times New Roman" w:cs="Times New Roman" w:eastAsia="Times New Roman" w:hAnsi="Times New Roman"/>
                <w:sz w:val="15"/>
                <w:szCs w:val="15"/>
                <w:b w:val="1"/>
                <w:bCs w:val="1"/>
                <w:color w:val="auto"/>
              </w:rPr>
              <w:t>At Acquisition Date</w:t>
            </w:r>
          </w:p>
        </w:tc>
        <w:tc>
          <w:tcPr>
            <w:tcW w:w="100" w:type="dxa"/>
            <w:vAlign w:val="bottom"/>
          </w:tcPr>
          <w:p>
            <w:pPr>
              <w:spacing w:after="0"/>
              <w:rPr>
                <w:sz w:val="17"/>
                <w:szCs w:val="17"/>
                <w:color w:val="auto"/>
              </w:rPr>
            </w:pPr>
          </w:p>
        </w:tc>
        <w:tc>
          <w:tcPr>
            <w:tcW w:w="1960" w:type="dxa"/>
            <w:vAlign w:val="bottom"/>
            <w:gridSpan w:val="4"/>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Consideration</w:t>
            </w:r>
          </w:p>
        </w:tc>
      </w:tr>
      <w:tr>
        <w:trPr>
          <w:trHeight w:val="146"/>
        </w:trPr>
        <w:tc>
          <w:tcPr>
            <w:tcW w:w="2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240"/>
              <w:spacing w:after="0" w:line="146" w:lineRule="exact"/>
              <w:rPr>
                <w:sz w:val="20"/>
                <w:szCs w:val="20"/>
                <w:color w:val="auto"/>
              </w:rPr>
            </w:pPr>
            <w:r>
              <w:rPr>
                <w:rFonts w:ascii="Times New Roman" w:cs="Times New Roman" w:eastAsia="Times New Roman" w:hAnsi="Times New Roman"/>
                <w:sz w:val="15"/>
                <w:szCs w:val="15"/>
                <w:b w:val="1"/>
                <w:bCs w:val="1"/>
                <w:color w:val="auto"/>
              </w:rPr>
              <w:t>Investment in</w:t>
            </w:r>
          </w:p>
        </w:tc>
        <w:tc>
          <w:tcPr>
            <w:tcW w:w="18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5"/>
                <w:szCs w:val="15"/>
                <w:b w:val="1"/>
                <w:bCs w:val="1"/>
                <w:color w:val="auto"/>
              </w:rPr>
              <w:t>Other identifiable assets /</w:t>
            </w:r>
          </w:p>
        </w:tc>
        <w:tc>
          <w:tcPr>
            <w:tcW w:w="10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tcPr>
          <w:p>
            <w:pPr>
              <w:jc w:val="center"/>
              <w:ind w:right="24"/>
              <w:spacing w:after="0" w:line="146" w:lineRule="exact"/>
              <w:rPr>
                <w:sz w:val="20"/>
                <w:szCs w:val="20"/>
                <w:color w:val="auto"/>
              </w:rPr>
            </w:pPr>
            <w:r>
              <w:rPr>
                <w:rFonts w:ascii="Times New Roman" w:cs="Times New Roman" w:eastAsia="Times New Roman" w:hAnsi="Times New Roman"/>
                <w:sz w:val="15"/>
                <w:szCs w:val="15"/>
                <w:b w:val="1"/>
                <w:bCs w:val="1"/>
                <w:color w:val="auto"/>
              </w:rPr>
              <w:t>Total identifiable assets acquired net</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Cash and</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24"/>
              <w:spacing w:after="0" w:line="146" w:lineRule="exact"/>
              <w:rPr>
                <w:sz w:val="20"/>
                <w:szCs w:val="20"/>
                <w:color w:val="auto"/>
              </w:rPr>
            </w:pPr>
            <w:r>
              <w:rPr>
                <w:rFonts w:ascii="Times New Roman" w:cs="Times New Roman" w:eastAsia="Times New Roman" w:hAnsi="Times New Roman"/>
                <w:sz w:val="15"/>
                <w:szCs w:val="15"/>
                <w:b w:val="1"/>
                <w:bCs w:val="1"/>
                <w:color w:val="auto"/>
              </w:rPr>
              <w:t>Total</w:t>
            </w:r>
          </w:p>
        </w:tc>
      </w:tr>
      <w:tr>
        <w:trPr>
          <w:trHeight w:val="209"/>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property</w:t>
            </w:r>
          </w:p>
        </w:tc>
        <w:tc>
          <w:tcPr>
            <w:tcW w:w="18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(liabilities), net</w:t>
            </w:r>
          </w:p>
        </w:tc>
        <w:tc>
          <w:tcPr>
            <w:tcW w:w="100" w:type="dxa"/>
            <w:vAlign w:val="bottom"/>
          </w:tcPr>
          <w:p>
            <w:pPr>
              <w:spacing w:after="0"/>
              <w:rPr>
                <w:sz w:val="18"/>
                <w:szCs w:val="18"/>
                <w:color w:val="auto"/>
              </w:rPr>
            </w:pPr>
          </w:p>
        </w:tc>
        <w:tc>
          <w:tcPr>
            <w:tcW w:w="26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of liabilities assumed</w:t>
            </w:r>
          </w:p>
        </w:tc>
        <w:tc>
          <w:tcPr>
            <w:tcW w:w="10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escrow</w:t>
            </w:r>
          </w:p>
        </w:tc>
        <w:tc>
          <w:tcPr>
            <w:tcW w:w="10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consideration</w:t>
            </w:r>
          </w:p>
        </w:tc>
      </w:tr>
      <w:tr>
        <w:trPr>
          <w:trHeight w:val="189"/>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 Acquisitions</w:t>
            </w: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r>
      <w:tr>
        <w:trPr>
          <w:trHeight w:val="200"/>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Parkhurst Estates</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17.3</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w:t>
            </w:r>
          </w:p>
        </w:tc>
      </w:tr>
      <w:tr>
        <w:trPr>
          <w:trHeight w:val="20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Kingfisher</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196"/>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2026 Acquisitions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9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4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28.6</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28.6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28.6</w:t>
            </w: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Notes and Other 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notes and other receivables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20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1440" w:type="dxa"/>
            <w:vAlign w:val="bottom"/>
            <w:shd w:val="clear" w:color="auto" w:fill="CCEEFF"/>
          </w:tcPr>
          <w:p>
            <w:pPr>
              <w:jc w:val="right"/>
              <w:ind w:right="128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4"/>
              </w:rPr>
              <w:t>145.3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139.2</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receivable from real estate operators</w:t>
            </w:r>
          </w:p>
        </w:tc>
        <w:tc>
          <w:tcPr>
            <w:tcW w:w="1440" w:type="dxa"/>
            <w:vAlign w:val="bottom"/>
          </w:tcPr>
          <w:p>
            <w:pPr>
              <w:spacing w:after="0"/>
              <w:rPr>
                <w:sz w:val="17"/>
                <w:szCs w:val="17"/>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43.7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w:t>
            </w: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receivables, net</w:t>
            </w:r>
          </w:p>
        </w:tc>
        <w:tc>
          <w:tcPr>
            <w:tcW w:w="14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4"/>
              </w:rPr>
              <w:t>144.1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148.4</w:t>
            </w:r>
          </w:p>
        </w:tc>
      </w:tr>
      <w:tr>
        <w:trPr>
          <w:trHeight w:val="198"/>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Notes and Other Receivables, net</w:t>
            </w:r>
          </w:p>
        </w:tc>
        <w:tc>
          <w:tcPr>
            <w:tcW w:w="1440" w:type="dxa"/>
            <w:vAlign w:val="bottom"/>
            <w:tcBorders>
              <w:bottom w:val="single" w:sz="8" w:color="auto"/>
            </w:tcBorders>
          </w:tcPr>
          <w:p>
            <w:pPr>
              <w:jc w:val="right"/>
              <w:ind w:right="128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94"/>
              </w:rPr>
              <w:t>333.1</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332.1</w:t>
            </w:r>
          </w:p>
        </w:tc>
      </w:tr>
      <w:tr>
        <w:trPr>
          <w:trHeight w:val="21"/>
        </w:trPr>
        <w:tc>
          <w:tcPr>
            <w:tcW w:w="7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Installment Notes Receivable on Manufactured Homes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Installment notes receivable are measured at fair value, using indicative pricing models from third party valuation specialists, in accordance with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The balances of installment notes receivable of $145.3 million (principal of installment notes receivable of $148.1 million less fair value adjustment of $2.8 million) and $139.2 million (principal of installment notes receivable of $142.1 million less fair value adjustment of $2.9 million) as of March 31, 2026 and December 31, 2025, respectively, are secured by manufactured homes. The notes had a net weighted average interest rate (net of servicing costs) and maturity of 7.5% and 17.3 years as of March 31, 2026 and December 31, 2025. Refer to Note 13, "Fair Value Measurements," for additional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Real Estate Operators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 receivable from a real estate operator consists of a loan provided to a real estate operator to fund the Canadian RV Portfolio disposition (the "Canadian RV Note"). The balance on the Canadian RV Note was $43.7 million with a net weighted average interest rate and maturity of 5.0% and 0.7 years as of March 31, 2026, and was $44.5 million with a net weighted average interest rate and maturity of 5.0% and one year as of December 31, 2025. Refer to Note 13, "Fair Value Measurements," for additional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receivables, net were comprised of amounts due from the following categories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200"/>
        </w:trPr>
        <w:tc>
          <w:tcPr>
            <w:tcW w:w="732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5"/>
                <w:szCs w:val="15"/>
                <w:color w:val="auto"/>
              </w:rPr>
              <w:t>Receivables from residents and customers</w:t>
            </w:r>
            <w:r>
              <w:rPr>
                <w:rFonts w:ascii="Times New Roman" w:cs="Times New Roman" w:eastAsia="Times New Roman" w:hAnsi="Times New Roman"/>
                <w:sz w:val="19"/>
                <w:szCs w:val="19"/>
                <w:color w:val="auto"/>
                <w:vertAlign w:val="superscript"/>
              </w:rPr>
              <w:t>(1)</w:t>
            </w:r>
          </w:p>
        </w:tc>
        <w:tc>
          <w:tcPr>
            <w:tcW w:w="1440" w:type="dxa"/>
            <w:vAlign w:val="bottom"/>
            <w:shd w:val="clear" w:color="auto" w:fill="CCEEFF"/>
          </w:tcPr>
          <w:p>
            <w:pPr>
              <w:jc w:val="right"/>
              <w:ind w:right="128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62.0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w:t>
            </w:r>
          </w:p>
        </w:tc>
      </w:tr>
      <w:tr>
        <w:trPr>
          <w:trHeight w:val="203"/>
        </w:trPr>
        <w:tc>
          <w:tcPr>
            <w:tcW w:w="732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Insurance receivables</w:t>
            </w:r>
            <w:r>
              <w:rPr>
                <w:rFonts w:ascii="Times New Roman" w:cs="Times New Roman" w:eastAsia="Times New Roman" w:hAnsi="Times New Roman"/>
                <w:sz w:val="19"/>
                <w:szCs w:val="19"/>
                <w:color w:val="auto"/>
                <w:vertAlign w:val="superscript"/>
              </w:rPr>
              <w:t>(2)</w:t>
            </w:r>
          </w:p>
        </w:tc>
        <w:tc>
          <w:tcPr>
            <w:tcW w:w="1440" w:type="dxa"/>
            <w:vAlign w:val="bottom"/>
          </w:tcPr>
          <w:p>
            <w:pPr>
              <w:spacing w:after="0"/>
              <w:rPr>
                <w:sz w:val="17"/>
                <w:szCs w:val="17"/>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w:t>
            </w: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Home sale proceeds</w:t>
            </w:r>
          </w:p>
        </w:tc>
        <w:tc>
          <w:tcPr>
            <w:tcW w:w="14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w:t>
            </w:r>
          </w:p>
        </w:tc>
      </w:tr>
      <w:tr>
        <w:trPr>
          <w:trHeight w:val="20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receivables</w:t>
            </w:r>
          </w:p>
        </w:tc>
        <w:tc>
          <w:tcPr>
            <w:tcW w:w="1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w:t>
            </w:r>
          </w:p>
        </w:tc>
      </w:tr>
      <w:tr>
        <w:trPr>
          <w:trHeight w:val="223"/>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 Other Receivables, net</w:t>
            </w:r>
          </w:p>
        </w:tc>
        <w:tc>
          <w:tcPr>
            <w:tcW w:w="1440" w:type="dxa"/>
            <w:vAlign w:val="bottom"/>
            <w:tcBorders>
              <w:bottom w:val="single" w:sz="8" w:color="auto"/>
            </w:tcBorders>
            <w:shd w:val="clear" w:color="auto" w:fill="CCEEFF"/>
          </w:tcPr>
          <w:p>
            <w:pPr>
              <w:jc w:val="right"/>
              <w:ind w:right="128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4"/>
              </w:rPr>
              <w:t>144.1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of allowance for credit losses of $4.9 million and $5.0 million as of March 31, 2026 and December 31, 2025, respectively.</w:t>
      </w:r>
    </w:p>
    <w:p>
      <w:pPr>
        <w:spacing w:after="0" w:line="27" w:lineRule="exact"/>
        <w:rPr>
          <w:rFonts w:ascii="Times New Roman" w:cs="Times New Roman" w:eastAsia="Times New Roman" w:hAnsi="Times New Roman"/>
          <w:sz w:val="9"/>
          <w:szCs w:val="9"/>
          <w:color w:val="auto"/>
        </w:rPr>
      </w:pPr>
    </w:p>
    <w:p>
      <w:pPr>
        <w:ind w:left="160" w:hanging="152"/>
        <w:spacing w:after="0" w:line="192" w:lineRule="auto"/>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consists of receivables from insurance providers related to Hurricanes Helene and Milton. Refer to Note 14, "Commitments and Contingencies," for additional details.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our intangible assets were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70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20" w:type="dxa"/>
            <w:vAlign w:val="bottom"/>
          </w:tcPr>
          <w:p>
            <w:pPr>
              <w:spacing w:after="0"/>
              <w:rPr>
                <w:sz w:val="17"/>
                <w:szCs w:val="17"/>
                <w:color w:val="auto"/>
              </w:rPr>
            </w:pPr>
          </w:p>
        </w:tc>
        <w:tc>
          <w:tcPr>
            <w:tcW w:w="2560" w:type="dxa"/>
            <w:vAlign w:val="bottom"/>
            <w:gridSpan w:val="4"/>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46"/>
        </w:trPr>
        <w:tc>
          <w:tcPr>
            <w:tcW w:w="4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180"/>
              <w:spacing w:after="0" w:line="146"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r>
      <w:tr>
        <w:trPr>
          <w:trHeight w:val="212"/>
        </w:trPr>
        <w:tc>
          <w:tcPr>
            <w:tcW w:w="4480" w:type="dxa"/>
            <w:vAlign w:val="bottom"/>
          </w:tcPr>
          <w:p>
            <w:pPr>
              <w:spacing w:after="0"/>
              <w:rPr>
                <w:sz w:val="18"/>
                <w:szCs w:val="18"/>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8"/>
                <w:szCs w:val="18"/>
                <w:color w:val="auto"/>
              </w:rPr>
            </w:pP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Amortization</w:t>
            </w:r>
          </w:p>
        </w:tc>
      </w:tr>
      <w:tr>
        <w:trPr>
          <w:trHeight w:val="200"/>
        </w:trPr>
        <w:tc>
          <w:tcPr>
            <w:tcW w:w="44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In-place leases</w:t>
            </w: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 years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(132.1)</w:t>
            </w:r>
          </w:p>
        </w:tc>
      </w:tr>
      <w:tr>
        <w:trPr>
          <w:trHeight w:val="200"/>
        </w:trPr>
        <w:tc>
          <w:tcPr>
            <w:tcW w:w="4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15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r>
      <w:tr>
        <w:trPr>
          <w:trHeight w:val="205"/>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12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4 years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00"/>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Franchise agreements and other intangible assets</w:t>
            </w:r>
          </w:p>
        </w:tc>
        <w:tc>
          <w:tcPr>
            <w:tcW w:w="122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10 - 27 years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198"/>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 finite-lived assets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(167.9)</w:t>
            </w:r>
          </w:p>
        </w:tc>
      </w:tr>
      <w:tr>
        <w:trPr>
          <w:trHeight w:val="200"/>
        </w:trPr>
        <w:tc>
          <w:tcPr>
            <w:tcW w:w="4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Indefinite-lived assets - Trademarks, trade names, and other</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 indefinite-lived assets</w:t>
            </w:r>
          </w:p>
        </w:tc>
        <w:tc>
          <w:tcPr>
            <w:tcW w:w="1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48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(170.7)</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269.4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(167.9)</w:t>
            </w:r>
          </w:p>
        </w:tc>
      </w:tr>
      <w:tr>
        <w:trPr>
          <w:trHeight w:val="20"/>
        </w:trPr>
        <w:tc>
          <w:tcPr>
            <w:tcW w:w="4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expenses related to our Other intangible assets were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460" w:type="dxa"/>
            <w:vAlign w:val="bottom"/>
            <w:tcBorders>
              <w:bottom w:val="single" w:sz="8" w:color="auto"/>
            </w:tcBorders>
          </w:tcPr>
          <w:p>
            <w:pPr>
              <w:spacing w:after="0"/>
              <w:rPr>
                <w:sz w:val="17"/>
                <w:szCs w:val="17"/>
                <w:color w:val="auto"/>
              </w:rPr>
            </w:pPr>
          </w:p>
        </w:tc>
      </w:tr>
      <w:tr>
        <w:trPr>
          <w:trHeight w:val="200"/>
        </w:trPr>
        <w:tc>
          <w:tcPr>
            <w:tcW w:w="78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2026</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bottom w:val="single" w:sz="8" w:color="auto"/>
            </w:tcBorders>
          </w:tcPr>
          <w:p>
            <w:pPr>
              <w:spacing w:after="0"/>
              <w:rPr>
                <w:sz w:val="17"/>
                <w:szCs w:val="17"/>
                <w:color w:val="auto"/>
              </w:rPr>
            </w:pPr>
          </w:p>
        </w:tc>
      </w:tr>
      <w:tr>
        <w:trPr>
          <w:trHeight w:val="196"/>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In-place leases</w:t>
            </w:r>
          </w:p>
        </w:tc>
        <w:tc>
          <w:tcPr>
            <w:tcW w:w="1160" w:type="dxa"/>
            <w:vAlign w:val="bottom"/>
            <w:shd w:val="clear" w:color="auto" w:fill="CCEEFF"/>
          </w:tcPr>
          <w:p>
            <w:pPr>
              <w:jc w:val="right"/>
              <w:ind w:right="98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8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16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1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0"/>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Franchise fees and other intangible assets</w:t>
            </w:r>
          </w:p>
        </w:tc>
        <w:tc>
          <w:tcPr>
            <w:tcW w:w="1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23"/>
        </w:trPr>
        <w:tc>
          <w:tcPr>
            <w:tcW w:w="7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160" w:type="dxa"/>
            <w:vAlign w:val="bottom"/>
            <w:tcBorders>
              <w:bottom w:val="single" w:sz="8" w:color="auto"/>
            </w:tcBorders>
            <w:shd w:val="clear" w:color="auto" w:fill="CCEEFF"/>
          </w:tcPr>
          <w:p>
            <w:pPr>
              <w:jc w:val="right"/>
              <w:ind w:right="98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8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amortization expense for Other intangible assets to be as follows for the next five years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Remainder 2026</w:t>
            </w:r>
          </w:p>
        </w:tc>
        <w:tc>
          <w:tcPr>
            <w:tcW w:w="300" w:type="dxa"/>
            <w:vAlign w:val="bottom"/>
          </w:tcPr>
          <w:p>
            <w:pPr>
              <w:spacing w:after="0"/>
              <w:rPr>
                <w:sz w:val="17"/>
                <w:szCs w:val="17"/>
                <w:color w:val="auto"/>
              </w:rPr>
            </w:pPr>
          </w:p>
        </w:tc>
        <w:tc>
          <w:tcPr>
            <w:tcW w:w="10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2030</w:t>
            </w:r>
          </w:p>
        </w:tc>
      </w:tr>
      <w:tr>
        <w:trPr>
          <w:trHeight w:val="200"/>
        </w:trPr>
        <w:tc>
          <w:tcPr>
            <w:tcW w:w="41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In-place leases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0"/>
        </w:trPr>
        <w:tc>
          <w:tcPr>
            <w:tcW w:w="4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205"/>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Franchise agreements and other intangible assets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23"/>
        </w:trPr>
        <w:tc>
          <w:tcPr>
            <w:tcW w:w="4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Nonconsolidated Affiliates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joint ventures that are not consolidated, nor recorded at cost, are accounted for using the equity method of accounting as prescribed in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Investments in nonconsolidated affiliates are recorded within Other assets, net on the Consolidated Balance Sheets. Equity income and loss are recorded in Income from nonconsolidated affiliates on the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Sungenia Joint Venture ("Sungenia JV")</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we had a 50.0% ownership interest in the Sungenia JV, a joint venture formed between us and Ingenia Communities Group (ASX: INA) to establish and operate a MH community development program in Australia.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GTSC LLC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"GTSC"</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we had a 40.0% ownership interest in GTSC, which engages in acquiring, holding and selling loans secured, directly or indirectly, by manufactured homes located in our communities.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balance in each nonconsolidated affiliate was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80" w:type="dxa"/>
            <w:vAlign w:val="bottom"/>
          </w:tcPr>
          <w:p>
            <w:pPr>
              <w:spacing w:after="0"/>
              <w:rPr>
                <w:sz w:val="17"/>
                <w:szCs w:val="17"/>
                <w:color w:val="auto"/>
              </w:rPr>
            </w:pPr>
          </w:p>
        </w:tc>
        <w:tc>
          <w:tcPr>
            <w:tcW w:w="158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200"/>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Sungenia JV</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91.1</w:t>
            </w:r>
          </w:p>
        </w:tc>
      </w:tr>
      <w:tr>
        <w:trPr>
          <w:trHeight w:val="20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Investment in GTSC</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37.9</w:t>
            </w:r>
          </w:p>
        </w:tc>
      </w:tr>
      <w:tr>
        <w:trPr>
          <w:trHeight w:val="223"/>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 (loss) from each nonconsolidated affiliate is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00" w:type="dxa"/>
            <w:vAlign w:val="bottom"/>
          </w:tcPr>
          <w:p>
            <w:pPr>
              <w:spacing w:after="0"/>
              <w:rPr>
                <w:sz w:val="17"/>
                <w:szCs w:val="17"/>
                <w:color w:val="auto"/>
              </w:rPr>
            </w:pPr>
          </w:p>
        </w:tc>
        <w:tc>
          <w:tcPr>
            <w:tcW w:w="3220" w:type="dxa"/>
            <w:vAlign w:val="bottom"/>
            <w:tcBorders>
              <w:bottom w:val="single" w:sz="8" w:color="auto"/>
            </w:tcBorders>
            <w:gridSpan w:val="4"/>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r>
      <w:tr>
        <w:trPr>
          <w:trHeight w:val="200"/>
        </w:trPr>
        <w:tc>
          <w:tcPr>
            <w:tcW w:w="75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2026</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Borders>
              <w:bottom w:val="single" w:sz="8" w:color="auto"/>
            </w:tcBorders>
          </w:tcPr>
          <w:p>
            <w:pPr>
              <w:spacing w:after="0"/>
              <w:rPr>
                <w:sz w:val="17"/>
                <w:szCs w:val="17"/>
                <w:color w:val="auto"/>
              </w:rPr>
            </w:pPr>
          </w:p>
        </w:tc>
      </w:tr>
      <w:tr>
        <w:trPr>
          <w:trHeight w:val="19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Sungenia JV equity income</w:t>
            </w:r>
          </w:p>
        </w:tc>
        <w:tc>
          <w:tcPr>
            <w:tcW w:w="1280" w:type="dxa"/>
            <w:vAlign w:val="bottom"/>
            <w:shd w:val="clear" w:color="auto" w:fill="CCEEFF"/>
          </w:tcPr>
          <w:p>
            <w:pPr>
              <w:jc w:val="right"/>
              <w:ind w:right="110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center"/>
              <w:ind w:left="124"/>
              <w:spacing w:after="0"/>
              <w:rPr>
                <w:sz w:val="20"/>
                <w:szCs w:val="20"/>
                <w:color w:val="auto"/>
              </w:rPr>
            </w:pPr>
            <w:r>
              <w:rPr>
                <w:rFonts w:ascii="Times New Roman" w:cs="Times New Roman" w:eastAsia="Times New Roman" w:hAnsi="Times New Roman"/>
                <w:sz w:val="15"/>
                <w:szCs w:val="15"/>
                <w:color w:val="auto"/>
              </w:rPr>
              <w:t>2.6</w:t>
            </w:r>
          </w:p>
        </w:tc>
      </w:tr>
      <w:tr>
        <w:trPr>
          <w:trHeight w:val="200"/>
        </w:trPr>
        <w:tc>
          <w:tcPr>
            <w:tcW w:w="7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GTSC equity income</w:t>
            </w:r>
          </w:p>
        </w:tc>
        <w:tc>
          <w:tcPr>
            <w:tcW w:w="1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jc w:val="center"/>
              <w:ind w:left="124"/>
              <w:spacing w:after="0"/>
              <w:rPr>
                <w:sz w:val="20"/>
                <w:szCs w:val="20"/>
                <w:color w:val="auto"/>
              </w:rPr>
            </w:pPr>
            <w:r>
              <w:rPr>
                <w:rFonts w:ascii="Times New Roman" w:cs="Times New Roman" w:eastAsia="Times New Roman" w:hAnsi="Times New Roman"/>
                <w:sz w:val="15"/>
                <w:szCs w:val="15"/>
                <w:color w:val="auto"/>
              </w:rPr>
              <w:t>0.8</w:t>
            </w:r>
          </w:p>
        </w:tc>
      </w:tr>
      <w:tr>
        <w:trPr>
          <w:trHeight w:val="20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loss from other nonconsolidated affiliates</w:t>
            </w:r>
          </w:p>
        </w:tc>
        <w:tc>
          <w:tcPr>
            <w:tcW w:w="1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jc w:val="center"/>
              <w:ind w:left="104"/>
              <w:spacing w:after="0"/>
              <w:rPr>
                <w:sz w:val="20"/>
                <w:szCs w:val="20"/>
                <w:color w:val="auto"/>
              </w:rPr>
            </w:pPr>
            <w:r>
              <w:rPr>
                <w:rFonts w:ascii="Times New Roman" w:cs="Times New Roman" w:eastAsia="Times New Roman" w:hAnsi="Times New Roman"/>
                <w:sz w:val="15"/>
                <w:szCs w:val="15"/>
                <w:color w:val="auto"/>
              </w:rPr>
              <w:t>(0.4)</w:t>
            </w:r>
          </w:p>
        </w:tc>
      </w:tr>
      <w:tr>
        <w:trPr>
          <w:trHeight w:val="198"/>
        </w:trPr>
        <w:tc>
          <w:tcPr>
            <w:tcW w:w="75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Total Income from Nonconsolidated Affiliates</w:t>
            </w:r>
          </w:p>
        </w:tc>
        <w:tc>
          <w:tcPr>
            <w:tcW w:w="1280" w:type="dxa"/>
            <w:vAlign w:val="bottom"/>
            <w:tcBorders>
              <w:top w:val="single" w:sz="8" w:color="auto"/>
              <w:bottom w:val="single" w:sz="8" w:color="auto"/>
            </w:tcBorders>
          </w:tcPr>
          <w:p>
            <w:pPr>
              <w:jc w:val="right"/>
              <w:ind w:right="110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108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tcPr>
          <w:p>
            <w:pPr>
              <w:jc w:val="center"/>
              <w:ind w:left="124"/>
              <w:spacing w:after="0"/>
              <w:rPr>
                <w:sz w:val="20"/>
                <w:szCs w:val="20"/>
                <w:color w:val="auto"/>
              </w:rPr>
            </w:pPr>
            <w:r>
              <w:rPr>
                <w:rFonts w:ascii="Times New Roman" w:cs="Times New Roman" w:eastAsia="Times New Roman" w:hAnsi="Times New Roman"/>
                <w:sz w:val="15"/>
                <w:szCs w:val="15"/>
                <w:color w:val="auto"/>
              </w:rPr>
              <w:t>3.0</w:t>
            </w:r>
          </w:p>
        </w:tc>
      </w:tr>
      <w:tr>
        <w:trPr>
          <w:trHeight w:val="21"/>
        </w:trPr>
        <w:tc>
          <w:tcPr>
            <w:tcW w:w="75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received distributions of $2.3 million and $6.2 million, respectively, and made contributions of zero and $0.3 million, respectively, with our nonconsolidated affiliates.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 and Line of Credit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debt, including premiums, discounts and deferred financing costs (in millions, except for statistical information):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4"/>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2620" w:type="dxa"/>
            <w:vAlign w:val="bottom"/>
            <w:gridSpan w:val="3"/>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12"/>
        </w:trPr>
        <w:tc>
          <w:tcPr>
            <w:tcW w:w="3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4"/>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Carrying Amount at</w:t>
            </w:r>
          </w:p>
        </w:tc>
        <w:tc>
          <w:tcPr>
            <w:tcW w:w="200" w:type="dxa"/>
            <w:vAlign w:val="bottom"/>
          </w:tcPr>
          <w:p>
            <w:pPr>
              <w:spacing w:after="0"/>
              <w:rPr>
                <w:sz w:val="18"/>
                <w:szCs w:val="18"/>
                <w:color w:val="auto"/>
              </w:rPr>
            </w:pPr>
          </w:p>
        </w:tc>
        <w:tc>
          <w:tcPr>
            <w:tcW w:w="2560" w:type="dxa"/>
            <w:vAlign w:val="bottom"/>
            <w:gridSpan w:val="4"/>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Years to Maturity at</w:t>
            </w:r>
          </w:p>
        </w:tc>
        <w:tc>
          <w:tcPr>
            <w:tcW w:w="2620" w:type="dxa"/>
            <w:vAlign w:val="bottom"/>
            <w:gridSpan w:val="3"/>
          </w:tcPr>
          <w:p>
            <w:pPr>
              <w:jc w:val="right"/>
              <w:ind w:right="704"/>
              <w:spacing w:after="0"/>
              <w:rPr>
                <w:sz w:val="20"/>
                <w:szCs w:val="20"/>
                <w:color w:val="auto"/>
              </w:rPr>
            </w:pPr>
            <w:r>
              <w:rPr>
                <w:rFonts w:ascii="Times New Roman" w:cs="Times New Roman" w:eastAsia="Times New Roman" w:hAnsi="Times New Roman"/>
                <w:sz w:val="15"/>
                <w:szCs w:val="15"/>
                <w:b w:val="1"/>
                <w:bCs w:val="1"/>
                <w:color w:val="auto"/>
              </w:rPr>
              <w:t>Interest Rates at</w:t>
            </w:r>
          </w:p>
        </w:tc>
      </w:tr>
      <w:tr>
        <w:trPr>
          <w:trHeight w:val="146"/>
        </w:trPr>
        <w:tc>
          <w:tcPr>
            <w:tcW w:w="34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4"/>
              <w:spacing w:after="0" w:line="146"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2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44"/>
              <w:spacing w:after="0" w:line="146"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2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r>
      <w:tr>
        <w:trPr>
          <w:trHeight w:val="212"/>
        </w:trPr>
        <w:tc>
          <w:tcPr>
            <w:tcW w:w="348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20" w:type="dxa"/>
            <w:vAlign w:val="bottom"/>
          </w:tcPr>
          <w:p>
            <w:pPr>
              <w:spacing w:after="0"/>
              <w:rPr>
                <w:sz w:val="18"/>
                <w:szCs w:val="18"/>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1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87"/>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Secured Debt</w:t>
            </w:r>
          </w:p>
        </w:tc>
        <w:tc>
          <w:tcPr>
            <w:tcW w:w="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r>
      <w:tr>
        <w:trPr>
          <w:trHeight w:val="203"/>
        </w:trPr>
        <w:tc>
          <w:tcPr>
            <w:tcW w:w="348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Mortgage loans payable</w:t>
            </w:r>
            <w:r>
              <w:rPr>
                <w:rFonts w:ascii="Times New Roman" w:cs="Times New Roman" w:eastAsia="Times New Roman" w:hAnsi="Times New Roman"/>
                <w:sz w:val="19"/>
                <w:szCs w:val="19"/>
                <w:color w:val="auto"/>
                <w:vertAlign w:val="superscript"/>
              </w:rPr>
              <w:t>(1)</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2,417.5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2,429.0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3.633 %</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3.634 %</w:t>
            </w:r>
          </w:p>
        </w:tc>
      </w:tr>
      <w:tr>
        <w:trPr>
          <w:trHeight w:val="203"/>
        </w:trPr>
        <w:tc>
          <w:tcPr>
            <w:tcW w:w="348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5"/>
                <w:szCs w:val="15"/>
                <w:color w:val="auto"/>
              </w:rPr>
              <w:t>Secured borrowings on collateralized receivables</w:t>
            </w:r>
            <w:r>
              <w:rPr>
                <w:rFonts w:ascii="Times New Roman" w:cs="Times New Roman" w:eastAsia="Times New Roman" w:hAnsi="Times New Roman"/>
                <w:sz w:val="19"/>
                <w:szCs w:val="19"/>
                <w:color w:val="auto"/>
                <w:vertAlign w:val="superscript"/>
              </w:rPr>
              <w:t>(2)</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8.551 %</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8.538 %</w:t>
            </w:r>
          </w:p>
        </w:tc>
      </w:tr>
      <w:tr>
        <w:trPr>
          <w:trHeight w:val="194"/>
        </w:trPr>
        <w:tc>
          <w:tcPr>
            <w:tcW w:w="348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Secured Debt</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2,472.2</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Unsecured Debt</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3480" w:type="dxa"/>
            <w:vAlign w:val="bottom"/>
            <w:tcBorders>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5"/>
                <w:szCs w:val="15"/>
                <w:color w:val="auto"/>
              </w:rPr>
              <w:t>Senior unsecured notes</w:t>
            </w:r>
            <w:r>
              <w:rPr>
                <w:rFonts w:ascii="Times New Roman" w:cs="Times New Roman" w:eastAsia="Times New Roman" w:hAnsi="Times New Roman"/>
                <w:sz w:val="19"/>
                <w:szCs w:val="19"/>
                <w:color w:val="auto"/>
                <w:vertAlign w:val="superscript"/>
              </w:rPr>
              <w:t>(3)</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1,787.1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1,786.5</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2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2.901 %</w:t>
            </w:r>
          </w:p>
        </w:tc>
        <w:tc>
          <w:tcPr>
            <w:tcW w:w="8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2.901 %</w:t>
            </w:r>
          </w:p>
        </w:tc>
      </w:tr>
      <w:tr>
        <w:trPr>
          <w:trHeight w:val="194"/>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 Unsecured Debt</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1,787.1</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1,786.5</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98"/>
        </w:trPr>
        <w:tc>
          <w:tcPr>
            <w:tcW w:w="348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Total Debt</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4,246.2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4,258.7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3.373 %</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3.376 %</w:t>
            </w:r>
          </w:p>
        </w:tc>
      </w:tr>
      <w:tr>
        <w:trPr>
          <w:trHeight w:val="20"/>
        </w:trPr>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at March 31, 2026 and December 31, 2025 include $9.2 million and $9.6 million of deferred financing costs, respectively.</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at March 31, 2026 and December 31, 2025 include fair value adjustments of $3.8 million, respectively.</w:t>
      </w:r>
    </w:p>
    <w:p>
      <w:pPr>
        <w:spacing w:after="0" w:line="3" w:lineRule="exact"/>
        <w:rPr>
          <w:rFonts w:ascii="Times New Roman" w:cs="Times New Roman" w:eastAsia="Times New Roman" w:hAnsi="Times New Roman"/>
          <w:sz w:val="19"/>
          <w:szCs w:val="19"/>
          <w:color w:val="auto"/>
          <w:vertAlign w:val="superscript"/>
        </w:rPr>
      </w:pPr>
    </w:p>
    <w:p>
      <w:pPr>
        <w:ind w:left="180" w:hanging="172"/>
        <w:spacing w:after="0" w:line="219" w:lineRule="auto"/>
        <w:tabs>
          <w:tab w:leader="none" w:pos="174"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at March 31, 2026 and December 31, 2025 include $4.0 million and $4.2 million of net debt discount, respectively, and $8.9 million and $9.3 million of deferred financing costs, respectively. Weighted average interest rates include the impact of hedge activity.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Debt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term loans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we did not enter into or repay any mortgage term loans.</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mortgage term loans, which total $2.4 billion as of March 31, 2026, are secured by 110 properties representing approximately $1.8 billion of net book value.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Borrowings on Collateralized Receivables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13, "Fair Value Measurements," for additional information on secured borrowings on collateralized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Unsecured Debt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senior unsecured notes (dollar amounts in millions). All senior unsecured notes include interest payments on a semi-annual basis in arrears and are recorded within the Unsecured debt line item on the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1024"/>
              <w:spacing w:after="0"/>
              <w:rPr>
                <w:sz w:val="20"/>
                <w:szCs w:val="20"/>
                <w:color w:val="auto"/>
              </w:rPr>
            </w:pPr>
            <w:r>
              <w:rPr>
                <w:rFonts w:ascii="Times New Roman" w:cs="Times New Roman" w:eastAsia="Times New Roman" w:hAnsi="Times New Roman"/>
                <w:sz w:val="15"/>
                <w:szCs w:val="15"/>
                <w:b w:val="1"/>
                <w:bCs w:val="1"/>
                <w:color w:val="auto"/>
              </w:rPr>
              <w:t>Carrying Amount at</w:t>
            </w:r>
          </w:p>
        </w:tc>
      </w:tr>
      <w:tr>
        <w:trPr>
          <w:trHeight w:val="202"/>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Principal Amount</w:t>
            </w:r>
          </w:p>
        </w:tc>
        <w:tc>
          <w:tcPr>
            <w:tcW w:w="24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80" w:type="dxa"/>
            <w:vAlign w:val="bottom"/>
          </w:tcPr>
          <w:p>
            <w:pPr>
              <w:spacing w:after="0"/>
              <w:rPr>
                <w:sz w:val="17"/>
                <w:szCs w:val="17"/>
                <w:color w:val="auto"/>
              </w:rPr>
            </w:pPr>
          </w:p>
        </w:tc>
        <w:tc>
          <w:tcPr>
            <w:tcW w:w="156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96"/>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4.2% notes, issued in April 2022 and due in April 2032</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594.1</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2.3% notes, issued in October 2021 and due in November 2028</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448.1</w:t>
            </w: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2.7% notes, issued in June 2021 and October 2021, and due in July 2031</w:t>
            </w: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744.6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744.3</w:t>
            </w:r>
          </w:p>
        </w:tc>
      </w:tr>
      <w:tr>
        <w:trPr>
          <w:trHeight w:val="198"/>
        </w:trPr>
        <w:tc>
          <w:tcPr>
            <w:tcW w:w="586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1,800.0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1,787.1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1,786.5</w:t>
            </w:r>
          </w:p>
        </w:tc>
      </w:tr>
      <w:tr>
        <w:trPr>
          <w:trHeight w:val="21"/>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Operating Partnership (as borrower) and SUI (as guarantor) and certain lenders are parties to a credit agreement (the "Credit Agreement") which governs our senior credit facility (the "Senior Credit Facility"). The aggregate available amount under the Senior Credit Facility consists of a revolving loan of up to $2.0 billion. The Credit Agreement also permits, subject to the satisfaction of certain conditions, additional borrowings of $1.0 billion. The Senior Credit Facility's maturity date is January 31, 2030, and, at our option, may be extended for two additional six-month periods subject to the satisfaction of certain conditions.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Senior Credit Facility offers various interest rates for borrowings under U.S. dollars (at the Alternate Base Rate ("ABR"), Term Secured Overnight Financing Rate ("SOFR"), and Daily Effective SOFR), euros (at the Adjusted Euro Interbank Offered Rate ("EURIBOR")), British pound sterling (at the Daily Simple Sterling Overnight Index Average ("SONIA") Rate), Canadian dollars (at the Term Canadian Overnight Repo Rate Average ("CORRA") and the Daily Simple CORRA), and Australian dollars (at the Australian Bank Bill Swap Bid ("BBSY") Rate), plus a margin, which can range from 0.725% to 1.40% for all interest rates except ABR loans, which can range from 0.000% to 0.400%. As of March 31, 2026, there were no borrowings under the Senior Credit Facility.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also recorded deferred financing costs of $10.9 million in connection with the Senior Credit Facility, which was recorded within Other assets, net on the Consolidated Balance Sheets.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Senior Credit Facility provides us with the ability to issue up to $100.0 million of letters of credit. We had $23.3 million of outstanding letters of credit at March 31,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mortgage term loans, senior unsecured notes, and our Senior Credit Facility are subject to various financial and other covenants. At March 31, 2026, we were in compliance with all financial covenants.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or any of our other subsidiaries or any other person or entity.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and Temporary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Equity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Temporary equity includes preferred securities that are redeemable for cash at the holder's option or upon the occurrence of an event that is not solely within our control based on a fixed or determinable price and other redeemable equity interests. These securities are not mandatorily redeemable for cash nor do they contain a fixed maturity date. The following table sets forth the various series of redeemable preferred OP units and other redeemable equity interests that were outstanding as of March 31, 2026 and December 31, 2025, and the related terms, and summarizes the balance included within Temporary Equity on our Consolidated Balance Sheets (dollar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OP Units</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Annual</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Outstanding</w:t>
            </w:r>
          </w:p>
        </w:tc>
        <w:tc>
          <w:tcPr>
            <w:tcW w:w="80" w:type="dxa"/>
            <w:vAlign w:val="bottom"/>
          </w:tcPr>
          <w:p>
            <w:pPr>
              <w:spacing w:after="0"/>
              <w:rPr>
                <w:sz w:val="5"/>
                <w:szCs w:val="5"/>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Exchange</w:t>
            </w:r>
          </w:p>
        </w:tc>
        <w:tc>
          <w:tcPr>
            <w:tcW w:w="1240" w:type="dxa"/>
            <w:vAlign w:val="bottom"/>
            <w:gridSpan w:val="2"/>
            <w:vMerge w:val="continue"/>
          </w:tcPr>
          <w:p>
            <w:pPr>
              <w:spacing w:after="0"/>
              <w:rPr>
                <w:sz w:val="5"/>
                <w:szCs w:val="5"/>
                <w:color w:val="auto"/>
              </w:rPr>
            </w:pPr>
          </w:p>
        </w:tc>
        <w:tc>
          <w:tcPr>
            <w:tcW w:w="12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Cash</w:t>
            </w: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80" w:type="dxa"/>
            <w:vAlign w:val="bottom"/>
            <w:gridSpan w:val="4"/>
            <w:vMerge w:val="restart"/>
          </w:tcPr>
          <w:p>
            <w:pPr>
              <w:jc w:val="right"/>
              <w:ind w:right="764"/>
              <w:spacing w:after="0"/>
              <w:rPr>
                <w:sz w:val="20"/>
                <w:szCs w:val="20"/>
                <w:color w:val="auto"/>
              </w:rPr>
            </w:pPr>
            <w:r>
              <w:rPr>
                <w:rFonts w:ascii="Times New Roman" w:cs="Times New Roman" w:eastAsia="Times New Roman" w:hAnsi="Times New Roman"/>
                <w:sz w:val="15"/>
                <w:szCs w:val="15"/>
                <w:b w:val="1"/>
                <w:bCs w:val="1"/>
                <w:color w:val="auto"/>
              </w:rPr>
              <w:t>Carrying Amount at</w:t>
            </w:r>
          </w:p>
        </w:tc>
        <w:tc>
          <w:tcPr>
            <w:tcW w:w="0" w:type="dxa"/>
            <w:vAlign w:val="bottom"/>
          </w:tcPr>
          <w:p>
            <w:pPr>
              <w:spacing w:after="0"/>
              <w:rPr>
                <w:sz w:val="1"/>
                <w:szCs w:val="1"/>
                <w:color w:val="auto"/>
              </w:rPr>
            </w:pPr>
          </w:p>
        </w:tc>
      </w:tr>
      <w:tr>
        <w:trPr>
          <w:trHeight w:val="143"/>
        </w:trPr>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36" w:lineRule="exact"/>
              <w:rPr>
                <w:sz w:val="20"/>
                <w:szCs w:val="20"/>
                <w:color w:val="auto"/>
              </w:rPr>
            </w:pPr>
            <w:r>
              <w:rPr>
                <w:rFonts w:ascii="Times New Roman" w:cs="Times New Roman" w:eastAsia="Times New Roman" w:hAnsi="Times New Roman"/>
                <w:sz w:val="15"/>
                <w:szCs w:val="15"/>
                <w:b w:val="1"/>
                <w:bCs w:val="1"/>
                <w:color w:val="auto"/>
              </w:rPr>
              <w:t>Distribution</w:t>
            </w:r>
          </w:p>
        </w:tc>
        <w:tc>
          <w:tcPr>
            <w:tcW w:w="1260" w:type="dxa"/>
            <w:vAlign w:val="bottom"/>
            <w:gridSpan w:val="2"/>
            <w:vMerge w:val="continue"/>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80" w:type="dxa"/>
            <w:vAlign w:val="bottom"/>
          </w:tcPr>
          <w:p>
            <w:pPr>
              <w:spacing w:after="0"/>
              <w:rPr>
                <w:sz w:val="17"/>
                <w:szCs w:val="17"/>
                <w:color w:val="auto"/>
              </w:rPr>
            </w:pPr>
          </w:p>
        </w:tc>
        <w:tc>
          <w:tcPr>
            <w:tcW w:w="92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b w:val="1"/>
                <w:bCs w:val="1"/>
                <w:color w:val="auto"/>
                <w:w w:val="93"/>
                <w:vertAlign w:val="superscript"/>
              </w:rPr>
              <w:t>(1)</w:t>
            </w:r>
          </w:p>
        </w:tc>
        <w:tc>
          <w:tcPr>
            <w:tcW w:w="124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b w:val="1"/>
                <w:bCs w:val="1"/>
                <w:color w:val="auto"/>
                <w:w w:val="93"/>
                <w:vertAlign w:val="superscript"/>
              </w:rPr>
              <w:t>(2)</w:t>
            </w:r>
          </w:p>
        </w:tc>
        <w:tc>
          <w:tcPr>
            <w:tcW w:w="12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5"/>
                <w:szCs w:val="15"/>
                <w:b w:val="1"/>
                <w:bCs w:val="1"/>
                <w:color w:val="auto"/>
              </w:rPr>
              <w:t>Redemption</w:t>
            </w:r>
            <w:r>
              <w:rPr>
                <w:rFonts w:ascii="Times New Roman" w:cs="Times New Roman" w:eastAsia="Times New Roman" w:hAnsi="Times New Roman"/>
                <w:sz w:val="19"/>
                <w:szCs w:val="19"/>
                <w:b w:val="1"/>
                <w:bCs w:val="1"/>
                <w:color w:val="auto"/>
                <w:vertAlign w:val="superscript"/>
              </w:rPr>
              <w:t>(3)</w:t>
            </w: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Redemption Period</w:t>
            </w:r>
          </w:p>
        </w:tc>
        <w:tc>
          <w:tcPr>
            <w:tcW w:w="14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20" w:type="dxa"/>
            <w:vAlign w:val="bottom"/>
          </w:tcPr>
          <w:p>
            <w:pPr>
              <w:spacing w:after="0"/>
              <w:rPr>
                <w:sz w:val="17"/>
                <w:szCs w:val="17"/>
                <w:color w:val="auto"/>
              </w:rPr>
            </w:pPr>
          </w:p>
        </w:tc>
        <w:tc>
          <w:tcPr>
            <w:tcW w:w="140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0" w:type="dxa"/>
            <w:vAlign w:val="bottom"/>
          </w:tcPr>
          <w:p>
            <w:pPr>
              <w:spacing w:after="0"/>
              <w:rPr>
                <w:sz w:val="1"/>
                <w:szCs w:val="1"/>
                <w:color w:val="auto"/>
              </w:rPr>
            </w:pPr>
          </w:p>
        </w:tc>
      </w:tr>
      <w:tr>
        <w:trPr>
          <w:trHeight w:val="152"/>
        </w:trPr>
        <w:tc>
          <w:tcPr>
            <w:tcW w:w="142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Series D preferred OP</w:t>
            </w:r>
          </w:p>
        </w:tc>
        <w:tc>
          <w:tcPr>
            <w:tcW w:w="8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488,958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0.8000</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Any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w:t>
            </w:r>
          </w:p>
        </w:tc>
        <w:tc>
          <w:tcPr>
            <w:tcW w:w="0" w:type="dxa"/>
            <w:vAlign w:val="bottom"/>
          </w:tcPr>
          <w:p>
            <w:pPr>
              <w:spacing w:after="0"/>
              <w:rPr>
                <w:sz w:val="1"/>
                <w:szCs w:val="1"/>
                <w:color w:val="auto"/>
              </w:rPr>
            </w:pPr>
          </w:p>
        </w:tc>
      </w:tr>
      <w:tr>
        <w:trPr>
          <w:trHeight w:val="158"/>
        </w:trPr>
        <w:tc>
          <w:tcPr>
            <w:tcW w:w="15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F preferred OP</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0.6250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8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Any time</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162"/>
        </w:trPr>
        <w:tc>
          <w:tcPr>
            <w:tcW w:w="1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Series G preferred OP</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0.6452</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3.2 %</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Any time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158"/>
        </w:trPr>
        <w:tc>
          <w:tcPr>
            <w:tcW w:w="15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H preferred OP</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48,571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0.6098</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8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Any time</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59.6</w:t>
            </w: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During the 30-day period</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J preferred OP</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following a change of control</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gridSpan w:val="2"/>
            <w:vMerge w:val="continue"/>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235,250</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0.6061</w:t>
            </w:r>
          </w:p>
        </w:tc>
        <w:tc>
          <w:tcPr>
            <w:tcW w:w="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2.85 %</w:t>
            </w:r>
          </w:p>
        </w:tc>
        <w:tc>
          <w:tcPr>
            <w:tcW w:w="8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9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of the Company or any time</w:t>
            </w:r>
          </w:p>
        </w:tc>
        <w:tc>
          <w:tcPr>
            <w:tcW w:w="1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280" w:type="dxa"/>
            <w:vAlign w:val="bottom"/>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after April 21, 2026</w:t>
            </w:r>
          </w:p>
        </w:tc>
        <w:tc>
          <w:tcPr>
            <w:tcW w:w="14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5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Series K preferred OP</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Within 60 days after March</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0.5882</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8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1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23, 2028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98.2</w:t>
            </w:r>
          </w:p>
        </w:tc>
        <w:tc>
          <w:tcPr>
            <w:tcW w:w="0" w:type="dxa"/>
            <w:vAlign w:val="bottom"/>
          </w:tcPr>
          <w:p>
            <w:pPr>
              <w:spacing w:after="0"/>
              <w:rPr>
                <w:sz w:val="1"/>
                <w:szCs w:val="1"/>
                <w:color w:val="auto"/>
              </w:rPr>
            </w:pPr>
          </w:p>
        </w:tc>
      </w:tr>
      <w:tr>
        <w:trPr>
          <w:trHeight w:val="162"/>
        </w:trPr>
        <w:tc>
          <w:tcPr>
            <w:tcW w:w="1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Other redeemable</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500" w:type="dxa"/>
            <w:vAlign w:val="bottom"/>
            <w:gridSpan w:val="2"/>
            <w:shd w:val="clear" w:color="auto" w:fill="CCEEFF"/>
          </w:tcPr>
          <w:p>
            <w:pPr>
              <w:ind w:left="20"/>
              <w:spacing w:after="0" w:line="206" w:lineRule="exact"/>
              <w:rPr>
                <w:sz w:val="20"/>
                <w:szCs w:val="20"/>
                <w:color w:val="auto"/>
              </w:rPr>
            </w:pPr>
            <w:r>
              <w:rPr>
                <w:rFonts w:ascii="Times New Roman" w:cs="Times New Roman" w:eastAsia="Times New Roman" w:hAnsi="Times New Roman"/>
                <w:sz w:val="15"/>
                <w:szCs w:val="15"/>
                <w:color w:val="auto"/>
              </w:rPr>
              <w:t>equity interests</w:t>
            </w:r>
            <w:r>
              <w:rPr>
                <w:rFonts w:ascii="Times New Roman" w:cs="Times New Roman" w:eastAsia="Times New Roman" w:hAnsi="Times New Roman"/>
                <w:sz w:val="19"/>
                <w:szCs w:val="19"/>
                <w:color w:val="auto"/>
                <w:vertAlign w:val="superscript"/>
              </w:rPr>
              <w:t>(4)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N/A</w:t>
            </w: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196"/>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1,817,677</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255.7</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Exchange rates are subject to adjustment upon stock splits, recapitalizations, and similar events. The exchange rates of certain series of OP units are approximated to four decimal places.</w:t>
      </w:r>
    </w:p>
    <w:p>
      <w:pPr>
        <w:spacing w:after="0" w:line="3" w:lineRule="exact"/>
        <w:rPr>
          <w:rFonts w:ascii="Times New Roman" w:cs="Times New Roman" w:eastAsia="Times New Roman" w:hAnsi="Times New Roman"/>
          <w:sz w:val="19"/>
          <w:szCs w:val="19"/>
          <w:color w:val="auto"/>
          <w:vertAlign w:val="superscript"/>
        </w:rPr>
      </w:pPr>
    </w:p>
    <w:p>
      <w:pPr>
        <w:ind w:left="140" w:hanging="132"/>
        <w:spacing w:after="0" w:line="224" w:lineRule="auto"/>
        <w:tabs>
          <w:tab w:leader="none" w:pos="14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Distributions are payable on the issue price of each OP unit, which is $100.00 per unit for all these preferred OP units.</w:t>
      </w:r>
    </w:p>
    <w:p>
      <w:pPr>
        <w:spacing w:after="0" w:line="3" w:lineRule="exact"/>
        <w:rPr>
          <w:rFonts w:ascii="Times New Roman" w:cs="Times New Roman" w:eastAsia="Times New Roman" w:hAnsi="Times New Roman"/>
          <w:sz w:val="16"/>
          <w:szCs w:val="16"/>
          <w:color w:val="auto"/>
          <w:vertAlign w:val="superscript"/>
        </w:rPr>
      </w:pPr>
    </w:p>
    <w:p>
      <w:pPr>
        <w:ind w:left="140" w:hanging="132"/>
        <w:spacing w:after="0" w:line="224" w:lineRule="auto"/>
        <w:tabs>
          <w:tab w:leader="none" w:pos="14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redemption price for each preferred OP unit redeemed will be equal to its issue price plus all accrued but unpaid distributions.</w:t>
      </w:r>
    </w:p>
    <w:p>
      <w:pPr>
        <w:spacing w:after="0" w:line="3" w:lineRule="exact"/>
        <w:rPr>
          <w:rFonts w:ascii="Times New Roman" w:cs="Times New Roman" w:eastAsia="Times New Roman" w:hAnsi="Times New Roman"/>
          <w:sz w:val="16"/>
          <w:szCs w:val="16"/>
          <w:color w:val="auto"/>
          <w:vertAlign w:val="superscript"/>
        </w:rPr>
      </w:pPr>
    </w:p>
    <w:p>
      <w:pPr>
        <w:ind w:left="160" w:hanging="152"/>
        <w:spacing w:after="0" w:line="189"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redeemable equity interests related to joint ventures that primarily operate and maintain solar energy equipment in select communities and portfolios of RV communities in the U.S.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Permanent Equity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Universal Shelf Registration Statement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filed a universal shelf registration statement on Form S-3 with the SEC, which provides for the registration of unspecified amounts of equity and debt securities. The authorized number of shares of our capital stock is 380,000,000 shares, of which 360,000,000 shares are common stock and 20,000,000 shares are preferred stock. As of March 31, 2026, we had 123,254,249 shares of common stock issued and outstanding and no shares of preferred stock were issued and outstanding.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 Sales Agreement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an At the Market Offering Sales Agreement (the "ATM") with certain sales agents and forward sellers pursuant to which we may sell, from time to time, up to an aggregate gross sales price of $1.25 billion of our common stock. Through March 31, 2026, we had entered into and settled forward sales agreements under the ATM for an aggregate gross sales price of $524.8 million, leaving $725.2 million available for sale under the ATM.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2025, our Board of Directors authorized a stock repurchase program (the "Stock Repurchase Program") under which we may repurchase up to $1.0 billion in shares of our outstanding common stock through April 30, 2026. Under the Stock Repurchase Program, we may repurchase shares of our common stock in open market transactions, through privately negotiated transactions, through one or more accelerated repurchases, or otherwise, in accordance with the terms set forth in Rule 10b5-1 and Rule 10b-18 of the Securities Exchange Act of 1934, as amended (the "Exchange Act") and other applicable legal requirements. The Stock Repurchase Program does not obligate us to repurchase any specific number of shares, and we may initiate, suspend, or discontinue purchases under the Stock Repurchase Program at any time.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stock repurchases in accordance with ASC 505,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by allocating the repurchase price to Common Stock, Additional paid-in-capital, and Distributions in excess of accumulated earnings on the Consolidated Balance Sheets. Under Maryland corporate law, our state of incorporation, there is no concept of treasury shares. As a result, all repurchased shares are retired and returned to the status of authorized but unissued shares upon settlement. During the three months ended March 31, 2026, we repurchased and retired 0.5 million shares of our outstanding common stock for $60.1 million. As of March 31, 2026, we had $400.8 million remaining authorized for purchase under this program.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AOCI attributable to SUI common shareholders is separately presented on our Consolidated Balance Sheets as a component of total SUI shareholders' equity. Other Comprehensive Income ("OCI") attributable to noncontrolling interests is allocated to, and included within, Noncontrolling interests on our Consolidated Balance Sheets. Refer to the Consolidated Statements of Comprehensive Income / (Loss) for complete details related to OCI activity in the reporting period.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AOCI attributable to SUI common shareholders consisted of the following, net of tax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40" w:type="dxa"/>
            <w:vAlign w:val="bottom"/>
          </w:tcPr>
          <w:p>
            <w:pPr>
              <w:spacing w:after="0"/>
              <w:rPr>
                <w:sz w:val="17"/>
                <w:szCs w:val="17"/>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200"/>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foreign currency translation gains / (losses)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5"/>
                <w:szCs w:val="15"/>
                <w:color w:val="auto"/>
              </w:rPr>
              <w:t>(3.5)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20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Accumulated net gain on derivatives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5"/>
                <w:szCs w:val="15"/>
                <w:color w:val="auto"/>
              </w:rPr>
              <w:t>15.3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w:t>
            </w: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11.8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 - Common and Preferred OP Units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common and preferred OP units included within Noncontrolling interests on our Consolidated Balance Sheets (dollar amounts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OP Units</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Annual</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80" w:type="dxa"/>
            <w:vAlign w:val="bottom"/>
          </w:tcPr>
          <w:p>
            <w:pPr>
              <w:spacing w:after="0"/>
              <w:rPr>
                <w:sz w:val="5"/>
                <w:szCs w:val="5"/>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Exchange</w:t>
            </w:r>
          </w:p>
        </w:tc>
        <w:tc>
          <w:tcPr>
            <w:tcW w:w="1340" w:type="dxa"/>
            <w:vAlign w:val="bottom"/>
            <w:gridSpan w:val="2"/>
            <w:vMerge w:val="continue"/>
          </w:tcPr>
          <w:p>
            <w:pPr>
              <w:spacing w:after="0"/>
              <w:rPr>
                <w:sz w:val="5"/>
                <w:szCs w:val="5"/>
                <w:color w:val="auto"/>
              </w:rPr>
            </w:pPr>
          </w:p>
        </w:tc>
        <w:tc>
          <w:tcPr>
            <w:tcW w:w="11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Cash</w:t>
            </w: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Redemption</w:t>
            </w:r>
          </w:p>
        </w:tc>
        <w:tc>
          <w:tcPr>
            <w:tcW w:w="180" w:type="dxa"/>
            <w:vAlign w:val="bottom"/>
          </w:tcPr>
          <w:p>
            <w:pPr>
              <w:spacing w:after="0"/>
              <w:rPr>
                <w:sz w:val="5"/>
                <w:szCs w:val="5"/>
                <w:color w:val="auto"/>
              </w:rPr>
            </w:pPr>
          </w:p>
        </w:tc>
        <w:tc>
          <w:tcPr>
            <w:tcW w:w="2960" w:type="dxa"/>
            <w:vAlign w:val="bottom"/>
            <w:gridSpan w:val="4"/>
            <w:vMerge w:val="restart"/>
          </w:tcPr>
          <w:p>
            <w:pPr>
              <w:jc w:val="right"/>
              <w:ind w:right="824"/>
              <w:spacing w:after="0"/>
              <w:rPr>
                <w:sz w:val="20"/>
                <w:szCs w:val="20"/>
                <w:color w:val="auto"/>
              </w:rPr>
            </w:pPr>
            <w:r>
              <w:rPr>
                <w:rFonts w:ascii="Times New Roman" w:cs="Times New Roman" w:eastAsia="Times New Roman" w:hAnsi="Times New Roman"/>
                <w:sz w:val="15"/>
                <w:szCs w:val="15"/>
                <w:b w:val="1"/>
                <w:bCs w:val="1"/>
                <w:color w:val="auto"/>
              </w:rPr>
              <w:t>Carrying Amount at</w:t>
            </w:r>
          </w:p>
        </w:tc>
        <w:tc>
          <w:tcPr>
            <w:tcW w:w="0" w:type="dxa"/>
            <w:vAlign w:val="bottom"/>
          </w:tcPr>
          <w:p>
            <w:pPr>
              <w:spacing w:after="0"/>
              <w:rPr>
                <w:sz w:val="1"/>
                <w:szCs w:val="1"/>
                <w:color w:val="auto"/>
              </w:rPr>
            </w:pPr>
          </w:p>
        </w:tc>
      </w:tr>
      <w:tr>
        <w:trPr>
          <w:trHeight w:val="143"/>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40" w:type="dxa"/>
            <w:vAlign w:val="bottom"/>
            <w:gridSpan w:val="2"/>
          </w:tcPr>
          <w:p>
            <w:pPr>
              <w:jc w:val="center"/>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Distribution</w:t>
            </w: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160" w:type="dxa"/>
            <w:vAlign w:val="bottom"/>
            <w:gridSpan w:val="2"/>
          </w:tcPr>
          <w:p>
            <w:pPr>
              <w:ind w:left="6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b w:val="1"/>
                <w:bCs w:val="1"/>
                <w:color w:val="auto"/>
                <w:w w:val="93"/>
                <w:vertAlign w:val="superscript"/>
              </w:rPr>
              <w:t>(1)</w:t>
            </w:r>
          </w:p>
        </w:tc>
        <w:tc>
          <w:tcPr>
            <w:tcW w:w="13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Redemption</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20" w:type="dxa"/>
            <w:vAlign w:val="bottom"/>
          </w:tcPr>
          <w:p>
            <w:pPr>
              <w:spacing w:after="0"/>
              <w:rPr>
                <w:sz w:val="17"/>
                <w:szCs w:val="17"/>
                <w:color w:val="auto"/>
              </w:rPr>
            </w:pPr>
          </w:p>
        </w:tc>
        <w:tc>
          <w:tcPr>
            <w:tcW w:w="14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0" w:type="dxa"/>
            <w:vAlign w:val="bottom"/>
          </w:tcPr>
          <w:p>
            <w:pPr>
              <w:spacing w:after="0"/>
              <w:rPr>
                <w:sz w:val="1"/>
                <w:szCs w:val="1"/>
                <w:color w:val="auto"/>
              </w:rPr>
            </w:pPr>
          </w:p>
        </w:tc>
      </w:tr>
      <w:tr>
        <w:trPr>
          <w:trHeight w:val="152"/>
        </w:trPr>
        <w:tc>
          <w:tcPr>
            <w:tcW w:w="2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Same distribution</w:t>
            </w: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13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2,529,195</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rate for common</w:t>
            </w:r>
          </w:p>
        </w:tc>
        <w:tc>
          <w:tcPr>
            <w:tcW w:w="1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0" w:type="dxa"/>
            <w:vAlign w:val="bottom"/>
          </w:tcPr>
          <w:p>
            <w:pPr>
              <w:spacing w:after="0"/>
              <w:rPr>
                <w:sz w:val="1"/>
                <w:szCs w:val="1"/>
                <w:color w:val="auto"/>
              </w:rPr>
            </w:pPr>
          </w:p>
        </w:tc>
      </w:tr>
      <w:tr>
        <w:trPr>
          <w:trHeight w:val="203"/>
        </w:trPr>
        <w:tc>
          <w:tcPr>
            <w:tcW w:w="2160" w:type="dxa"/>
            <w:vAlign w:val="bottom"/>
            <w:gridSpan w:val="2"/>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w:t>
            </w:r>
          </w:p>
        </w:tc>
        <w:tc>
          <w:tcPr>
            <w:tcW w:w="1140" w:type="dxa"/>
            <w:vAlign w:val="bottom"/>
            <w:gridSpan w:val="2"/>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A-1 preferred OP units</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154,336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2.4390</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20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A-3 preferred OP units</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40,268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1.8605</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4.5 %</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20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291,703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1.1100</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0" w:type="dxa"/>
            <w:vAlign w:val="bottom"/>
          </w:tcPr>
          <w:p>
            <w:pPr>
              <w:spacing w:after="0"/>
              <w:rPr>
                <w:sz w:val="1"/>
                <w:szCs w:val="1"/>
                <w:color w:val="auto"/>
              </w:rPr>
            </w:pPr>
          </w:p>
        </w:tc>
      </w:tr>
      <w:tr>
        <w:trPr>
          <w:trHeight w:val="20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E preferred OP units</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80,000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0.6897</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0"/>
        </w:trPr>
        <w:tc>
          <w:tcPr>
            <w:tcW w:w="2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Series L preferred OP units</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20,000</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0.6250</w:t>
            </w: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3.5 %</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3,115,502</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Exchange rates are subject to adjustment upon stock splits, recapitalizations, and similar events. The exchange rates of certain series of OP units are approximated to four decimal places.</w:t>
      </w:r>
    </w:p>
    <w:p>
      <w:pPr>
        <w:spacing w:after="0" w:line="27"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Except for Common OP units, distributions are payable on the issue price of each OP unit, which is $100.00 per unit for all these preferred OP units.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Conversions</w:t>
      </w:r>
    </w:p>
    <w:p>
      <w:pPr>
        <w:spacing w:after="0" w:line="11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Conversions to Common Stock and Common OP Units </w:t>
      </w:r>
      <w:r>
        <w:rPr>
          <w:rFonts w:ascii="Times New Roman" w:cs="Times New Roman" w:eastAsia="Times New Roman" w:hAnsi="Times New Roman"/>
          <w:sz w:val="18"/>
          <w:szCs w:val="18"/>
          <w:color w:val="auto"/>
        </w:rPr>
        <w:t>- Subject to certain limitations, holders can convert certain series of OP units to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to common OP units at any time. Below is the activity of conversions during the three months ended March 31, 2026 and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1440" w:type="dxa"/>
            <w:vAlign w:val="bottom"/>
            <w:tcBorders>
              <w:bottom w:val="single" w:sz="8" w:color="auto"/>
            </w:tcBorders>
          </w:tcPr>
          <w:p>
            <w:pPr>
              <w:spacing w:after="0"/>
              <w:rPr>
                <w:sz w:val="17"/>
                <w:szCs w:val="17"/>
                <w:color w:val="auto"/>
              </w:rPr>
            </w:pPr>
          </w:p>
        </w:tc>
      </w:tr>
      <w:tr>
        <w:trPr>
          <w:trHeight w:val="200"/>
        </w:trPr>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196"/>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Conversion Rate</w:t>
            </w: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Units / Shares Converted</w:t>
            </w:r>
          </w:p>
        </w:tc>
        <w:tc>
          <w:tcPr>
            <w:tcW w:w="1400" w:type="dxa"/>
            <w:vAlign w:val="bottom"/>
          </w:tcPr>
          <w:p>
            <w:pPr>
              <w:jc w:val="right"/>
              <w:ind w:right="64"/>
              <w:spacing w:after="0" w:line="196"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7"/>
                <w:szCs w:val="17"/>
                <w:color w:val="auto"/>
              </w:rPr>
            </w:pPr>
          </w:p>
        </w:tc>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Units / Shares Converted</w:t>
            </w:r>
          </w:p>
        </w:tc>
        <w:tc>
          <w:tcPr>
            <w:tcW w:w="1440" w:type="dxa"/>
            <w:vAlign w:val="bottom"/>
          </w:tcPr>
          <w:p>
            <w:pPr>
              <w:jc w:val="right"/>
              <w:ind w:right="84"/>
              <w:spacing w:after="0" w:line="196"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b w:val="1"/>
                <w:bCs w:val="1"/>
                <w:color w:val="auto"/>
                <w:vertAlign w:val="superscript"/>
              </w:rPr>
              <w:t>(1)</w:t>
            </w:r>
          </w:p>
        </w:tc>
      </w:tr>
      <w:tr>
        <w:trPr>
          <w:trHeight w:val="196"/>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108,080</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108,080</w:t>
            </w:r>
          </w:p>
        </w:tc>
        <w:tc>
          <w:tcPr>
            <w:tcW w:w="2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20,987</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20,987</w:t>
            </w:r>
          </w:p>
        </w:tc>
      </w:tr>
      <w:tr>
        <w:trPr>
          <w:trHeight w:val="20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A-1 preferred OP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2.4390</w:t>
            </w:r>
          </w:p>
        </w:tc>
        <w:tc>
          <w:tcPr>
            <w:tcW w:w="8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15,577</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37,987</w:t>
            </w:r>
          </w:p>
        </w:tc>
        <w:tc>
          <w:tcPr>
            <w:tcW w:w="2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5,368</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13,092</w:t>
            </w:r>
          </w:p>
        </w:tc>
      </w:tr>
      <w:tr>
        <w:trPr>
          <w:trHeight w:val="20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1.1100</w:t>
            </w:r>
          </w:p>
        </w:tc>
        <w:tc>
          <w:tcPr>
            <w:tcW w:w="8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4,309</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4,782</w:t>
            </w:r>
          </w:p>
        </w:tc>
      </w:tr>
      <w:tr>
        <w:trPr>
          <w:trHeight w:val="19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J preferred OP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0.6061</w:t>
            </w:r>
          </w:p>
        </w:tc>
        <w:tc>
          <w:tcPr>
            <w:tcW w:w="8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454</w:t>
            </w:r>
          </w:p>
        </w:tc>
        <w:tc>
          <w:tcPr>
            <w:tcW w:w="200" w:type="dxa"/>
            <w:vAlign w:val="bottom"/>
          </w:tcPr>
          <w:p>
            <w:pPr>
              <w:spacing w:after="0"/>
              <w:rPr>
                <w:sz w:val="17"/>
                <w:szCs w:val="17"/>
                <w:color w:val="auto"/>
              </w:rPr>
            </w:pP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46"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Calculation may yield minor differences due to rounding incorporated in the above numbers.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Preferred OP Units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certain limitations, holders can redeem certain series of preferred OP units for cash, provided that the applicable contractual requirements are met. During the three months ended March 31, 2026, 30,000 Series F preferred OP units and 512,397 Series H preferred OP units were redeemed for a total net cash payment of $54.4 million, inclusive of all distributions on the redeemed units that were accrued and unpaid as of the redemption date, in accordance with the terms and conditions set forth in the redemption agreement.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common OP unit, and restricted stock distributions declared for the three months ended March 31, 2026 were as follows (in millions, except for per share amounts):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980" w:type="dxa"/>
            <w:vAlign w:val="bottom"/>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Record Date</w:t>
            </w:r>
          </w:p>
        </w:tc>
        <w:tc>
          <w:tcPr>
            <w:tcW w:w="2140" w:type="dxa"/>
            <w:vAlign w:val="bottom"/>
            <w:gridSpan w:val="3"/>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Distribution Per Share</w:t>
            </w:r>
          </w:p>
        </w:tc>
        <w:tc>
          <w:tcPr>
            <w:tcW w:w="240" w:type="dxa"/>
            <w:vAlign w:val="bottom"/>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Total Distribution</w:t>
            </w:r>
          </w:p>
        </w:tc>
      </w:tr>
      <w:tr>
        <w:trPr>
          <w:trHeight w:val="200"/>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March 31, 2026</w:t>
            </w:r>
          </w:p>
        </w:tc>
        <w:tc>
          <w:tcPr>
            <w:tcW w:w="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3/31/2026</w:t>
            </w:r>
          </w:p>
        </w:tc>
        <w:tc>
          <w:tcPr>
            <w:tcW w:w="8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4/15/2026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140.9</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2026, we had two share-based compensation plans: the Sun Communities, Inc. 2015 Equity Incentive Plan (as amended, the "2015 Equity Incentive Plan") and the First Amended and Restated 2004 Non-Employee Director Option Plan (as amended, the "2004 Non-Employee Director Option Plan"). Outstanding awards include time-based and performance-based restricted stock awards ("RSAs") and performance-based restricted stock units ("RSUs").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Time-based awards for directors generally vest over three years. Time-based awards for key employees and executives generally vest over three years to five years. Market and performance condition awards for executives generally vest after three years. For RSAs, award recipients receive non-forfeitable distribution payments on unvested shares. For RSUs, award recipients receive forfeitable distribution equivalents on unvested units with payment upon vesting.</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we granted performance-based RSUs to certain executives that provide the right to receive shares of our common stock at a future date. The performance-based RSUs vest at up to 200% of the target number of units, with the ultimate number of shares to be issued based on the total shareholder return of the Company's common stock and / or operating performance metrics, measured over a three-year performance period.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fair value of RSUs subject to a market condition was measured using a Monte Carlo valuation model and the fair value of RSUs subject to a performance condition was measured based on the expected probability that the underlying units will vest using actual results and the forecast for the respective key performance metric during the performance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RSUs were granted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Weighted Average Grant</w:t>
            </w:r>
          </w:p>
        </w:tc>
        <w:tc>
          <w:tcPr>
            <w:tcW w:w="1900" w:type="dxa"/>
            <w:vAlign w:val="bottom"/>
          </w:tcPr>
          <w:p>
            <w:pPr>
              <w:spacing w:after="0"/>
              <w:rPr>
                <w:sz w:val="15"/>
                <w:szCs w:val="15"/>
                <w:color w:val="auto"/>
              </w:rPr>
            </w:pPr>
          </w:p>
        </w:tc>
      </w:tr>
      <w:tr>
        <w:trPr>
          <w:trHeight w:val="212"/>
        </w:trPr>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Grant Period</w:t>
            </w: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5"/>
                <w:szCs w:val="15"/>
                <w:b w:val="1"/>
                <w:bCs w:val="1"/>
                <w:color w:val="auto"/>
              </w:rPr>
              <w:t>Type</w:t>
            </w:r>
          </w:p>
        </w:tc>
        <w:tc>
          <w:tcPr>
            <w:tcW w:w="2860" w:type="dxa"/>
            <w:vAlign w:val="bottom"/>
            <w:gridSpan w:val="2"/>
          </w:tcPr>
          <w:p>
            <w:pPr>
              <w:ind w:left="1240"/>
              <w:spacing w:after="0"/>
              <w:rPr>
                <w:sz w:val="20"/>
                <w:szCs w:val="20"/>
                <w:color w:val="auto"/>
              </w:rPr>
            </w:pPr>
            <w:r>
              <w:rPr>
                <w:rFonts w:ascii="Times New Roman" w:cs="Times New Roman" w:eastAsia="Times New Roman" w:hAnsi="Times New Roman"/>
                <w:sz w:val="15"/>
                <w:szCs w:val="15"/>
                <w:b w:val="1"/>
                <w:bCs w:val="1"/>
                <w:color w:val="auto"/>
              </w:rPr>
              <w:t>Plan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RSUs Granted</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Date Fair Value</w:t>
            </w:r>
          </w:p>
        </w:tc>
        <w:tc>
          <w:tcPr>
            <w:tcW w:w="1900" w:type="dxa"/>
            <w:vAlign w:val="bottom"/>
          </w:tcPr>
          <w:p>
            <w:pPr>
              <w:ind w:left="520"/>
              <w:spacing w:after="0"/>
              <w:rPr>
                <w:sz w:val="20"/>
                <w:szCs w:val="20"/>
                <w:color w:val="auto"/>
              </w:rPr>
            </w:pPr>
            <w:r>
              <w:rPr>
                <w:rFonts w:ascii="Times New Roman" w:cs="Times New Roman" w:eastAsia="Times New Roman" w:hAnsi="Times New Roman"/>
                <w:sz w:val="15"/>
                <w:szCs w:val="15"/>
                <w:b w:val="1"/>
                <w:bCs w:val="1"/>
                <w:color w:val="auto"/>
              </w:rPr>
              <w:t>Vesting Type</w:t>
            </w:r>
          </w:p>
        </w:tc>
      </w:tr>
      <w:tr>
        <w:trPr>
          <w:trHeight w:val="240"/>
        </w:trPr>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100" w:type="dxa"/>
            <w:vAlign w:val="bottom"/>
            <w:tcBorders>
              <w:top w:val="single" w:sz="8" w:color="CCEEFF"/>
            </w:tcBorders>
            <w:shd w:val="clear" w:color="auto" w:fill="CCEEFF"/>
          </w:tcPr>
          <w:p>
            <w:pPr>
              <w:spacing w:after="0"/>
              <w:rPr>
                <w:sz w:val="20"/>
                <w:szCs w:val="20"/>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2015 Equity Incentive Plan</w:t>
            </w:r>
          </w:p>
        </w:tc>
        <w:tc>
          <w:tcPr>
            <w:tcW w:w="8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43,626</w:t>
            </w:r>
          </w:p>
        </w:tc>
        <w:tc>
          <w:tcPr>
            <w:tcW w:w="80" w:type="dxa"/>
            <w:vAlign w:val="bottom"/>
            <w:tcBorders>
              <w:top w:val="single" w:sz="8" w:color="CCEEFF"/>
            </w:tcBorders>
            <w:shd w:val="clear" w:color="auto" w:fill="CCEEFF"/>
          </w:tcPr>
          <w:p>
            <w:pPr>
              <w:spacing w:after="0"/>
              <w:rPr>
                <w:sz w:val="20"/>
                <w:szCs w:val="20"/>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$154.25</w:t>
            </w:r>
            <w:r>
              <w:rPr>
                <w:rFonts w:ascii="Times New Roman" w:cs="Times New Roman" w:eastAsia="Times New Roman" w:hAnsi="Times New Roman"/>
                <w:sz w:val="19"/>
                <w:szCs w:val="19"/>
                <w:color w:val="auto"/>
                <w:vertAlign w:val="superscript"/>
              </w:rPr>
              <w:t>(1)</w:t>
            </w:r>
          </w:p>
        </w:tc>
        <w:tc>
          <w:tcPr>
            <w:tcW w:w="80" w:type="dxa"/>
            <w:vAlign w:val="bottom"/>
            <w:tcBorders>
              <w:top w:val="single" w:sz="8" w:color="CCEEFF"/>
            </w:tcBorders>
            <w:shd w:val="clear" w:color="auto" w:fill="CCEEFF"/>
          </w:tcPr>
          <w:p>
            <w:pPr>
              <w:spacing w:after="0"/>
              <w:rPr>
                <w:sz w:val="20"/>
                <w:szCs w:val="20"/>
                <w:color w:val="auto"/>
              </w:rPr>
            </w:pPr>
          </w:p>
        </w:tc>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Market Condition</w:t>
            </w:r>
          </w:p>
        </w:tc>
      </w:tr>
      <w:tr>
        <w:trPr>
          <w:trHeight w:val="261"/>
        </w:trPr>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tcPr>
          <w:p>
            <w:pPr>
              <w:spacing w:after="0"/>
              <w:rPr>
                <w:sz w:val="22"/>
                <w:szCs w:val="22"/>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2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2015 Equity Incentive Plan</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8,918</w:t>
            </w:r>
          </w:p>
        </w:tc>
        <w:tc>
          <w:tcPr>
            <w:tcW w:w="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$125.57</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22"/>
                <w:szCs w:val="22"/>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Performance Condition</w:t>
            </w:r>
          </w:p>
        </w:tc>
      </w:tr>
    </w:tbl>
    <w:p>
      <w:pPr>
        <w:spacing w:after="0" w:line="37"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weighted average fair value per share of the Monte Carlo simulation fair value price of our market condition awards on the dates the shares were awarded.</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weighted average fair value per share of the closing price of our common stock on the dates the shares were awarded.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shares were granted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Weighted Average Grant</w:t>
            </w:r>
          </w:p>
        </w:tc>
        <w:tc>
          <w:tcPr>
            <w:tcW w:w="1440" w:type="dxa"/>
            <w:vAlign w:val="bottom"/>
          </w:tcPr>
          <w:p>
            <w:pPr>
              <w:spacing w:after="0"/>
              <w:rPr>
                <w:sz w:val="15"/>
                <w:szCs w:val="15"/>
                <w:color w:val="auto"/>
              </w:rPr>
            </w:pPr>
          </w:p>
        </w:tc>
      </w:tr>
      <w:tr>
        <w:trPr>
          <w:trHeight w:val="206"/>
        </w:trPr>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Grant Period</w:t>
            </w: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5"/>
                <w:szCs w:val="15"/>
                <w:b w:val="1"/>
                <w:bCs w:val="1"/>
                <w:color w:val="auto"/>
              </w:rPr>
              <w:t>Type</w:t>
            </w:r>
          </w:p>
        </w:tc>
        <w:tc>
          <w:tcPr>
            <w:tcW w:w="340" w:type="dxa"/>
            <w:vAlign w:val="bottom"/>
          </w:tcPr>
          <w:p>
            <w:pPr>
              <w:spacing w:after="0"/>
              <w:rPr>
                <w:sz w:val="17"/>
                <w:szCs w:val="17"/>
                <w:color w:val="auto"/>
              </w:rPr>
            </w:pPr>
          </w:p>
        </w:tc>
        <w:tc>
          <w:tcPr>
            <w:tcW w:w="3000" w:type="dxa"/>
            <w:vAlign w:val="bottom"/>
            <w:gridSpan w:val="2"/>
          </w:tcPr>
          <w:p>
            <w:pPr>
              <w:ind w:left="1140"/>
              <w:spacing w:after="0"/>
              <w:rPr>
                <w:sz w:val="20"/>
                <w:szCs w:val="20"/>
                <w:color w:val="auto"/>
              </w:rPr>
            </w:pPr>
            <w:r>
              <w:rPr>
                <w:rFonts w:ascii="Times New Roman" w:cs="Times New Roman" w:eastAsia="Times New Roman" w:hAnsi="Times New Roman"/>
                <w:sz w:val="15"/>
                <w:szCs w:val="15"/>
                <w:b w:val="1"/>
                <w:bCs w:val="1"/>
                <w:color w:val="auto"/>
              </w:rPr>
              <w:t>Plan</w:t>
            </w: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Shares Granted</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Date Fair Value</w:t>
            </w:r>
          </w:p>
        </w:tc>
        <w:tc>
          <w:tcPr>
            <w:tcW w:w="144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Vesting Type</w:t>
            </w:r>
          </w:p>
        </w:tc>
      </w:tr>
      <w:tr>
        <w:trPr>
          <w:trHeight w:val="200"/>
        </w:trPr>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Key Employees</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127,229</w:t>
            </w:r>
          </w:p>
        </w:tc>
        <w:tc>
          <w:tcPr>
            <w:tcW w:w="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5"/>
                <w:szCs w:val="15"/>
                <w:color w:val="auto"/>
              </w:rPr>
              <w:t>$135.00</w:t>
            </w:r>
            <w:r>
              <w:rPr>
                <w:rFonts w:ascii="Times New Roman" w:cs="Times New Roman" w:eastAsia="Times New Roman" w:hAnsi="Times New Roman"/>
                <w:sz w:val="19"/>
                <w:szCs w:val="19"/>
                <w:color w:val="auto"/>
                <w:vertAlign w:val="superscript"/>
              </w:rPr>
              <w:t>(1)</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Time Based</w:t>
            </w:r>
          </w:p>
        </w:tc>
      </w:tr>
      <w:tr>
        <w:trPr>
          <w:trHeight w:val="203"/>
        </w:trPr>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tcPr>
          <w:p>
            <w:pPr>
              <w:spacing w:after="0"/>
              <w:rPr>
                <w:sz w:val="17"/>
                <w:szCs w:val="17"/>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60,834</w:t>
            </w:r>
          </w:p>
        </w:tc>
        <w:tc>
          <w:tcPr>
            <w:tcW w:w="8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Times New Roman" w:cs="Times New Roman" w:eastAsia="Times New Roman" w:hAnsi="Times New Roman"/>
                <w:sz w:val="15"/>
                <w:szCs w:val="15"/>
                <w:color w:val="auto"/>
              </w:rPr>
              <w:t>$124.27</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7"/>
                <w:szCs w:val="17"/>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r>
      <w:tr>
        <w:trPr>
          <w:trHeight w:val="203"/>
        </w:trPr>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Directors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2004</w:t>
            </w: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Non-Employee Director Option Plan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14,553</w:t>
            </w: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5"/>
                <w:szCs w:val="15"/>
                <w:color w:val="auto"/>
              </w:rPr>
              <w:t>$123.68</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Time Based</w:t>
            </w:r>
          </w:p>
        </w:tc>
      </w:tr>
      <w:tr>
        <w:trPr>
          <w:trHeight w:val="203"/>
        </w:trPr>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7"/>
                <w:szCs w:val="17"/>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Key Employees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135,150</w:t>
            </w:r>
          </w:p>
        </w:tc>
        <w:tc>
          <w:tcPr>
            <w:tcW w:w="8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Times New Roman" w:cs="Times New Roman" w:eastAsia="Times New Roman" w:hAnsi="Times New Roman"/>
                <w:sz w:val="15"/>
                <w:szCs w:val="15"/>
                <w:color w:val="auto"/>
              </w:rPr>
              <w:t>$133.63</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7"/>
                <w:szCs w:val="17"/>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r>
      <w:tr>
        <w:trPr>
          <w:trHeight w:val="203"/>
        </w:trPr>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38,000</w:t>
            </w: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5"/>
                <w:szCs w:val="15"/>
                <w:color w:val="auto"/>
              </w:rPr>
              <w:t>$133.63</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Time Based</w:t>
            </w:r>
          </w:p>
        </w:tc>
      </w:tr>
      <w:tr>
        <w:trPr>
          <w:trHeight w:val="243"/>
        </w:trPr>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87,000</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$106.62</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21"/>
                <w:szCs w:val="21"/>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Market Condition</w:t>
            </w:r>
          </w:p>
        </w:tc>
      </w:tr>
      <w:tr>
        <w:trPr>
          <w:trHeight w:val="202"/>
        </w:trPr>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Directors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2004</w:t>
            </w: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Non-Employee Director Option Plan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12,800</w:t>
            </w: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5"/>
                <w:szCs w:val="15"/>
                <w:color w:val="auto"/>
              </w:rPr>
              <w:t>$122.64</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Time Based</w:t>
            </w:r>
          </w:p>
        </w:tc>
      </w:tr>
    </w:tbl>
    <w:p>
      <w:pPr>
        <w:spacing w:after="0" w:line="85"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weighted average fair value per share of the closing price of our common stock on the dates the shares were awarded.</w:t>
      </w:r>
    </w:p>
    <w:p>
      <w:pPr>
        <w:spacing w:after="0" w:line="27" w:lineRule="exact"/>
        <w:rPr>
          <w:rFonts w:ascii="Times New Roman" w:cs="Times New Roman" w:eastAsia="Times New Roman" w:hAnsi="Times New Roman"/>
          <w:sz w:val="9"/>
          <w:szCs w:val="9"/>
          <w:color w:val="auto"/>
        </w:rPr>
      </w:pPr>
    </w:p>
    <w:p>
      <w:pPr>
        <w:ind w:left="160" w:hanging="152"/>
        <w:spacing w:after="0" w:line="192" w:lineRule="auto"/>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weighted average fair value per share of the Monte Carlo simulation fair value price of our market condition awards on the dates the shares were awarded.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we modified certain unvested RSAs to accelerate the vesting terms such that the respective awards vested in connection with the termination or retirement of the eligible grantees ("accelerated vestings"). We accounted for the accelerated vestings as modifications under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and recognized compensation expense based on the incremental fair value of the modified awards. Accordingly, we recognized accelerated share-based compensation expense of $8.9 million within General and administrative expense related to 58,000 time-based RSAs and 75,000 performance-based RSAs previously subject to a market condition.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vesting requirements for 237,289 and 174,109 restricted shares granted to our executives, directors, and employees were satisfied during the three months ended March 31, 2026 and 2025,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$16.4 million and $8.8 million of total share-based compensation costs within General and administrative expense on the Consolidated Statements of Operations during the three months ended March 31, 2026 and 2025,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Reporting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establishes standards for the way that business enterprises report information about operating segments in their financial statements. We have identified three reportable segments, consisting of (i) MH communities, (ii) RV communities, and (iii) the UK. The segment reporting structure reflects how the chief operating decision maker ("CODM"), a committee comprised of our CEO, President and COO, and CFO, manages the business, makes operating decisions, allocates resources, and evaluates operating performance.</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segment is primarily evaluated based on Net Operating Income ("NOI"). The CODM uses NOI to allocate resources (including employees, property, and financial or capital resources) for each segment predominately in the annual budgeting and forecasting process. The CODM considers budget-to-actual variances on a monthly basis for both profit measures when making decisions about allocating capital and personnel to the segments. The CODM also uses NOI for evaluating product pricing and segment profit and in the compensation of certain employees. The CODM reviews balance sheet information at a consolidated level.</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MH segment owns, operates, develops, or has an interest in, a portfolio of MH communities in the U.S., and is in the business of acquiring, operating and developing ground-up MH communities to provide affordable housing solutions to residents. The MH segment in the U.S. also provides manufactured home sales and leasing services to tenants and prospective tenants of our communities.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RV segment owns, operates, develops, or has an interest in, a portfolio of RV communities and is in the business of acquiring, operating, and developing ground-up RV communities in the U.S. and Canada. It also provides leasing services for vacation rentals within the RV communities.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UK segment owns, operates, develops, or has an interest in, a portfolio of communities, referred to as holiday parks, and is in the business of acquiring, operating, and developing communities in the United Kingdom. It also provides home sales and associated site license activities to owners and tenants within the communities.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presentation of segment financial information is summarized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186"/>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MH</w:t>
            </w:r>
          </w:p>
        </w:tc>
        <w:tc>
          <w:tcPr>
            <w:tcW w:w="160" w:type="dxa"/>
            <w:vAlign w:val="bottom"/>
          </w:tcPr>
          <w:p>
            <w:pPr>
              <w:spacing w:after="0"/>
              <w:rPr>
                <w:sz w:val="15"/>
                <w:szCs w:val="15"/>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RV</w:t>
            </w:r>
          </w:p>
        </w:tc>
        <w:tc>
          <w:tcPr>
            <w:tcW w:w="160" w:type="dxa"/>
            <w:vAlign w:val="bottom"/>
          </w:tcPr>
          <w:p>
            <w:pPr>
              <w:spacing w:after="0"/>
              <w:rPr>
                <w:sz w:val="15"/>
                <w:szCs w:val="15"/>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UK</w:t>
            </w:r>
          </w:p>
        </w:tc>
        <w:tc>
          <w:tcPr>
            <w:tcW w:w="140" w:type="dxa"/>
            <w:vAlign w:val="bottom"/>
          </w:tcPr>
          <w:p>
            <w:pPr>
              <w:spacing w:after="0"/>
              <w:rPr>
                <w:sz w:val="15"/>
                <w:szCs w:val="15"/>
                <w:color w:val="auto"/>
              </w:rPr>
            </w:pP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MH</w:t>
            </w:r>
          </w:p>
        </w:tc>
        <w:tc>
          <w:tcPr>
            <w:tcW w:w="160" w:type="dxa"/>
            <w:vAlign w:val="bottom"/>
          </w:tcPr>
          <w:p>
            <w:pPr>
              <w:spacing w:after="0"/>
              <w:rPr>
                <w:sz w:val="15"/>
                <w:szCs w:val="15"/>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RV</w:t>
            </w:r>
          </w:p>
        </w:tc>
        <w:tc>
          <w:tcPr>
            <w:tcW w:w="160" w:type="dxa"/>
            <w:vAlign w:val="bottom"/>
          </w:tcPr>
          <w:p>
            <w:pPr>
              <w:spacing w:after="0"/>
              <w:rPr>
                <w:sz w:val="15"/>
                <w:szCs w:val="15"/>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UK</w:t>
            </w:r>
          </w:p>
        </w:tc>
        <w:tc>
          <w:tcPr>
            <w:tcW w:w="120" w:type="dxa"/>
            <w:vAlign w:val="bottom"/>
          </w:tcPr>
          <w:p>
            <w:pPr>
              <w:spacing w:after="0"/>
              <w:rPr>
                <w:sz w:val="15"/>
                <w:szCs w:val="15"/>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from real property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248.8</w:t>
            </w:r>
          </w:p>
        </w:tc>
        <w:tc>
          <w:tcPr>
            <w:tcW w:w="8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from real property - transient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Home sales</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Ancillary</w:t>
            </w: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79"/>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Functional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8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273.5</w:t>
            </w:r>
          </w:p>
        </w:tc>
        <w:tc>
          <w:tcPr>
            <w:tcW w:w="8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8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w:t>
            </w:r>
          </w:p>
        </w:tc>
      </w:tr>
      <w:tr>
        <w:trPr>
          <w:trHeight w:val="19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Payroll - real property</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Utilities - real property</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Legal, taxes, and insurance - real property</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Supplies and repairs - real property</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expenses - real property</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taxes - real property</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Home sales - Cost of sales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Ancillary - Cost of goods sold</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9"/>
        </w:trPr>
        <w:tc>
          <w:tcPr>
            <w:tcW w:w="5120" w:type="dxa"/>
            <w:vAlign w:val="bottom"/>
            <w:tcBorders>
              <w:bottom w:val="single" w:sz="8" w:color="CCEEFF"/>
            </w:tcBorders>
          </w:tcPr>
          <w:p>
            <w:pPr>
              <w:ind w:left="140"/>
              <w:spacing w:after="0" w:line="189"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(1)</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r>
      <w:tr>
        <w:trPr>
          <w:trHeight w:val="18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NOI</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175.3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w:t>
            </w:r>
          </w:p>
        </w:tc>
      </w:tr>
      <w:tr>
        <w:trPr>
          <w:trHeight w:val="216"/>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to arrive at net income</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Brokerage commissions and other revenues, net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19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Catastrophic event-related charges, net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w:t>
            </w:r>
          </w:p>
        </w:tc>
      </w:tr>
      <w:tr>
        <w:trPr>
          <w:trHeight w:val="19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impairments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r>
      <w:tr>
        <w:trPr>
          <w:trHeight w:val="19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 (loss) on foreign currency exchanges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 (loss) on dispositions of properties, net</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 (expense), net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 (loss) on remeasurement of notes receivable</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from nonconsolidated affiliates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remeasurement of investment in nonconsolidated affiliates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tax expense</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6"/>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Deferred tax benefit / (expense)</w:t>
            </w: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86"/>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Loss from discontinued operations, net</w:t>
            </w: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18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r>
      <w:tr>
        <w:trPr>
          <w:trHeight w:val="186"/>
        </w:trPr>
        <w:tc>
          <w:tcPr>
            <w:tcW w:w="5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Less: Preferred return to preferred OP units / equity interests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Loss attributable to noncontrolling interests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6"/>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Attributable to SUI Common Shareholders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r>
      <w:tr>
        <w:trPr>
          <w:trHeight w:val="20"/>
        </w:trPr>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segment items for each reportable segment include:</w:t>
      </w:r>
    </w:p>
    <w:p>
      <w:pPr>
        <w:spacing w:after="0" w:line="3" w:lineRule="exact"/>
        <w:rPr>
          <w:rFonts w:ascii="Times New Roman" w:cs="Times New Roman" w:eastAsia="Times New Roman" w:hAnsi="Times New Roman"/>
          <w:sz w:val="19"/>
          <w:szCs w:val="19"/>
          <w:color w:val="auto"/>
          <w:vertAlign w:val="superscript"/>
        </w:rPr>
      </w:pPr>
    </w:p>
    <w:p>
      <w:pPr>
        <w:ind w:left="18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b w:val="1"/>
          <w:bCs w:val="1"/>
          <w:color w:val="auto"/>
        </w:rPr>
        <w:t xml:space="preserve">MH and RV </w:t>
      </w:r>
      <w:r>
        <w:rPr>
          <w:rFonts w:ascii="Times New Roman" w:cs="Times New Roman" w:eastAsia="Times New Roman" w:hAnsi="Times New Roman"/>
          <w:sz w:val="14"/>
          <w:szCs w:val="14"/>
          <w:color w:val="auto"/>
        </w:rPr>
        <w:t>– costs related to home sales and ancillary, specifically payroll, utilities, legal, taxes and insurance, supplies and repairs, and other expenses.</w:t>
      </w:r>
    </w:p>
    <w:p>
      <w:pPr>
        <w:spacing w:after="0" w:line="11" w:lineRule="exact"/>
        <w:rPr>
          <w:rFonts w:ascii="Times New Roman" w:cs="Times New Roman" w:eastAsia="Times New Roman" w:hAnsi="Times New Roman"/>
          <w:sz w:val="19"/>
          <w:szCs w:val="19"/>
          <w:color w:val="auto"/>
          <w:vertAlign w:val="superscript"/>
        </w:rPr>
      </w:pPr>
    </w:p>
    <w:p>
      <w:pPr>
        <w:ind w:left="18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b w:val="1"/>
          <w:bCs w:val="1"/>
          <w:color w:val="auto"/>
        </w:rPr>
        <w:t xml:space="preserve">UK </w:t>
      </w:r>
      <w:r>
        <w:rPr>
          <w:rFonts w:ascii="Times New Roman" w:cs="Times New Roman" w:eastAsia="Times New Roman" w:hAnsi="Times New Roman"/>
          <w:sz w:val="14"/>
          <w:szCs w:val="14"/>
          <w:color w:val="auto"/>
        </w:rPr>
        <w:t>– other costs related to home sales and ancillary, specifically home sales commission expense, payroll, utilities, legal, taxes, and insurance, supplies and repairs, and 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00"/>
        </w:trPr>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MH</w:t>
            </w:r>
          </w:p>
        </w:tc>
        <w:tc>
          <w:tcPr>
            <w:tcW w:w="200" w:type="dxa"/>
            <w:vAlign w:val="bottom"/>
          </w:tcPr>
          <w:p>
            <w:pPr>
              <w:spacing w:after="0"/>
              <w:rPr>
                <w:sz w:val="17"/>
                <w:szCs w:val="17"/>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RV</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UK</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MH</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RV</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UK</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Identifiable Assets</w:t>
            </w: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00"/>
        </w:trPr>
        <w:tc>
          <w:tcPr>
            <w:tcW w:w="3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Investment property, net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5,275.1</w:t>
            </w:r>
          </w:p>
        </w:tc>
        <w:tc>
          <w:tcPr>
            <w:tcW w:w="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3,315.9</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2,280.5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10,871.5</w:t>
            </w:r>
          </w:p>
        </w:tc>
        <w:tc>
          <w:tcPr>
            <w:tcW w:w="1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5,279.4</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3,339.1</w:t>
            </w:r>
          </w:p>
        </w:tc>
        <w:tc>
          <w:tcPr>
            <w:tcW w:w="80" w:type="dxa"/>
            <w:vAlign w:val="bottom"/>
          </w:tcPr>
          <w:p>
            <w:pPr>
              <w:spacing w:after="0"/>
              <w:rPr>
                <w:sz w:val="17"/>
                <w:szCs w:val="17"/>
                <w:color w:val="auto"/>
              </w:rPr>
            </w:pPr>
          </w:p>
        </w:tc>
        <w:tc>
          <w:tcPr>
            <w:tcW w:w="20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2,283.2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10,901.7</w:t>
            </w:r>
          </w:p>
        </w:tc>
      </w:tr>
      <w:tr>
        <w:trPr>
          <w:trHeight w:val="205"/>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636.1</w:t>
            </w:r>
          </w:p>
        </w:tc>
      </w:tr>
      <w:tr>
        <w:trPr>
          <w:trHeight w:val="200"/>
        </w:trPr>
        <w:tc>
          <w:tcPr>
            <w:tcW w:w="3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Inventory of manufactured homes</w:t>
            </w:r>
          </w:p>
        </w:tc>
        <w:tc>
          <w:tcPr>
            <w:tcW w:w="2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142.9</w:t>
            </w:r>
          </w:p>
        </w:tc>
      </w:tr>
      <w:tr>
        <w:trPr>
          <w:trHeight w:val="205"/>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and other receivables, net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332.1</w:t>
            </w:r>
          </w:p>
        </w:tc>
      </w:tr>
      <w:tr>
        <w:trPr>
          <w:trHeight w:val="200"/>
        </w:trPr>
        <w:tc>
          <w:tcPr>
            <w:tcW w:w="3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Collateralized receivables, net</w:t>
            </w:r>
          </w:p>
        </w:tc>
        <w:tc>
          <w:tcPr>
            <w:tcW w:w="2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43.2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w:t>
            </w:r>
          </w:p>
        </w:tc>
      </w:tr>
      <w:tr>
        <w:trPr>
          <w:trHeight w:val="205"/>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Goodwill</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200"/>
        </w:trPr>
        <w:tc>
          <w:tcPr>
            <w:tcW w:w="3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2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101.5</w:t>
            </w:r>
          </w:p>
        </w:tc>
      </w:tr>
      <w:tr>
        <w:trPr>
          <w:trHeight w:val="205"/>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assets, net</w:t>
            </w: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280.7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375.5</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273.3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355.9</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6,184.6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3,661.7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2,512.5</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12,358.8</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6,272.0</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3,697.1</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2,553.8</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12,522.9</w:t>
            </w: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 of Total</w:t>
            </w:r>
          </w:p>
        </w:tc>
        <w:tc>
          <w:tcPr>
            <w:tcW w:w="120" w:type="dxa"/>
            <w:vAlign w:val="bottom"/>
          </w:tcPr>
          <w:p>
            <w:pPr>
              <w:spacing w:after="0"/>
              <w:rPr>
                <w:sz w:val="21"/>
                <w:szCs w:val="21"/>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22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 of Total</w:t>
            </w:r>
          </w:p>
        </w:tc>
      </w:tr>
      <w:tr>
        <w:trPr>
          <w:trHeight w:val="200"/>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North America</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9,846.3</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79.7 %</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9,969.1</w:t>
            </w: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79.6 %</w:t>
            </w:r>
          </w:p>
        </w:tc>
      </w:tr>
      <w:tr>
        <w:trPr>
          <w:trHeight w:val="20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United Kingdom</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2,512.5</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20.3 %</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2,553.8</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20.4 %</w:t>
            </w:r>
          </w:p>
        </w:tc>
      </w:tr>
      <w:tr>
        <w:trPr>
          <w:trHeight w:val="22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12,358.8</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12,522.9</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 (Loss) Per Share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 (loss) per share ("EPS") is computed by dividing net income / (loss) by the weighted average number of common shares outstanding during the period on a basic and diluted basis. We calculate diluted EPS using the more dilutive of the treasury stock method and the two-class method for restricted common shares, the treasury stock method for forward equity sales and the if converted method for convertible units. Our potentially dilutive securities include our potential common shares related to our forward equity offerings, our unvested restricted common shares and RSUs, and our Operating Partnership outstanding common and preferred OP units, which, if converted or exercised, may impact dilution.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EPS.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Computations of basic and diluted EPS were as follows (in millions, except for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80" w:type="dxa"/>
            <w:vAlign w:val="bottom"/>
          </w:tcPr>
          <w:p>
            <w:pPr>
              <w:spacing w:after="0"/>
              <w:rPr>
                <w:sz w:val="17"/>
                <w:szCs w:val="17"/>
                <w:color w:val="auto"/>
              </w:rPr>
            </w:pPr>
          </w:p>
        </w:tc>
        <w:tc>
          <w:tcPr>
            <w:tcW w:w="2760" w:type="dxa"/>
            <w:vAlign w:val="bottom"/>
            <w:tcBorders>
              <w:bottom w:val="single" w:sz="8" w:color="auto"/>
            </w:tcBorders>
            <w:gridSpan w:val="5"/>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200"/>
        </w:trPr>
        <w:tc>
          <w:tcPr>
            <w:tcW w:w="84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Numerator for basic EPS</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from continuing operations</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Preferred return to preferred OP units equity interests</w:t>
            </w: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00"/>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Loss attributable to noncontrolling interests</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98"/>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 from continuing operations attributable to SUI common shareholders</w:t>
            </w: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0" w:type="dxa"/>
            <w:vAlign w:val="bottom"/>
          </w:tcPr>
          <w:p>
            <w:pPr>
              <w:spacing w:after="0"/>
              <w:rPr>
                <w:sz w:val="1"/>
                <w:szCs w:val="1"/>
                <w:color w:val="auto"/>
              </w:rPr>
            </w:pPr>
          </w:p>
        </w:tc>
      </w:tr>
      <w:tr>
        <w:trPr>
          <w:trHeight w:val="200"/>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Less: allocation to restricted stock awards</w:t>
            </w:r>
          </w:p>
        </w:tc>
        <w:tc>
          <w:tcPr>
            <w:tcW w:w="8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198"/>
        </w:trPr>
        <w:tc>
          <w:tcPr>
            <w:tcW w:w="84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Basic earnings - net loss from continuing operations after allocation to restricted stock awards</w:t>
            </w:r>
          </w:p>
        </w:tc>
        <w:tc>
          <w:tcPr>
            <w:tcW w:w="8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0" w:type="dxa"/>
            <w:vAlign w:val="bottom"/>
          </w:tcPr>
          <w:p>
            <w:pPr>
              <w:spacing w:after="0"/>
              <w:rPr>
                <w:sz w:val="1"/>
                <w:szCs w:val="1"/>
                <w:color w:val="auto"/>
              </w:rPr>
            </w:pPr>
          </w:p>
        </w:tc>
      </w:tr>
      <w:tr>
        <w:trPr>
          <w:trHeight w:val="200"/>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Basic earnings - net loss from discontinued operations</w:t>
            </w:r>
          </w:p>
        </w:tc>
        <w:tc>
          <w:tcPr>
            <w:tcW w:w="8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223"/>
        </w:trPr>
        <w:tc>
          <w:tcPr>
            <w:tcW w:w="8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Basic earnings - net loss attributable to common shareholders after allocation to restricted stock awards</w:t>
            </w:r>
          </w:p>
        </w:tc>
        <w:tc>
          <w:tcPr>
            <w:tcW w:w="88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Numerator for diluted EPS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8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Basic earnings - net loss from continuing operations after allocation to restricted stock awards</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0" w:type="dxa"/>
            <w:vAlign w:val="bottom"/>
          </w:tcPr>
          <w:p>
            <w:pPr>
              <w:spacing w:after="0"/>
              <w:rPr>
                <w:sz w:val="1"/>
                <w:szCs w:val="1"/>
                <w:color w:val="auto"/>
              </w:rPr>
            </w:pPr>
          </w:p>
        </w:tc>
      </w:tr>
      <w:tr>
        <w:trPr>
          <w:trHeight w:val="200"/>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 allocation to common and preferred OP units dilutive effect</w:t>
            </w:r>
          </w:p>
        </w:tc>
        <w:tc>
          <w:tcPr>
            <w:tcW w:w="8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 allocation to restricted stock awards</w:t>
            </w:r>
          </w:p>
        </w:tc>
        <w:tc>
          <w:tcPr>
            <w:tcW w:w="8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194"/>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Diluted net loss from continuing operations attributable to SUI common shareholders</w:t>
            </w:r>
          </w:p>
        </w:tc>
        <w:tc>
          <w:tcPr>
            <w:tcW w:w="8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Diluted net loss from discontinued operations</w:t>
            </w:r>
          </w:p>
        </w:tc>
        <w:tc>
          <w:tcPr>
            <w:tcW w:w="8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169"/>
        </w:trPr>
        <w:tc>
          <w:tcPr>
            <w:tcW w:w="8480" w:type="dxa"/>
            <w:vAlign w:val="bottom"/>
          </w:tcPr>
          <w:p>
            <w:pPr>
              <w:ind w:left="140"/>
              <w:spacing w:after="0" w:line="169" w:lineRule="exact"/>
              <w:rPr>
                <w:sz w:val="20"/>
                <w:szCs w:val="20"/>
                <w:color w:val="auto"/>
              </w:rPr>
            </w:pPr>
            <w:r>
              <w:rPr>
                <w:rFonts w:ascii="Times New Roman" w:cs="Times New Roman" w:eastAsia="Times New Roman" w:hAnsi="Times New Roman"/>
                <w:sz w:val="15"/>
                <w:szCs w:val="15"/>
                <w:color w:val="auto"/>
              </w:rPr>
              <w:t>Diluted earnings - net loss attributable to common shareholders after allocation to common and preferred OP units</w:t>
            </w:r>
            <w:r>
              <w:rPr>
                <w:rFonts w:ascii="Times New Roman" w:cs="Times New Roman" w:eastAsia="Times New Roman" w:hAnsi="Times New Roman"/>
                <w:sz w:val="19"/>
                <w:szCs w:val="19"/>
                <w:color w:val="auto"/>
                <w:vertAlign w:val="superscript"/>
              </w:rPr>
              <w:t>(1)</w:t>
            </w:r>
          </w:p>
        </w:tc>
        <w:tc>
          <w:tcPr>
            <w:tcW w:w="880" w:type="dxa"/>
            <w:vAlign w:val="bottom"/>
            <w:tcBorders>
              <w:top w:val="single" w:sz="8" w:color="auto"/>
              <w:bottom w:val="single" w:sz="8" w:color="auto"/>
            </w:tcBorders>
          </w:tcPr>
          <w:p>
            <w:pPr>
              <w:jc w:val="right"/>
              <w:ind w:right="704"/>
              <w:spacing w:after="0" w:line="169"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(8.7)</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(43.8)</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Weighted average common shares outstanding</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126.6</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 dilutive restricted stock</w:t>
            </w: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00"/>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Add: common and preferred OP units dilutive effect</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5"/>
                <w:szCs w:val="15"/>
                <w:color w:val="auto"/>
              </w:rPr>
              <w:t>Diluted weighted average common shares and securities</w:t>
            </w:r>
            <w:r>
              <w:rPr>
                <w:rFonts w:ascii="Times New Roman" w:cs="Times New Roman" w:eastAsia="Times New Roman" w:hAnsi="Times New Roman"/>
                <w:sz w:val="19"/>
                <w:szCs w:val="19"/>
                <w:color w:val="auto"/>
                <w:vertAlign w:val="superscript"/>
              </w:rPr>
              <w:t>(1)</w:t>
            </w:r>
          </w:p>
        </w:tc>
        <w:tc>
          <w:tcPr>
            <w:tcW w:w="8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EPS Available to Common Shareholders After Allocation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Basic loss per share from continuing operations</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0" w:type="dxa"/>
            <w:vAlign w:val="bottom"/>
          </w:tcPr>
          <w:p>
            <w:pPr>
              <w:spacing w:after="0"/>
              <w:rPr>
                <w:sz w:val="1"/>
                <w:szCs w:val="1"/>
                <w:color w:val="auto"/>
              </w:rPr>
            </w:pPr>
          </w:p>
        </w:tc>
      </w:tr>
      <w:tr>
        <w:trPr>
          <w:trHeight w:val="200"/>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Basic loss per share from discontinued operations</w:t>
            </w:r>
          </w:p>
        </w:tc>
        <w:tc>
          <w:tcPr>
            <w:tcW w:w="8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0" w:type="dxa"/>
            <w:vAlign w:val="bottom"/>
          </w:tcPr>
          <w:p>
            <w:pPr>
              <w:spacing w:after="0"/>
              <w:rPr>
                <w:sz w:val="1"/>
                <w:szCs w:val="1"/>
                <w:color w:val="auto"/>
              </w:rPr>
            </w:pPr>
          </w:p>
        </w:tc>
      </w:tr>
      <w:tr>
        <w:trPr>
          <w:trHeight w:val="239"/>
        </w:trPr>
        <w:tc>
          <w:tcPr>
            <w:tcW w:w="8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Basic loss per share</w:t>
            </w:r>
          </w:p>
        </w:tc>
        <w:tc>
          <w:tcPr>
            <w:tcW w:w="88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(0.34)</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Diluted loss per share from continuing operations</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0" w:type="dxa"/>
            <w:vAlign w:val="bottom"/>
          </w:tcPr>
          <w:p>
            <w:pPr>
              <w:spacing w:after="0"/>
              <w:rPr>
                <w:sz w:val="1"/>
                <w:szCs w:val="1"/>
                <w:color w:val="auto"/>
              </w:rPr>
            </w:pPr>
          </w:p>
        </w:tc>
      </w:tr>
      <w:tr>
        <w:trPr>
          <w:trHeight w:val="239"/>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Diluted loss per share from discontinued operations</w:t>
            </w:r>
          </w:p>
        </w:tc>
        <w:tc>
          <w:tcPr>
            <w:tcW w:w="88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0" w:type="dxa"/>
            <w:vAlign w:val="bottom"/>
          </w:tcPr>
          <w:p>
            <w:pPr>
              <w:spacing w:after="0"/>
              <w:rPr>
                <w:sz w:val="1"/>
                <w:szCs w:val="1"/>
                <w:color w:val="auto"/>
              </w:rPr>
            </w:pPr>
          </w:p>
        </w:tc>
      </w:tr>
      <w:tr>
        <w:trPr>
          <w:trHeight w:val="225"/>
        </w:trPr>
        <w:tc>
          <w:tcPr>
            <w:tcW w:w="8480" w:type="dxa"/>
            <w:vAlign w:val="bottom"/>
            <w:tcBorders>
              <w:top w:val="single" w:sz="8" w:color="CCEEFF"/>
              <w:bottom w:val="single" w:sz="8" w:color="CCEEFF"/>
            </w:tcBorders>
            <w:shd w:val="clear" w:color="auto" w:fill="CCEEFF"/>
          </w:tcPr>
          <w:p>
            <w:pPr>
              <w:ind w:left="140"/>
              <w:spacing w:after="0" w:line="200" w:lineRule="exact"/>
              <w:rPr>
                <w:sz w:val="20"/>
                <w:szCs w:val="20"/>
                <w:color w:val="auto"/>
              </w:rPr>
            </w:pPr>
            <w:r>
              <w:rPr>
                <w:rFonts w:ascii="Times New Roman" w:cs="Times New Roman" w:eastAsia="Times New Roman" w:hAnsi="Times New Roman"/>
                <w:sz w:val="15"/>
                <w:szCs w:val="15"/>
                <w:color w:val="auto"/>
              </w:rPr>
              <w:t>Diluted loss per share</w:t>
            </w:r>
            <w:r>
              <w:rPr>
                <w:rFonts w:ascii="Times New Roman" w:cs="Times New Roman" w:eastAsia="Times New Roman" w:hAnsi="Times New Roman"/>
                <w:sz w:val="19"/>
                <w:szCs w:val="19"/>
                <w:color w:val="auto"/>
                <w:vertAlign w:val="superscript"/>
              </w:rPr>
              <w:t>(1)</w:t>
            </w:r>
          </w:p>
        </w:tc>
        <w:tc>
          <w:tcPr>
            <w:tcW w:w="88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80" w:right="20" w:hanging="172"/>
        <w:spacing w:after="0" w:line="230" w:lineRule="auto"/>
        <w:tabs>
          <w:tab w:leader="none" w:pos="17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and 2025, diluted earnings per share was calculated using the treasury stock method for restricted stock awards as the application of this method resulted in a more diluted earnings per share during those periods.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excluded certain potentially dilutive securities from the computation of diluted EPS because the inclusion of those securities would have been anti-dilutive for the periods presented. The following table presents the outstanding securities that were excluded from the computations of diluted EPS as of March 31, 2026 and 2025 (in thousands):</w:t>
      </w:r>
    </w:p>
    <w:p>
      <w:pPr>
        <w:spacing w:after="0" w:line="51"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5"/>
          <w:szCs w:val="15"/>
          <w:b w:val="1"/>
          <w:bCs w:val="1"/>
          <w:color w:val="auto"/>
        </w:rPr>
        <w:t>As of March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9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A-1 preferred OP units</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154</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r>
      <w:tr>
        <w:trPr>
          <w:trHeight w:val="20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A-3 preferred OP units</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205"/>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292</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w:t>
            </w:r>
          </w:p>
        </w:tc>
      </w:tr>
      <w:tr>
        <w:trPr>
          <w:trHeight w:val="20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D preferred OP units</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489</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w:t>
            </w:r>
          </w:p>
        </w:tc>
      </w:tr>
      <w:tr>
        <w:trPr>
          <w:trHeight w:val="205"/>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E preferred OP units</w:t>
            </w: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80</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F preferred OP units</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5"/>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G preferred OP units</w:t>
            </w: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H preferred OP units</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w:t>
            </w:r>
          </w:p>
        </w:tc>
      </w:tr>
      <w:tr>
        <w:trPr>
          <w:trHeight w:val="205"/>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J preferred OP units</w:t>
            </w: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235</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w:t>
            </w:r>
          </w:p>
        </w:tc>
      </w:tr>
      <w:tr>
        <w:trPr>
          <w:trHeight w:val="20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K preferred OP units</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5"/>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L preferred OP units</w:t>
            </w: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Redemption rights - Series G preferred OP units</w:t>
            </w: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201</w:t>
            </w:r>
          </w:p>
        </w:tc>
      </w:tr>
      <w:tr>
        <w:trPr>
          <w:trHeight w:val="218"/>
        </w:trPr>
        <w:tc>
          <w:tcPr>
            <w:tcW w:w="8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 Securities</w:t>
            </w: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2,404</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historically utilized treasury rate lock contracts, interest rate swaps, and forward swaps for interest rate risk management purposes. We have also periodically entered into forward swaps to hedge foreign currency exchange risk exposures. We do not enter into derivative instruments for speculative purposes. At March 31, 2026 and December 31, 2025, we did not have any outstanding derivative contracts.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the effectiveness of derivative instruments in hedging the underlying interest rate exposure both at inception and on an ongoing basis. The unrealized gains or losses on the derivative instruments are recorded in AOCI and are reclassified to Interest expense on the Consolidated Statements of Operations during the same period in which the hedged transaction affects earnings. We estimate that $3.5 million will be reclassified as a reduction to Interest expense, net over the next 12 months for all of our previously settled cash flow hedges.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losses on derivatives in cash flow hedging relationships recognized in OCI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r>
      <w:tr>
        <w:trPr>
          <w:trHeight w:val="202"/>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1180" w:type="dxa"/>
            <w:vAlign w:val="bottom"/>
          </w:tcPr>
          <w:p>
            <w:pPr>
              <w:ind w:left="660"/>
              <w:spacing w:after="0"/>
              <w:rPr>
                <w:sz w:val="20"/>
                <w:szCs w:val="20"/>
                <w:color w:val="auto"/>
              </w:rPr>
            </w:pPr>
            <w:r>
              <w:rPr>
                <w:rFonts w:ascii="Times New Roman" w:cs="Times New Roman" w:eastAsia="Times New Roman" w:hAnsi="Times New Roman"/>
                <w:sz w:val="15"/>
                <w:szCs w:val="15"/>
                <w:b w:val="1"/>
                <w:bCs w:val="1"/>
                <w:color w:val="auto"/>
              </w:rPr>
              <w:t>2026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Pr>
          <w:p>
            <w:pPr>
              <w:spacing w:after="0"/>
              <w:rPr>
                <w:sz w:val="17"/>
                <w:szCs w:val="17"/>
                <w:color w:val="auto"/>
              </w:rPr>
            </w:pPr>
          </w:p>
        </w:tc>
      </w:tr>
      <w:tr>
        <w:trPr>
          <w:trHeight w:val="196"/>
        </w:trPr>
        <w:tc>
          <w:tcPr>
            <w:tcW w:w="77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100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6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 of gains on derivative instruments reclassified from AOCI into earnings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2"/>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Statement Classification</w:t>
            </w:r>
          </w:p>
        </w:tc>
        <w:tc>
          <w:tcPr>
            <w:tcW w:w="360" w:type="dxa"/>
            <w:vAlign w:val="bottom"/>
          </w:tcPr>
          <w:p>
            <w:pPr>
              <w:spacing w:after="0"/>
              <w:rPr>
                <w:sz w:val="17"/>
                <w:szCs w:val="17"/>
                <w:color w:val="auto"/>
              </w:rPr>
            </w:pPr>
          </w:p>
        </w:tc>
        <w:tc>
          <w:tcPr>
            <w:tcW w:w="1240" w:type="dxa"/>
            <w:vAlign w:val="bottom"/>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2026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96"/>
        </w:trPr>
        <w:tc>
          <w:tcPr>
            <w:tcW w:w="41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 / Other income / (expense), net</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released net accumulated gains of $1.7 million from AOCI to earnings in conjunction with the discontinuation of a cash flow hedge related to a forecasted debt transaction that is not expected to occur by the end of the originally specified time period. The net accumulated gains were recorded to Other income / (expense), net on the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by Hierarchy Level</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sets forth our financial assets and liabilities (in millions) that required disclosure of fair value on a recurring basis as of March 31, 2026 and December 31, 2025. The carrying values of cash, cash equivalents and restricted cash, other receivables and accounts payable approximate their fair market values since their maturities are less than one year. These financial instruments are classified as Level 1 in the hierarchy and are excluded from the table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5"/>
          </w:tcPr>
          <w:p>
            <w:pPr>
              <w:ind w:left="68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20" w:type="dxa"/>
            <w:vAlign w:val="bottom"/>
          </w:tcPr>
          <w:p>
            <w:pPr>
              <w:spacing w:after="0"/>
              <w:rPr>
                <w:sz w:val="17"/>
                <w:szCs w:val="17"/>
                <w:color w:val="auto"/>
              </w:rPr>
            </w:pPr>
          </w:p>
        </w:tc>
        <w:tc>
          <w:tcPr>
            <w:tcW w:w="2500" w:type="dxa"/>
            <w:vAlign w:val="bottom"/>
            <w:gridSpan w:val="4"/>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Fair Value Level</w:t>
            </w: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18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1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145.3</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139.2</w:t>
            </w:r>
          </w:p>
        </w:tc>
        <w:tc>
          <w:tcPr>
            <w:tcW w:w="1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139.2</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receivable from real estate operators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0" w:type="dxa"/>
            <w:vAlign w:val="bottom"/>
          </w:tcPr>
          <w:p>
            <w:pPr>
              <w:spacing w:after="0"/>
              <w:rPr>
                <w:sz w:val="1"/>
                <w:szCs w:val="1"/>
                <w:color w:val="auto"/>
              </w:rPr>
            </w:pPr>
          </w:p>
        </w:tc>
      </w:tr>
      <w:tr>
        <w:trPr>
          <w:trHeight w:val="200"/>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Collateralized receivables, net</w:t>
            </w:r>
          </w:p>
        </w:tc>
        <w:tc>
          <w:tcPr>
            <w:tcW w:w="1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ind w:left="140"/>
              <w:spacing w:after="0" w:line="172" w:lineRule="exact"/>
              <w:rPr>
                <w:sz w:val="20"/>
                <w:szCs w:val="20"/>
                <w:color w:val="auto"/>
              </w:rPr>
            </w:pPr>
            <w:r>
              <w:rPr>
                <w:rFonts w:ascii="Times New Roman" w:cs="Times New Roman" w:eastAsia="Times New Roman" w:hAnsi="Times New Roman"/>
                <w:sz w:val="15"/>
                <w:szCs w:val="15"/>
                <w:b w:val="1"/>
                <w:bCs w:val="1"/>
                <w:color w:val="auto"/>
              </w:rPr>
              <w:t>Total Assets Measured at Fair Value</w:t>
            </w:r>
          </w:p>
        </w:tc>
        <w:tc>
          <w:tcPr>
            <w:tcW w:w="1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230.6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230.6</w:t>
            </w: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226.9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4"/>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226.9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6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Mortgage loans payable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2,237.6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2,193.0</w:t>
            </w:r>
          </w:p>
        </w:tc>
        <w:tc>
          <w:tcPr>
            <w:tcW w:w="0" w:type="dxa"/>
            <w:vAlign w:val="bottom"/>
          </w:tcPr>
          <w:p>
            <w:pPr>
              <w:spacing w:after="0"/>
              <w:rPr>
                <w:sz w:val="1"/>
                <w:szCs w:val="1"/>
                <w:color w:val="auto"/>
              </w:rPr>
            </w:pPr>
          </w:p>
        </w:tc>
      </w:tr>
      <w:tr>
        <w:trPr>
          <w:trHeight w:val="200"/>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Secured borrowings on collateralized receivables</w:t>
            </w:r>
          </w:p>
        </w:tc>
        <w:tc>
          <w:tcPr>
            <w:tcW w:w="1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secured debt</w:t>
            </w: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2,279.2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2,236.2</w:t>
            </w:r>
          </w:p>
        </w:tc>
        <w:tc>
          <w:tcPr>
            <w:tcW w:w="0" w:type="dxa"/>
            <w:vAlign w:val="bottom"/>
          </w:tcPr>
          <w:p>
            <w:pPr>
              <w:spacing w:after="0"/>
              <w:rPr>
                <w:sz w:val="1"/>
                <w:szCs w:val="1"/>
                <w:color w:val="auto"/>
              </w:rPr>
            </w:pPr>
          </w:p>
        </w:tc>
      </w:tr>
      <w:tr>
        <w:trPr>
          <w:trHeight w:val="200"/>
        </w:trPr>
        <w:tc>
          <w:tcPr>
            <w:tcW w:w="4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Unsecured debt</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Senior unsecured notes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1,639.1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1,786.5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1,655.1</w:t>
            </w:r>
          </w:p>
        </w:tc>
        <w:tc>
          <w:tcPr>
            <w:tcW w:w="0" w:type="dxa"/>
            <w:vAlign w:val="bottom"/>
          </w:tcPr>
          <w:p>
            <w:pPr>
              <w:spacing w:after="0"/>
              <w:rPr>
                <w:sz w:val="1"/>
                <w:szCs w:val="1"/>
                <w:color w:val="auto"/>
              </w:rPr>
            </w:pPr>
          </w:p>
        </w:tc>
      </w:tr>
      <w:tr>
        <w:trPr>
          <w:trHeight w:val="194"/>
        </w:trPr>
        <w:tc>
          <w:tcPr>
            <w:tcW w:w="43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unsecured debt</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1,639.1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1,655.1</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financial liabilities (contingent consideration)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98"/>
        </w:trPr>
        <w:tc>
          <w:tcPr>
            <w:tcW w:w="436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Total Liabilities Measured at Fair Value</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4,246.4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3,918.5</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4,258.9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3,891.5</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Installment Notes Receivable on Manufactured Homes and Collateralized Receivables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Installment notes receivable on manufactured homes and collateralized receivables are recorded at fair value and are measured using model-derived indicative pricing using primarily unobservable inputs, inclusive of default rates, interest rates and recovery rates (Level 3). Refer to Note 4, "Notes and Other Receivables,"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Real Estate Operators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from real estate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primarily by underlying real estate and other collateral and / or personal guarantees. Refer to Note 4, "Notes and Other Receivables," for additional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Debt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Secured debt consists primarily of our mortgage term loans. The fair value of mortgage term loans is based on management estimates and on rates currently quoted, rates currently prevailing for comparable loans and instruments of comparable maturities (Level 2). Refer to Note 7, "Debt and Line of Credit," for additional information.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Secured borrowings on collateralized receivables - recorded at fair value and adjusted based on the same interest rates as the related collateralized receivables (Level 3). Refer to Note 7, "Debt and Line of Credit," for additional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Debt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Senior unsecured notes - the fair value of senior unsecured notes is based on the estimates of management and on rates currently quoted, rates currently prevailing for comparable loans and instruments of comparable maturities (Level 2). Refer to Note 7, "Debt and Line of Credit," for additional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Liabilities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Reconciliation, Measurements, and Transfers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three months ended March 31, 2026.</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changes to our financial instruments carried at fair value and classified within Level 3 of the fair value hierarchy for the three months ended March 31, 2026 and 2025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40"/>
              <w:spacing w:after="0" w:line="148" w:lineRule="exact"/>
              <w:rPr>
                <w:sz w:val="20"/>
                <w:szCs w:val="20"/>
                <w:color w:val="auto"/>
              </w:rPr>
            </w:pPr>
            <w:r>
              <w:rPr>
                <w:rFonts w:ascii="Times New Roman" w:cs="Times New Roman" w:eastAsia="Times New Roman" w:hAnsi="Times New Roman"/>
                <w:sz w:val="15"/>
                <w:szCs w:val="15"/>
                <w:b w:val="1"/>
                <w:bCs w:val="1"/>
                <w:color w:val="auto"/>
              </w:rPr>
              <w:t>Installment</w:t>
            </w:r>
          </w:p>
        </w:tc>
        <w:tc>
          <w:tcPr>
            <w:tcW w:w="120" w:type="dxa"/>
            <w:vAlign w:val="bottom"/>
          </w:tcPr>
          <w:p>
            <w:pPr>
              <w:spacing w:after="0"/>
              <w:rPr>
                <w:sz w:val="12"/>
                <w:szCs w:val="12"/>
                <w:color w:val="auto"/>
              </w:rPr>
            </w:pPr>
          </w:p>
        </w:tc>
        <w:tc>
          <w:tcPr>
            <w:tcW w:w="138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Collateralized</w:t>
            </w:r>
          </w:p>
        </w:tc>
        <w:tc>
          <w:tcPr>
            <w:tcW w:w="160" w:type="dxa"/>
            <w:vAlign w:val="bottom"/>
          </w:tcPr>
          <w:p>
            <w:pPr>
              <w:spacing w:after="0"/>
              <w:rPr>
                <w:sz w:val="12"/>
                <w:szCs w:val="12"/>
                <w:color w:val="auto"/>
              </w:rPr>
            </w:pPr>
          </w:p>
        </w:tc>
        <w:tc>
          <w:tcPr>
            <w:tcW w:w="1100" w:type="dxa"/>
            <w:vAlign w:val="bottom"/>
            <w:gridSpan w:val="2"/>
          </w:tcPr>
          <w:p>
            <w:pPr>
              <w:jc w:val="right"/>
              <w:ind w:right="300"/>
              <w:spacing w:after="0" w:line="148" w:lineRule="exact"/>
              <w:rPr>
                <w:sz w:val="20"/>
                <w:szCs w:val="20"/>
                <w:color w:val="auto"/>
              </w:rPr>
            </w:pPr>
            <w:r>
              <w:rPr>
                <w:rFonts w:ascii="Times New Roman" w:cs="Times New Roman" w:eastAsia="Times New Roman" w:hAnsi="Times New Roman"/>
                <w:sz w:val="15"/>
                <w:szCs w:val="15"/>
                <w:b w:val="1"/>
                <w:bCs w:val="1"/>
                <w:color w:val="auto"/>
              </w:rPr>
              <w:t>Installment</w:t>
            </w:r>
          </w:p>
        </w:tc>
        <w:tc>
          <w:tcPr>
            <w:tcW w:w="120" w:type="dxa"/>
            <w:vAlign w:val="bottom"/>
          </w:tcPr>
          <w:p>
            <w:pPr>
              <w:spacing w:after="0"/>
              <w:rPr>
                <w:sz w:val="12"/>
                <w:szCs w:val="12"/>
                <w:color w:val="auto"/>
              </w:rPr>
            </w:pPr>
          </w:p>
        </w:tc>
        <w:tc>
          <w:tcPr>
            <w:tcW w:w="138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20" w:type="dxa"/>
            <w:vAlign w:val="bottom"/>
          </w:tcPr>
          <w:p>
            <w:pPr>
              <w:spacing w:after="0"/>
              <w:rPr>
                <w:sz w:val="12"/>
                <w:szCs w:val="12"/>
                <w:color w:val="auto"/>
              </w:rPr>
            </w:pP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Collateralized</w:t>
            </w:r>
          </w:p>
        </w:tc>
        <w:tc>
          <w:tcPr>
            <w:tcW w:w="0" w:type="dxa"/>
            <w:vAlign w:val="bottom"/>
          </w:tcPr>
          <w:p>
            <w:pPr>
              <w:spacing w:after="0"/>
              <w:rPr>
                <w:sz w:val="1"/>
                <w:szCs w:val="1"/>
                <w:color w:val="auto"/>
              </w:rPr>
            </w:pPr>
          </w:p>
        </w:tc>
      </w:tr>
      <w:tr>
        <w:trPr>
          <w:trHeight w:val="156"/>
        </w:trPr>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240" w:type="dxa"/>
            <w:vAlign w:val="bottom"/>
            <w:gridSpan w:val="3"/>
          </w:tcPr>
          <w:p>
            <w:pPr>
              <w:jc w:val="right"/>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20" w:type="dxa"/>
            <w:vAlign w:val="bottom"/>
          </w:tcPr>
          <w:p>
            <w:pPr>
              <w:spacing w:after="0"/>
              <w:rPr>
                <w:sz w:val="13"/>
                <w:szCs w:val="13"/>
                <w:color w:val="auto"/>
              </w:rPr>
            </w:pPr>
          </w:p>
        </w:tc>
        <w:tc>
          <w:tcPr>
            <w:tcW w:w="138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5"/>
                <w:szCs w:val="15"/>
                <w:b w:val="1"/>
                <w:bCs w:val="1"/>
                <w:color w:val="auto"/>
              </w:rPr>
              <w:t>From Real Estate</w:t>
            </w: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60" w:type="dxa"/>
            <w:vAlign w:val="bottom"/>
            <w:gridSpan w:val="3"/>
          </w:tcPr>
          <w:p>
            <w:pPr>
              <w:jc w:val="right"/>
              <w:ind w:right="120"/>
              <w:spacing w:after="0" w:line="156"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20" w:type="dxa"/>
            <w:vAlign w:val="bottom"/>
          </w:tcPr>
          <w:p>
            <w:pPr>
              <w:spacing w:after="0"/>
              <w:rPr>
                <w:sz w:val="13"/>
                <w:szCs w:val="13"/>
                <w:color w:val="auto"/>
              </w:rPr>
            </w:pPr>
          </w:p>
        </w:tc>
        <w:tc>
          <w:tcPr>
            <w:tcW w:w="138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5"/>
                <w:szCs w:val="15"/>
                <w:b w:val="1"/>
                <w:bCs w:val="1"/>
                <w:color w:val="auto"/>
              </w:rPr>
              <w:t>From Real Estate</w:t>
            </w:r>
          </w:p>
        </w:tc>
        <w:tc>
          <w:tcPr>
            <w:tcW w:w="1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on MH, net</w:t>
            </w: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Receivables, net</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on MH, net</w:t>
            </w: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Receivables, net</w:t>
            </w:r>
          </w:p>
        </w:tc>
        <w:tc>
          <w:tcPr>
            <w:tcW w:w="0" w:type="dxa"/>
            <w:vAlign w:val="bottom"/>
          </w:tcPr>
          <w:p>
            <w:pPr>
              <w:spacing w:after="0"/>
              <w:rPr>
                <w:sz w:val="1"/>
                <w:szCs w:val="1"/>
                <w:color w:val="auto"/>
              </w:rPr>
            </w:pPr>
          </w:p>
        </w:tc>
      </w:tr>
      <w:tr>
        <w:trPr>
          <w:trHeight w:val="152"/>
        </w:trPr>
        <w:tc>
          <w:tcPr>
            <w:tcW w:w="310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Level 3 beginning balance at December 31, 2025</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w:t>
            </w:r>
          </w:p>
        </w:tc>
        <w:tc>
          <w:tcPr>
            <w:tcW w:w="0" w:type="dxa"/>
            <w:vAlign w:val="bottom"/>
          </w:tcPr>
          <w:p>
            <w:pPr>
              <w:spacing w:after="0"/>
              <w:rPr>
                <w:sz w:val="1"/>
                <w:szCs w:val="1"/>
                <w:color w:val="auto"/>
              </w:rPr>
            </w:pPr>
          </w:p>
        </w:tc>
      </w:tr>
      <w:tr>
        <w:trPr>
          <w:trHeight w:val="203"/>
        </w:trPr>
        <w:tc>
          <w:tcPr>
            <w:tcW w:w="3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Realized gains / (losses)</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and issuances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Sales and settlements</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Dispositions of properties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20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Foreign currency exchange gains</w:t>
            </w: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0"/>
        </w:trPr>
        <w:tc>
          <w:tcPr>
            <w:tcW w:w="3180" w:type="dxa"/>
            <w:vAlign w:val="bottom"/>
            <w:tcBorders>
              <w:top w:val="single" w:sz="8" w:color="CCEEFF"/>
            </w:tcBorders>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5"/>
                <w:szCs w:val="15"/>
                <w:color w:val="auto"/>
              </w:rPr>
              <w:t>Level 3 ending balance at March 31, 2026 and</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145.3</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105.6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49.3</w:t>
            </w:r>
          </w:p>
        </w:tc>
        <w:tc>
          <w:tcPr>
            <w:tcW w:w="0" w:type="dxa"/>
            <w:vAlign w:val="bottom"/>
          </w:tcPr>
          <w:p>
            <w:pPr>
              <w:spacing w:after="0"/>
              <w:rPr>
                <w:sz w:val="1"/>
                <w:szCs w:val="1"/>
                <w:color w:val="auto"/>
              </w:rPr>
            </w:pPr>
          </w:p>
        </w:tc>
      </w:tr>
      <w:tr>
        <w:trPr>
          <w:trHeight w:val="19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Recorded within Gain / (loss) on remeasurement of notes receivable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3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ind w:right="80"/>
              <w:spacing w:after="0" w:line="148" w:lineRule="exact"/>
              <w:rPr>
                <w:sz w:val="20"/>
                <w:szCs w:val="20"/>
                <w:color w:val="auto"/>
              </w:rPr>
            </w:pPr>
            <w:r>
              <w:rPr>
                <w:rFonts w:ascii="Times New Roman" w:cs="Times New Roman" w:eastAsia="Times New Roman" w:hAnsi="Times New Roman"/>
                <w:sz w:val="15"/>
                <w:szCs w:val="15"/>
                <w:b w:val="1"/>
                <w:bCs w:val="1"/>
                <w:color w:val="auto"/>
              </w:rPr>
              <w:t>Secured Borrowing on</w:t>
            </w:r>
          </w:p>
        </w:tc>
        <w:tc>
          <w:tcPr>
            <w:tcW w:w="220" w:type="dxa"/>
            <w:vAlign w:val="bottom"/>
          </w:tcPr>
          <w:p>
            <w:pPr>
              <w:spacing w:after="0"/>
              <w:rPr>
                <w:sz w:val="12"/>
                <w:szCs w:val="12"/>
                <w:color w:val="auto"/>
              </w:rPr>
            </w:pPr>
          </w:p>
        </w:tc>
        <w:tc>
          <w:tcPr>
            <w:tcW w:w="1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Contingent</w:t>
            </w:r>
          </w:p>
        </w:tc>
        <w:tc>
          <w:tcPr>
            <w:tcW w:w="1660" w:type="dxa"/>
            <w:vAlign w:val="bottom"/>
            <w:gridSpan w:val="3"/>
          </w:tcPr>
          <w:p>
            <w:pPr>
              <w:jc w:val="center"/>
              <w:ind w:right="80"/>
              <w:spacing w:after="0" w:line="148" w:lineRule="exact"/>
              <w:rPr>
                <w:sz w:val="20"/>
                <w:szCs w:val="20"/>
                <w:color w:val="auto"/>
              </w:rPr>
            </w:pPr>
            <w:r>
              <w:rPr>
                <w:rFonts w:ascii="Times New Roman" w:cs="Times New Roman" w:eastAsia="Times New Roman" w:hAnsi="Times New Roman"/>
                <w:sz w:val="15"/>
                <w:szCs w:val="15"/>
                <w:b w:val="1"/>
                <w:bCs w:val="1"/>
                <w:color w:val="auto"/>
              </w:rPr>
              <w:t>Secured Borrowing on</w:t>
            </w:r>
          </w:p>
        </w:tc>
        <w:tc>
          <w:tcPr>
            <w:tcW w:w="220" w:type="dxa"/>
            <w:vAlign w:val="bottom"/>
          </w:tcPr>
          <w:p>
            <w:pPr>
              <w:spacing w:after="0"/>
              <w:rPr>
                <w:sz w:val="12"/>
                <w:szCs w:val="12"/>
                <w:color w:val="auto"/>
              </w:rPr>
            </w:pPr>
          </w:p>
        </w:tc>
        <w:tc>
          <w:tcPr>
            <w:tcW w:w="1380" w:type="dxa"/>
            <w:vAlign w:val="bottom"/>
            <w:vMerge w:val="restart"/>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Contingent</w:t>
            </w:r>
          </w:p>
        </w:tc>
        <w:tc>
          <w:tcPr>
            <w:tcW w:w="0" w:type="dxa"/>
            <w:vAlign w:val="bottom"/>
          </w:tcPr>
          <w:p>
            <w:pPr>
              <w:spacing w:after="0"/>
              <w:rPr>
                <w:sz w:val="1"/>
                <w:szCs w:val="1"/>
                <w:color w:val="auto"/>
              </w:rPr>
            </w:pPr>
          </w:p>
        </w:tc>
      </w:tr>
      <w:tr>
        <w:trPr>
          <w:trHeight w:val="156"/>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220" w:type="dxa"/>
            <w:vAlign w:val="bottom"/>
          </w:tcPr>
          <w:p>
            <w:pPr>
              <w:spacing w:after="0"/>
              <w:rPr>
                <w:sz w:val="13"/>
                <w:szCs w:val="13"/>
                <w:color w:val="auto"/>
              </w:rPr>
            </w:pPr>
          </w:p>
        </w:tc>
        <w:tc>
          <w:tcPr>
            <w:tcW w:w="144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5"/>
                <w:szCs w:val="15"/>
                <w:b w:val="1"/>
                <w:bCs w:val="1"/>
                <w:color w:val="auto"/>
              </w:rPr>
              <w:t>Collateralized</w:t>
            </w:r>
          </w:p>
        </w:tc>
        <w:tc>
          <w:tcPr>
            <w:tcW w:w="22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240" w:type="dxa"/>
            <w:vAlign w:val="bottom"/>
          </w:tcPr>
          <w:p>
            <w:pPr>
              <w:jc w:val="center"/>
              <w:ind w:left="244"/>
              <w:spacing w:after="0" w:line="156" w:lineRule="exact"/>
              <w:rPr>
                <w:sz w:val="20"/>
                <w:szCs w:val="20"/>
                <w:color w:val="auto"/>
              </w:rPr>
            </w:pPr>
            <w:r>
              <w:rPr>
                <w:rFonts w:ascii="Times New Roman" w:cs="Times New Roman" w:eastAsia="Times New Roman" w:hAnsi="Times New Roman"/>
                <w:sz w:val="15"/>
                <w:szCs w:val="15"/>
                <w:b w:val="1"/>
                <w:bCs w:val="1"/>
                <w:color w:val="auto"/>
              </w:rPr>
              <w:t>Collateralized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3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Receivables</w:t>
            </w:r>
          </w:p>
        </w:tc>
        <w:tc>
          <w:tcPr>
            <w:tcW w:w="22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240" w:type="dxa"/>
            <w:vAlign w:val="bottom"/>
          </w:tcPr>
          <w:p>
            <w:pPr>
              <w:jc w:val="center"/>
              <w:ind w:left="244"/>
              <w:spacing w:after="0"/>
              <w:rPr>
                <w:sz w:val="20"/>
                <w:szCs w:val="20"/>
                <w:color w:val="auto"/>
              </w:rPr>
            </w:pPr>
            <w:r>
              <w:rPr>
                <w:rFonts w:ascii="Times New Roman" w:cs="Times New Roman" w:eastAsia="Times New Roman" w:hAnsi="Times New Roman"/>
                <w:sz w:val="15"/>
                <w:szCs w:val="15"/>
                <w:b w:val="1"/>
                <w:bCs w:val="1"/>
                <w:color w:val="auto"/>
              </w:rPr>
              <w:t>Receivables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0" w:type="dxa"/>
            <w:vAlign w:val="bottom"/>
          </w:tcPr>
          <w:p>
            <w:pPr>
              <w:spacing w:after="0"/>
              <w:rPr>
                <w:sz w:val="1"/>
                <w:szCs w:val="1"/>
                <w:color w:val="auto"/>
              </w:rPr>
            </w:pPr>
          </w:p>
        </w:tc>
      </w:tr>
      <w:tr>
        <w:trPr>
          <w:trHeight w:val="196"/>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Level 3 beginning balance December 31, 2025 and 2024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8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51.2</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0" w:type="dxa"/>
            <w:vAlign w:val="bottom"/>
          </w:tcPr>
          <w:p>
            <w:pPr>
              <w:spacing w:after="0"/>
              <w:rPr>
                <w:sz w:val="1"/>
                <w:szCs w:val="1"/>
                <w:color w:val="auto"/>
              </w:rPr>
            </w:pPr>
          </w:p>
        </w:tc>
      </w:tr>
      <w:tr>
        <w:trPr>
          <w:trHeight w:val="20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Sales and settlements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20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98"/>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Level 3 ending balance at March 31, 2026 and 2025</w:t>
            </w: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108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8"/>
              </w:rPr>
              <w:t>49.3</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 on a Nonrecurring Basis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the carrying value of long-lived assets to be held for use for impairment quarterly or whenever events or changes in circumstances indicate a possible impairment. During the three months ended March 31, 2025, we recognized asset impairment charges of $20.5 million related to pre-construction development costs at seven of our MH and RV properties for which the related development projects were no longer probable of being realized. The impairment charges reduced the aggregate carrying values of the impaired properties to $93.4 million. The fair value measurement was determined by estimating discounted cash flows using certain unobservable Level 3 inputs, based on the expectation that the development projects are no longer probable</w:t>
      </w:r>
    </w:p>
    <w:p>
      <w:pPr>
        <w:spacing w:after="0" w:line="3" w:lineRule="exact"/>
        <w:rPr>
          <w:sz w:val="20"/>
          <w:szCs w:val="20"/>
          <w:color w:val="auto"/>
        </w:rPr>
      </w:pPr>
    </w:p>
    <w:p>
      <w:pPr>
        <w:spacing w:after="0"/>
        <w:tabs>
          <w:tab w:leader="none" w:pos="5180" w:val="left"/>
          <w:tab w:leader="none" w:pos="10600" w:val="left"/>
        </w:tabs>
        <w:rPr>
          <w:sz w:val="20"/>
          <w:szCs w:val="20"/>
          <w:color w:val="auto"/>
        </w:rPr>
      </w:pP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being</w:t>
      </w:r>
      <w:r>
        <w:rPr>
          <w:sz w:val="20"/>
          <w:szCs w:val="20"/>
          <w:color w:val="auto"/>
        </w:rPr>
        <w:tab/>
      </w:r>
      <w:r>
        <w:rPr>
          <w:rFonts w:ascii="Times New Roman" w:cs="Times New Roman" w:eastAsia="Times New Roman" w:hAnsi="Times New Roman"/>
          <w:sz w:val="18"/>
          <w:szCs w:val="18"/>
          <w:color w:val="auto"/>
        </w:rPr>
        <w:t>realized.</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fair value estimates. Since we review our long-lived assets to be held for use using undiscounted cash flows to determine the recoverability of the carrying value of the assets, our strategy of holding properties over the long term decreases the likelihood of recording an impairment loss. Accordingly, we will continue to monitor circumstances and events in future periods, such as a change in strategy for an investment property that could indicate a shorter holding period, that could affect inputs such as the expected holding period, operating cash flow forecasts, and capitalization rates, utilized to determine whether an impairment charge is necessary. As these inputs are difficult to predict and are subject to future events that may alter our assumptions, the future cash flows estimated by management in its impairment analysis may not be achieved, and actual losses or impairment charges may be realized in the future, which could be material to our financial statements. The fair value estimates are based on information available as of March 31, 2026. As such, our estimates of fair value could differ significantly from the actual carrying value.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 Class Action Litigation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Since August 31, 2023, several putative class action complaints have been filed in the U.S. District Court for the Northern District of Illinois, Eastern Division, against Datacomp Appraisal Systems, Inc., us, and several other large MH operators in the U.S. The complaints allege that the defendants have violated federal antitrust laws by sharing and receiving competitively sensitive non-public information to maintain artificially high site rents. The complaints have been consolidated into the case captioned </w:t>
      </w:r>
      <w:r>
        <w:rPr>
          <w:rFonts w:ascii="Times New Roman" w:cs="Times New Roman" w:eastAsia="Times New Roman" w:hAnsi="Times New Roman"/>
          <w:sz w:val="18"/>
          <w:szCs w:val="18"/>
          <w:i w:val="1"/>
          <w:iCs w:val="1"/>
          <w:color w:val="auto"/>
        </w:rPr>
        <w:t>In re Manufactured Home Lot Rents Antitrust Litigation, No. 1:23-cv-06715.</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Plaintiffs seek both injunctive and monetary damages, as well as attorneys' fees. We are unable to estimate a range of loss, if any, that could result were there to be an adverse final decision in this litigation. If an unfavorable result were to occur, it is possible that the impact could be material to our results of operations in the periods in which any such outcome becomes probable and estimable.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plaintiffs' allegations are without merit and intend to defend against them vigorously. However, litigation is inherently uncertain and there can be no assurance regarding the likelihood that our defense of this litigation will be successful.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Proceedings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involved in various other legal proceedings arising in the ordinary course of business. All such proceedings, taken together, are not expected to have a material adverse impact on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Catastrophic Event-Related Charges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Hurricanes Helene and Milton - </w:t>
      </w:r>
      <w:r>
        <w:rPr>
          <w:rFonts w:ascii="Times New Roman" w:cs="Times New Roman" w:eastAsia="Times New Roman" w:hAnsi="Times New Roman"/>
          <w:sz w:val="18"/>
          <w:szCs w:val="18"/>
          <w:color w:val="auto"/>
        </w:rPr>
        <w:t>In September and October 2024, Hurricane Helene and Hurricane Milton, respectively, made landfall in Florida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subsequently impacted several of our properties in the Southeastern and Mid-Atlantic region of the U.S. Estimated property insurance recoveries, excluding business interruption recoveries, of $41.1 million related to Hurricane Helene and Hurricane Milton, were recorded in Notes and other receivables, net, on the Consolidated Balance Sheets as of March 31, 2026. The table below sets forth changes in estimated property insurance recoveries, excluding business interruption recoveries (in millions):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Total estimated insurance receivable -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Change in estimated property insurance recoveries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Proceeds received from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Total estimated insurance receivable - March 31, 2026</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2026</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0" w:type="dxa"/>
            <w:vAlign w:val="bottom"/>
            <w:tcBorders>
              <w:top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w:t>
            </w:r>
          </w:p>
        </w:tc>
      </w:tr>
      <w:tr>
        <w:trPr>
          <w:trHeight w:val="199"/>
        </w:trPr>
        <w:tc>
          <w:tcPr>
            <w:tcW w:w="8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7"/>
        </w:trPr>
        <w:tc>
          <w:tcPr>
            <w:tcW w:w="8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98"/>
        </w:trPr>
        <w:tc>
          <w:tcPr>
            <w:tcW w:w="8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41.1</w:t>
            </w:r>
          </w:p>
        </w:tc>
      </w:tr>
      <w:tr>
        <w:trPr>
          <w:trHeight w:val="23"/>
        </w:trPr>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8640" w:space="720"/>
            <w:col w:w="1880"/>
          </w:cols>
          <w:pgMar w:left="320" w:top="124"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estimates are based on current information available, and we continue to assess these estimates. Actual charges and insurance recoveries could vary significantly from these estimates. Any changes to these estimates will be recognized in the period(s) in which they are determined.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land under non-cancelable operating leases at certain MH, RV, and UK properties expiring at various dates through 2100. The majority of the leases have terms requiring fixed payments plus additional rents based on a percentage of revenues at those properties. We also have other operating leases, primarily office space and equipment expiring at various dates through 2042.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March 31, 2026 where we are the lessee include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Finance Leases</w:t>
            </w:r>
          </w:p>
        </w:tc>
        <w:tc>
          <w:tcPr>
            <w:tcW w:w="20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380" w:type="dxa"/>
            <w:vAlign w:val="bottom"/>
          </w:tcPr>
          <w:p>
            <w:pPr>
              <w:spacing w:after="0"/>
              <w:rPr>
                <w:sz w:val="17"/>
                <w:szCs w:val="17"/>
                <w:color w:val="auto"/>
              </w:rPr>
            </w:pPr>
          </w:p>
        </w:tc>
        <w:tc>
          <w:tcPr>
            <w:tcW w:w="1340" w:type="dxa"/>
            <w:vAlign w:val="bottom"/>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 (excluding three months ended March 31, 2026)</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200"/>
        </w:trPr>
        <w:tc>
          <w:tcPr>
            <w:tcW w:w="5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20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200"/>
        </w:trPr>
        <w:tc>
          <w:tcPr>
            <w:tcW w:w="5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0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2030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20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71.8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106.5</w:t>
            </w:r>
          </w:p>
        </w:tc>
      </w:tr>
      <w:tr>
        <w:trPr>
          <w:trHeight w:val="198"/>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Lease Payments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92.6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130.7</w:t>
            </w:r>
          </w:p>
        </w:tc>
      </w:tr>
      <w:tr>
        <w:trPr>
          <w:trHeight w:val="20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(85.2)</w:t>
            </w:r>
          </w:p>
        </w:tc>
      </w:tr>
      <w:tr>
        <w:trPr>
          <w:trHeight w:val="223"/>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Present Value of Lease Liabilities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Right-of-use ("ROU") assets and lease liabilities for finance and operating leases as included in our Consolidated Balance Sheets are as follows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14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Financial Statement</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1560" w:type="dxa"/>
            <w:vAlign w:val="bottom"/>
            <w:tcBorders>
              <w:bottom w:val="single" w:sz="8" w:color="auto"/>
            </w:tcBorders>
          </w:tcPr>
          <w:p>
            <w:pPr>
              <w:spacing w:after="0"/>
              <w:rPr>
                <w:sz w:val="18"/>
                <w:szCs w:val="18"/>
                <w:color w:val="auto"/>
              </w:rPr>
            </w:pPr>
          </w:p>
        </w:tc>
      </w:tr>
      <w:tr>
        <w:trPr>
          <w:trHeight w:val="196"/>
        </w:trPr>
        <w:tc>
          <w:tcPr>
            <w:tcW w:w="5420" w:type="dxa"/>
            <w:vAlign w:val="bottom"/>
          </w:tcPr>
          <w:p>
            <w:pPr>
              <w:spacing w:after="0"/>
              <w:rPr>
                <w:sz w:val="17"/>
                <w:szCs w:val="17"/>
                <w:color w:val="auto"/>
              </w:rPr>
            </w:pPr>
          </w:p>
        </w:tc>
        <w:tc>
          <w:tcPr>
            <w:tcW w:w="2140" w:type="dxa"/>
            <w:vAlign w:val="bottom"/>
            <w:gridSpan w:val="2"/>
          </w:tcPr>
          <w:p>
            <w:pPr>
              <w:ind w:left="60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240" w:type="dxa"/>
            <w:vAlign w:val="bottom"/>
          </w:tcPr>
          <w:p>
            <w:pPr>
              <w:spacing w:after="0"/>
              <w:rPr>
                <w:sz w:val="17"/>
                <w:szCs w:val="17"/>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83"/>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Assets</w:t>
            </w:r>
          </w:p>
        </w:tc>
        <w:tc>
          <w:tcPr>
            <w:tcW w:w="2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r>
      <w:tr>
        <w:trPr>
          <w:trHeight w:val="200"/>
        </w:trPr>
        <w:tc>
          <w:tcPr>
            <w:tcW w:w="5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Finance lease, ROU asset, net of accumulated amortization</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Investment property, net</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w:t>
            </w:r>
          </w:p>
        </w:tc>
      </w:tr>
      <w:tr>
        <w:trPr>
          <w:trHeight w:val="20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ROU asset, net</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 net</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w:t>
            </w:r>
          </w:p>
        </w:tc>
      </w:tr>
      <w:tr>
        <w:trPr>
          <w:trHeight w:val="202"/>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Lease Liabilities</w:t>
            </w: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r>
      <w:tr>
        <w:trPr>
          <w:trHeight w:val="198"/>
        </w:trPr>
        <w:tc>
          <w:tcPr>
            <w:tcW w:w="5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for finance and operating leases as included in our Consolidated Statements of Operations 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6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2"/>
        </w:trPr>
        <w:tc>
          <w:tcPr>
            <w:tcW w:w="2360" w:type="dxa"/>
            <w:vAlign w:val="bottom"/>
          </w:tcPr>
          <w:p>
            <w:pPr>
              <w:spacing w:after="0"/>
              <w:rPr>
                <w:sz w:val="17"/>
                <w:szCs w:val="17"/>
                <w:color w:val="auto"/>
              </w:rPr>
            </w:pPr>
          </w:p>
        </w:tc>
        <w:tc>
          <w:tcPr>
            <w:tcW w:w="5800" w:type="dxa"/>
            <w:vAlign w:val="bottom"/>
            <w:gridSpan w:val="2"/>
          </w:tcPr>
          <w:p>
            <w:pPr>
              <w:ind w:left="1740"/>
              <w:spacing w:after="0"/>
              <w:rPr>
                <w:sz w:val="20"/>
                <w:szCs w:val="20"/>
                <w:color w:val="auto"/>
              </w:rPr>
            </w:pPr>
            <w:r>
              <w:rPr>
                <w:rFonts w:ascii="Times New Roman" w:cs="Times New Roman" w:eastAsia="Times New Roman" w:hAnsi="Times New Roman"/>
                <w:sz w:val="15"/>
                <w:szCs w:val="15"/>
                <w:b w:val="1"/>
                <w:bCs w:val="1"/>
                <w:color w:val="auto"/>
              </w:rPr>
              <w:t>Financial Statement Classification</w:t>
            </w:r>
          </w:p>
        </w:tc>
        <w:tc>
          <w:tcPr>
            <w:tcW w:w="300" w:type="dxa"/>
            <w:vAlign w:val="bottom"/>
          </w:tcPr>
          <w:p>
            <w:pPr>
              <w:spacing w:after="0"/>
              <w:rPr>
                <w:sz w:val="17"/>
                <w:szCs w:val="17"/>
                <w:color w:val="auto"/>
              </w:rPr>
            </w:pPr>
          </w:p>
        </w:tc>
        <w:tc>
          <w:tcPr>
            <w:tcW w:w="1140" w:type="dxa"/>
            <w:vAlign w:val="bottom"/>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83"/>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Cost</w:t>
            </w:r>
          </w:p>
        </w:tc>
        <w:tc>
          <w:tcPr>
            <w:tcW w:w="5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r>
      <w:tr>
        <w:trPr>
          <w:trHeight w:val="200"/>
        </w:trPr>
        <w:tc>
          <w:tcPr>
            <w:tcW w:w="2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Amortization of ROU assets</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on lease liabilities</w:t>
            </w: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158"/>
        </w:trPr>
        <w:tc>
          <w:tcPr>
            <w:tcW w:w="236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Operating lease cost</w:t>
            </w:r>
          </w:p>
        </w:tc>
        <w:tc>
          <w:tcPr>
            <w:tcW w:w="58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General and administrative expense, Property operating and maintenance,</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2"/>
        </w:trPr>
        <w:tc>
          <w:tcPr>
            <w:tcW w:w="2360" w:type="dxa"/>
            <w:vAlign w:val="bottom"/>
          </w:tcPr>
          <w:p>
            <w:pPr>
              <w:spacing w:after="0"/>
              <w:rPr>
                <w:sz w:val="17"/>
                <w:szCs w:val="17"/>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20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Variable lease cost</w:t>
            </w: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operating and maintenance</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196"/>
        </w:trPr>
        <w:tc>
          <w:tcPr>
            <w:tcW w:w="2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Lease Cost</w:t>
            </w:r>
          </w:p>
        </w:tc>
        <w:tc>
          <w:tcPr>
            <w:tcW w:w="5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2.3</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
        </w:trPr>
        <w:tc>
          <w:tcPr>
            <w:tcW w:w="23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discount rates, and additional information for finance and operating leases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80" w:type="dxa"/>
            <w:vAlign w:val="bottom"/>
          </w:tcPr>
          <w:p>
            <w:pPr>
              <w:spacing w:after="0"/>
              <w:rPr>
                <w:sz w:val="17"/>
                <w:szCs w:val="17"/>
                <w:color w:val="auto"/>
              </w:rPr>
            </w:pPr>
          </w:p>
        </w:tc>
        <w:tc>
          <w:tcPr>
            <w:tcW w:w="2140" w:type="dxa"/>
            <w:vAlign w:val="bottom"/>
            <w:tcBorders>
              <w:bottom w:val="single" w:sz="8" w:color="auto"/>
            </w:tcBorders>
            <w:gridSpan w:val="3"/>
          </w:tcPr>
          <w:p>
            <w:pPr>
              <w:ind w:left="170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20" w:type="dxa"/>
            <w:vAlign w:val="bottom"/>
            <w:tcBorders>
              <w:bottom w:val="single" w:sz="8" w:color="auto"/>
            </w:tcBorders>
          </w:tcPr>
          <w:p>
            <w:pPr>
              <w:spacing w:after="0"/>
              <w:rPr>
                <w:sz w:val="17"/>
                <w:szCs w:val="17"/>
                <w:color w:val="auto"/>
              </w:rPr>
            </w:pPr>
          </w:p>
        </w:tc>
      </w:tr>
      <w:tr>
        <w:trPr>
          <w:trHeight w:val="200"/>
        </w:trPr>
        <w:tc>
          <w:tcPr>
            <w:tcW w:w="7480" w:type="dxa"/>
            <w:vAlign w:val="bottom"/>
          </w:tcPr>
          <w:p>
            <w:pPr>
              <w:spacing w:after="0"/>
              <w:rPr>
                <w:sz w:val="17"/>
                <w:szCs w:val="17"/>
                <w:color w:val="auto"/>
              </w:rPr>
            </w:pPr>
          </w:p>
        </w:tc>
        <w:tc>
          <w:tcPr>
            <w:tcW w:w="2140" w:type="dxa"/>
            <w:vAlign w:val="bottom"/>
            <w:gridSpan w:val="3"/>
          </w:tcPr>
          <w:p>
            <w:pPr>
              <w:ind w:left="38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6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83"/>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Term and Discount Rate</w:t>
            </w:r>
          </w:p>
        </w:tc>
        <w:tc>
          <w:tcPr>
            <w:tcW w:w="1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r>
      <w:tr>
        <w:trPr>
          <w:trHeight w:val="202"/>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Weighted-average Remaining Lease Terms (years)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Finance lease</w:t>
            </w:r>
          </w:p>
        </w:tc>
        <w:tc>
          <w:tcPr>
            <w:tcW w:w="17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47.59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64.60</w:t>
            </w:r>
          </w:p>
        </w:tc>
      </w:tr>
      <w:tr>
        <w:trPr>
          <w:trHeight w:val="200"/>
        </w:trPr>
        <w:tc>
          <w:tcPr>
            <w:tcW w:w="7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lease</w:t>
            </w:r>
          </w:p>
        </w:tc>
        <w:tc>
          <w:tcPr>
            <w:tcW w:w="178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31.63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52.07</w:t>
            </w:r>
          </w:p>
        </w:tc>
      </w:tr>
      <w:tr>
        <w:trPr>
          <w:trHeight w:val="20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Weighted-average Discount Rate</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0"/>
        </w:trPr>
        <w:tc>
          <w:tcPr>
            <w:tcW w:w="7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Finance lease</w:t>
            </w:r>
          </w:p>
        </w:tc>
        <w:tc>
          <w:tcPr>
            <w:tcW w:w="1780" w:type="dxa"/>
            <w:vAlign w:val="bottom"/>
          </w:tcPr>
          <w:p>
            <w:pPr>
              <w:ind w:left="1320"/>
              <w:spacing w:after="0"/>
              <w:rPr>
                <w:sz w:val="20"/>
                <w:szCs w:val="20"/>
                <w:color w:val="auto"/>
              </w:rPr>
            </w:pPr>
            <w:r>
              <w:rPr>
                <w:rFonts w:ascii="Times New Roman" w:cs="Times New Roman" w:eastAsia="Times New Roman" w:hAnsi="Times New Roman"/>
                <w:sz w:val="15"/>
                <w:szCs w:val="15"/>
                <w:color w:val="auto"/>
              </w:rPr>
              <w:t>6.14 %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6.15 %</w:t>
            </w:r>
          </w:p>
        </w:tc>
      </w:tr>
      <w:tr>
        <w:trPr>
          <w:trHeight w:val="205"/>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w:t>
            </w:r>
          </w:p>
        </w:tc>
        <w:tc>
          <w:tcPr>
            <w:tcW w:w="17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5.24 %</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5.24 %</w:t>
            </w:r>
          </w:p>
        </w:tc>
      </w:tr>
    </w:tbl>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6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r>
      <w:tr>
        <w:trPr>
          <w:trHeight w:val="200"/>
        </w:trPr>
        <w:tc>
          <w:tcPr>
            <w:tcW w:w="76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Borders>
              <w:bottom w:val="single" w:sz="8" w:color="auto"/>
            </w:tcBorders>
          </w:tcPr>
          <w:p>
            <w:pPr>
              <w:spacing w:after="0"/>
              <w:rPr>
                <w:sz w:val="17"/>
                <w:szCs w:val="17"/>
                <w:color w:val="auto"/>
              </w:rPr>
            </w:pPr>
          </w:p>
        </w:tc>
      </w:tr>
      <w:tr>
        <w:trPr>
          <w:trHeight w:val="18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 (in millions)</w:t>
            </w:r>
          </w:p>
        </w:tc>
        <w:tc>
          <w:tcPr>
            <w:tcW w:w="1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00"/>
        </w:trPr>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5"/>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cash outflows for operating leases</w:t>
            </w: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0"/>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Financing cash outflows for finance leases</w:t>
            </w: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23"/>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Cash Paid on Lease Liabilities</w:t>
            </w:r>
          </w:p>
        </w:tc>
        <w:tc>
          <w:tcPr>
            <w:tcW w:w="1220" w:type="dxa"/>
            <w:vAlign w:val="bottom"/>
            <w:tcBorders>
              <w:bottom w:val="single" w:sz="8" w:color="auto"/>
            </w:tcBorders>
            <w:shd w:val="clear" w:color="auto" w:fill="CCEEFF"/>
          </w:tcPr>
          <w:p>
            <w:pPr>
              <w:jc w:val="right"/>
              <w:ind w:right="104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4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the lessor for any finance leases at our properties as of March 31, 2026. Nearly all of our operating leases with our residents and customers at our properties where we are the lessor are for a time period not to exceed one year or month-to-month. As of March 31, 2026, future minimum lease payments with our residents or customers would not exceed 12 months.</w:t>
      </w:r>
    </w:p>
    <w:p>
      <w:pPr>
        <w:spacing w:after="0" w:line="68" w:lineRule="exact"/>
        <w:rPr>
          <w:sz w:val="20"/>
          <w:szCs w:val="20"/>
          <w:color w:val="auto"/>
        </w:rPr>
      </w:pPr>
    </w:p>
    <w:p>
      <w:pPr>
        <w:ind w:right="1420"/>
        <w:spacing w:after="0" w:line="375" w:lineRule="auto"/>
        <w:rPr>
          <w:sz w:val="20"/>
          <w:szCs w:val="20"/>
          <w:color w:val="auto"/>
        </w:rPr>
      </w:pPr>
      <w:r>
        <w:rPr>
          <w:rFonts w:ascii="Times New Roman" w:cs="Times New Roman" w:eastAsia="Times New Roman" w:hAnsi="Times New Roman"/>
          <w:sz w:val="18"/>
          <w:szCs w:val="18"/>
          <w:color w:val="auto"/>
        </w:rPr>
        <w:t xml:space="preserve">Future minimum lease payments for operating leases with real estate operators at our properties were not material as of March 31, 2026. </w:t>
      </w:r>
      <w:r>
        <w:rPr>
          <w:rFonts w:ascii="Times New Roman" w:cs="Times New Roman" w:eastAsia="Times New Roman" w:hAnsi="Times New Roman"/>
          <w:sz w:val="18"/>
          <w:szCs w:val="18"/>
          <w:i w:val="1"/>
          <w:iCs w:val="1"/>
          <w:color w:val="auto"/>
        </w:rPr>
        <w:t>Early Lease Termination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repurchased the title to one UK property that was previously controlled via a ground lease for a total cash payment of $10.8 million. In conjunction with the ground lease termination, we recorded a loss of $12.2 million within Other income / (expense), net on the Consolidated Statement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which requires disaggregated disclosure of certain expense captions into specified categories within the footnotes to the financial statements.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is effective for fiscal years beginning after December 15, 2026 and interim reporting periods beginning after December 15, 2027. Early adoption is permitted. We are currently evaluating the provisions of this amendment and the impact on our Consolidated Financial Statements and related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evaluated our Consolidated Financial Statements for subsequent events through the date that this Form 10-Q was issued.</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the consolidated financial condition and results of operations should be read in conjunction with the Consolidated Financial Statements and the accompanying Notes, along with our 2025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fully integrated REIT. As of March 31, 2026, we owned and operated, directly or indirectly, or had an interest in, a portfolio of 515 developed properties located in the U.S., Canada, and the United Kingdom including 295 MH communities, 166 RV communities, and 54 UK communities.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in the business of operating, acquiring, developing and expanding MH and RV communities since 1975, and communities in the United Kingdom since 2022. We lease individual parcels of land, or sites, with utility access for the placement of manufactured homes and RVs to our MH, RV, and UK customers. Our MH communities are designed to offer affordable housing to individuals and families, while also providing certain amenities. In the U.S., we are also engaged in the marketing, selling and leasing of new and pre-owned homes to current and future residents in our MH communities. The rental program operations within our MH communities support and enhance our occupancy levels, property performance and cash flows. Our RV communities are designed to offer affordable vacation opportunities to individuals and families complemented by a diverse selection of high-quality amenities. In the United Kingdom, our UK communities are referred to as "holiday parks" and are located predominantly at irreplaceable seaside destinations in the south of England. We provide holiday home sales and associated site license activities to holiday homeowners in our communities.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 the past several years, we have shifted our strategy toward optimizing the value of our core business through achieving strong rental rate growth and operating efficiencies, while also pursuing select new acquisition opportunities that meet our capital investment criteria. In 2025, the Safe Harbor Sale advanced our strategy of focusing on our core business and enhanced our leverage profile and financial flexibility. Our current objectives include continuing to streamline our operations with an emphasis on our reliable real property income, while also selectively pursuing MH and RV acquisition opportunities. We believe we are positioned for organic growth in 2026 with expected rental rate increases, occupancy gains, and expense management as we focus on increasing long-term value for shareholders.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Annual Report on Form 10-K for the year ended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results reported in accordance with GAAP in our "Results of Operations" below, we have provided information regarding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NOI</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Total Portfolio NOI - </w:t>
      </w:r>
      <w:r>
        <w:rPr>
          <w:rFonts w:ascii="Times New Roman" w:cs="Times New Roman" w:eastAsia="Times New Roman" w:hAnsi="Times New Roman"/>
          <w:sz w:val="18"/>
          <w:szCs w:val="18"/>
          <w:color w:val="auto"/>
        </w:rPr>
        <w:t>NOI is derived from property operating revenues minus property operating expenses and real estate taxes. NOI is a non-GAAP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 We believe that NOI provides enhanced comparability for investor evaluation of property performance and growth over time.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GAAP net income (loss) is the most directly comparable measure to NOI. NOI should not be considered to be an alternative to GAAP net income (loss) as an indication of our financial performance or GAAP net cash provided by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Same Property NOI </w:t>
      </w:r>
      <w:r>
        <w:rPr>
          <w:rFonts w:ascii="Times New Roman" w:cs="Times New Roman" w:eastAsia="Times New Roman" w:hAnsi="Times New Roman"/>
          <w:sz w:val="18"/>
          <w:szCs w:val="18"/>
          <w:color w:val="auto"/>
        </w:rPr>
        <w:t>- This is a key management tool used when evaluating the performance and growth of our Same Property portfolio. We define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as those we have owned and operated continuously since January 1, 2025. Same properties exclude ground-up development properties, acquired properties, properties classified as discontinued operations, properties impacted by catastrophic weather events, and properties sold after December 31, 2024. The Same Property data may change from time-to-time depending on acquisitions, dispositions, management discretion, significant transactions, or unique situations. Same Property NOI does not include the revenues and expenses related to home sales and ancillary activities at the properties. We believe that Same Property NOI is helpful to investors as a supplemental comparative performance measure of the income generated from the Same Property portfolio from one period to the next. For the UK segment, we present Same Property NOI growth rate information on a constant currency basis to provide a framework for assessing how our underlying properties performed after excluding the effects of changes in exchange rates. We believe that the presentation of UK Same Property NOI on a constant currency basis helps to improve the ability to understand our performance because it excludes the effects of foreign currency volatility which are not indicative of our core operating results in the region.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FFO</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FFO is defined by the National Association of Real Estate Investment Trusts ("Nareit") as GAAP net income (loss), excluding gains (or losses) from sales of certain real estate assets, plus real estate related depreciation and amortization, impairments of certain real estate assets and investments, and after adjustments for nonconsolidated partnerships and joint ventures. FFO is a non-GAAP financial measure that management believes is a useful supplemental measure of our operating performance. By excluding gains and losses related to sales of previously depreciated operating real estate assets, real estate related impairment and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Core FFO </w:t>
      </w:r>
      <w:r>
        <w:rPr>
          <w:rFonts w:ascii="Times New Roman" w:cs="Times New Roman" w:eastAsia="Times New Roman" w:hAnsi="Times New Roman"/>
          <w:sz w:val="18"/>
          <w:szCs w:val="18"/>
          <w:color w:val="auto"/>
        </w:rPr>
        <w:t>- In addition to FFO, we use FFO excluding certain gain and loss items that management considers unrelated to the operational and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our core business ("Core FFO") to evaluate our performance. These adjustments include acquisition and other transaction costs, gains and losses from the early extinguishment of debt, costs related to catastrophic weather events, net of insurance recoveries, gains and losses on foreign currency exchanges, and other miscellaneous non-comparable items, such as restructuring costs.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FFO and Core FFO provide enhanced comparability for investor evaluations of period-over-period results. We believe that GAAP net income (loss) is the most directly comparable measure to FFO. The principal limitation of FFO is that it does not replace GAAP net income (loss) as a financial performance measure or GAAP cash flow from operating activities as a measure of our liquidity.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 Certain financial information has been revised to reflect reclassifications in prior periods to conform to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Net loss attributable to SUI common shareholders to NOI and summarize our consolidated financial results for the three months ended March 31, 2026 and 2025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20" w:type="dxa"/>
            <w:vAlign w:val="bottom"/>
          </w:tcPr>
          <w:p>
            <w:pPr>
              <w:spacing w:after="0"/>
              <w:rPr>
                <w:sz w:val="17"/>
                <w:szCs w:val="17"/>
                <w:color w:val="auto"/>
              </w:rPr>
            </w:pPr>
          </w:p>
        </w:tc>
        <w:tc>
          <w:tcPr>
            <w:tcW w:w="2820" w:type="dxa"/>
            <w:vAlign w:val="bottom"/>
            <w:tcBorders>
              <w:bottom w:val="single" w:sz="8" w:color="auto"/>
            </w:tcBorders>
            <w:gridSpan w:val="5"/>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0"/>
        </w:trPr>
        <w:tc>
          <w:tcPr>
            <w:tcW w:w="84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9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Loss Attributable to SUI Common Shareholders</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w:t>
            </w:r>
          </w:p>
        </w:tc>
      </w:tr>
      <w:tr>
        <w:trPr>
          <w:trHeight w:val="200"/>
        </w:trPr>
        <w:tc>
          <w:tcPr>
            <w:tcW w:w="84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income</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205"/>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Brokerage commissions and other revenues, net</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0"/>
        </w:trPr>
        <w:tc>
          <w:tcPr>
            <w:tcW w:w="84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w:t>
            </w:r>
          </w:p>
        </w:tc>
      </w:tr>
      <w:tr>
        <w:trPr>
          <w:trHeight w:val="205"/>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0"/>
        </w:trPr>
        <w:tc>
          <w:tcPr>
            <w:tcW w:w="84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w:t>
            </w:r>
          </w:p>
        </w:tc>
      </w:tr>
      <w:tr>
        <w:trPr>
          <w:trHeight w:val="205"/>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Asset impairments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r>
      <w:tr>
        <w:trPr>
          <w:trHeight w:val="200"/>
        </w:trPr>
        <w:tc>
          <w:tcPr>
            <w:tcW w:w="84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expense</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w:t>
            </w:r>
          </w:p>
        </w:tc>
      </w:tr>
      <w:tr>
        <w:trPr>
          <w:trHeight w:val="205"/>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r>
      <w:tr>
        <w:trPr>
          <w:trHeight w:val="200"/>
        </w:trPr>
        <w:tc>
          <w:tcPr>
            <w:tcW w:w="84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disposition of properties</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5"/>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200"/>
        </w:trPr>
        <w:tc>
          <w:tcPr>
            <w:tcW w:w="84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notes receivable</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5"/>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 from nonconsolidated affiliates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0"/>
        </w:trPr>
        <w:tc>
          <w:tcPr>
            <w:tcW w:w="84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on remeasurement of investment in nonconsolidated affiliates</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tax expense</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00"/>
        </w:trPr>
        <w:tc>
          <w:tcPr>
            <w:tcW w:w="84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tax (benefit) / expense</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205"/>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from discontinued operations, net</w:t>
            </w:r>
          </w:p>
        </w:tc>
        <w:tc>
          <w:tcPr>
            <w:tcW w:w="8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r>
      <w:tr>
        <w:trPr>
          <w:trHeight w:val="200"/>
        </w:trPr>
        <w:tc>
          <w:tcPr>
            <w:tcW w:w="84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Add: Preferred return to preferred OP units / equity interests</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5"/>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 Loss attributable to noncontrolling interests</w:t>
            </w:r>
          </w:p>
        </w:tc>
        <w:tc>
          <w:tcPr>
            <w:tcW w:w="8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96"/>
        </w:trPr>
        <w:tc>
          <w:tcPr>
            <w:tcW w:w="84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NOI</w:t>
            </w: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255.4</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238.1</w:t>
            </w:r>
          </w:p>
        </w:tc>
      </w:tr>
      <w:tr>
        <w:trPr>
          <w:trHeight w:val="20"/>
        </w:trPr>
        <w:tc>
          <w:tcPr>
            <w:tcW w:w="8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20" w:type="dxa"/>
            <w:vAlign w:val="bottom"/>
          </w:tcPr>
          <w:p>
            <w:pPr>
              <w:spacing w:after="0"/>
              <w:rPr>
                <w:sz w:val="17"/>
                <w:szCs w:val="17"/>
                <w:color w:val="auto"/>
              </w:rPr>
            </w:pPr>
          </w:p>
        </w:tc>
        <w:tc>
          <w:tcPr>
            <w:tcW w:w="2820" w:type="dxa"/>
            <w:vAlign w:val="bottom"/>
            <w:tcBorders>
              <w:bottom w:val="single" w:sz="8" w:color="auto"/>
            </w:tcBorders>
            <w:gridSpan w:val="5"/>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0"/>
        </w:trPr>
        <w:tc>
          <w:tcPr>
            <w:tcW w:w="84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96"/>
        </w:trPr>
        <w:tc>
          <w:tcPr>
            <w:tcW w:w="8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Real property NOI</w:t>
            </w:r>
            <w:r>
              <w:rPr>
                <w:rFonts w:ascii="Times New Roman" w:cs="Times New Roman" w:eastAsia="Times New Roman" w:hAnsi="Times New Roman"/>
                <w:sz w:val="19"/>
                <w:szCs w:val="19"/>
                <w:color w:val="auto"/>
                <w:vertAlign w:val="superscript"/>
              </w:rPr>
              <w:t>(1)</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226.4</w:t>
            </w:r>
          </w:p>
        </w:tc>
      </w:tr>
      <w:tr>
        <w:trPr>
          <w:trHeight w:val="203"/>
        </w:trPr>
        <w:tc>
          <w:tcPr>
            <w:tcW w:w="842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Home sales NOI</w:t>
            </w:r>
            <w:r>
              <w:rPr>
                <w:rFonts w:ascii="Times New Roman" w:cs="Times New Roman" w:eastAsia="Times New Roman" w:hAnsi="Times New Roman"/>
                <w:sz w:val="19"/>
                <w:szCs w:val="19"/>
                <w:color w:val="auto"/>
                <w:vertAlign w:val="superscript"/>
              </w:rPr>
              <w:t>(1)</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r>
      <w:tr>
        <w:trPr>
          <w:trHeight w:val="202"/>
        </w:trPr>
        <w:tc>
          <w:tcPr>
            <w:tcW w:w="84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Ancillary NOI</w:t>
            </w:r>
            <w:r>
              <w:rPr>
                <w:rFonts w:ascii="Times New Roman" w:cs="Times New Roman" w:eastAsia="Times New Roman" w:hAnsi="Times New Roman"/>
                <w:sz w:val="19"/>
                <w:szCs w:val="19"/>
                <w:color w:val="auto"/>
                <w:vertAlign w:val="superscript"/>
              </w:rPr>
              <w:t>(1)</w:t>
            </w:r>
          </w:p>
        </w:tc>
        <w:tc>
          <w:tcPr>
            <w:tcW w:w="8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96"/>
        </w:trPr>
        <w:tc>
          <w:tcPr>
            <w:tcW w:w="8420" w:type="dxa"/>
            <w:vAlign w:val="bottom"/>
          </w:tcPr>
          <w:p>
            <w:pPr>
              <w:ind w:left="140"/>
              <w:spacing w:after="0" w:line="196" w:lineRule="exact"/>
              <w:rPr>
                <w:sz w:val="20"/>
                <w:szCs w:val="20"/>
                <w:color w:val="auto"/>
              </w:rPr>
            </w:pPr>
            <w:r>
              <w:rPr>
                <w:rFonts w:ascii="Times New Roman" w:cs="Times New Roman" w:eastAsia="Times New Roman" w:hAnsi="Times New Roman"/>
                <w:sz w:val="15"/>
                <w:szCs w:val="15"/>
                <w:b w:val="1"/>
                <w:bCs w:val="1"/>
                <w:color w:val="auto"/>
              </w:rPr>
              <w:t>NOI</w:t>
            </w:r>
            <w:r>
              <w:rPr>
                <w:rFonts w:ascii="Times New Roman" w:cs="Times New Roman" w:eastAsia="Times New Roman" w:hAnsi="Times New Roman"/>
                <w:sz w:val="19"/>
                <w:szCs w:val="19"/>
                <w:color w:val="auto"/>
                <w:vertAlign w:val="superscript"/>
              </w:rPr>
              <w:t>(1)</w:t>
            </w: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255.4</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238.1</w:t>
            </w:r>
          </w:p>
        </w:tc>
      </w:tr>
      <w:tr>
        <w:trPr>
          <w:trHeight w:val="20"/>
        </w:trPr>
        <w:tc>
          <w:tcPr>
            <w:tcW w:w="8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80" w:hanging="172"/>
        <w:spacing w:after="0" w:line="221" w:lineRule="auto"/>
        <w:tabs>
          <w:tab w:leader="none" w:pos="176"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properties classified as discontinued operations. During the three months ended March 31, 2025, our marina properties generated total NOI of $64.3 million which was recorded within Loss from discontinued operations, net on the Consolidated Statements of Operations. Refer to Note 2, "Discontinued Operations," for additional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RV and UK segments are seasonal and the results of operations in any one period may not be indicative of results in future periods.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RV segment,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In the UK segment, vacation rental sites generally produce higher revenues between March and October. During the three months ended March 31, 2026, we recognized aggregate Real property - transient revenue from our segments of $31.4 million in the first quarter.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we recognized Real property - transient revenue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Real property - transient</w:t>
            </w:r>
          </w:p>
        </w:tc>
        <w:tc>
          <w:tcPr>
            <w:tcW w:w="1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5"/>
                <w:szCs w:val="15"/>
                <w:b w:val="1"/>
                <w:bCs w:val="1"/>
                <w:color w:val="auto"/>
              </w:rPr>
              <w:t>During the Three Months Ended</w:t>
            </w:r>
          </w:p>
        </w:tc>
        <w:tc>
          <w:tcPr>
            <w:tcW w:w="1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40" w:type="dxa"/>
            <w:vAlign w:val="bottom"/>
          </w:tcPr>
          <w:p>
            <w:pPr>
              <w:spacing w:after="0"/>
              <w:rPr>
                <w:sz w:val="17"/>
                <w:szCs w:val="17"/>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revenue (in millions)</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52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0" w:type="dxa"/>
            <w:vAlign w:val="bottom"/>
          </w:tcPr>
          <w:p>
            <w:pPr>
              <w:spacing w:after="0"/>
              <w:rPr>
                <w:sz w:val="17"/>
                <w:szCs w:val="17"/>
                <w:color w:val="auto"/>
              </w:rPr>
            </w:pPr>
          </w:p>
        </w:tc>
        <w:tc>
          <w:tcPr>
            <w:tcW w:w="1480" w:type="dxa"/>
            <w:vAlign w:val="bottom"/>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96"/>
        </w:trPr>
        <w:tc>
          <w:tcPr>
            <w:tcW w:w="13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282.8</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28.8 %</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47.2 %</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13.2 %</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Total Portfolio</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real estate operations by segment as of and for the three months ended March 31, 2026 and 2025 (in millions, except for statistical information).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9"/>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Three Months Ended March 31, 2026</w:t>
            </w:r>
          </w:p>
        </w:tc>
        <w:tc>
          <w:tcPr>
            <w:tcW w:w="7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9"/>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Three Months Ended March 31, 2025</w:t>
            </w:r>
          </w:p>
        </w:tc>
        <w:tc>
          <w:tcPr>
            <w:tcW w:w="760" w:type="dxa"/>
            <w:vAlign w:val="bottom"/>
            <w:tcBorders>
              <w:bottom w:val="single" w:sz="8" w:color="auto"/>
            </w:tcBorders>
          </w:tcPr>
          <w:p>
            <w:pPr>
              <w:spacing w:after="0"/>
              <w:rPr>
                <w:sz w:val="17"/>
                <w:szCs w:val="17"/>
                <w:color w:val="auto"/>
              </w:rPr>
            </w:pPr>
          </w:p>
        </w:tc>
      </w:tr>
      <w:tr>
        <w:trPr>
          <w:trHeight w:val="200"/>
        </w:trPr>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MH</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RV</w:t>
            </w:r>
          </w:p>
        </w:tc>
        <w:tc>
          <w:tcPr>
            <w:tcW w:w="24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UK</w:t>
            </w:r>
          </w:p>
        </w:tc>
        <w:tc>
          <w:tcPr>
            <w:tcW w:w="220" w:type="dxa"/>
            <w:vAlign w:val="bottom"/>
          </w:tcPr>
          <w:p>
            <w:pPr>
              <w:spacing w:after="0"/>
              <w:rPr>
                <w:sz w:val="17"/>
                <w:szCs w:val="17"/>
                <w:color w:val="auto"/>
              </w:rPr>
            </w:pP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MH</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RV</w:t>
            </w:r>
          </w:p>
        </w:tc>
        <w:tc>
          <w:tcPr>
            <w:tcW w:w="24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UK</w:t>
            </w:r>
          </w:p>
        </w:tc>
        <w:tc>
          <w:tcPr>
            <w:tcW w:w="220" w:type="dxa"/>
            <w:vAlign w:val="bottom"/>
          </w:tcPr>
          <w:p>
            <w:pPr>
              <w:spacing w:after="0"/>
              <w:rPr>
                <w:sz w:val="17"/>
                <w:szCs w:val="17"/>
                <w:color w:val="auto"/>
              </w:rPr>
            </w:pP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2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r>
      <w:tr>
        <w:trPr>
          <w:trHeight w:val="200"/>
        </w:trPr>
        <w:tc>
          <w:tcPr>
            <w:tcW w:w="2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Real property (excluding transient)</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269.3</w:t>
            </w:r>
          </w:p>
        </w:tc>
        <w:tc>
          <w:tcPr>
            <w:tcW w:w="44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81.3</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35.2</w:t>
            </w:r>
          </w:p>
        </w:tc>
        <w:tc>
          <w:tcPr>
            <w:tcW w:w="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385.8</w:t>
            </w:r>
          </w:p>
        </w:tc>
        <w:tc>
          <w:tcPr>
            <w:tcW w:w="1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248.8</w:t>
            </w:r>
          </w:p>
        </w:tc>
        <w:tc>
          <w:tcPr>
            <w:tcW w:w="44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73.8</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31.3</w:t>
            </w:r>
          </w:p>
        </w:tc>
        <w:tc>
          <w:tcPr>
            <w:tcW w:w="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353.9</w:t>
            </w:r>
          </w:p>
        </w:tc>
      </w:tr>
      <w:tr>
        <w:trPr>
          <w:trHeight w:val="205"/>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Real property - transient</w:t>
            </w: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28.4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31.4</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28.1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30.5</w:t>
            </w:r>
          </w:p>
        </w:tc>
      </w:tr>
      <w:tr>
        <w:trPr>
          <w:trHeight w:val="194"/>
        </w:trPr>
        <w:tc>
          <w:tcPr>
            <w:tcW w:w="2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operating revenues</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109.7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37.7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417.2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33.2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384.4</w:t>
            </w:r>
          </w:p>
        </w:tc>
      </w:tr>
      <w:tr>
        <w:trPr>
          <w:trHeight w:val="205"/>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0"/>
        </w:trPr>
        <w:tc>
          <w:tcPr>
            <w:tcW w:w="2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Property operating expenses</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59.0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27.2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170.3</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76.8</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57.2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24.0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158.0</w:t>
            </w:r>
          </w:p>
        </w:tc>
      </w:tr>
      <w:tr>
        <w:trPr>
          <w:trHeight w:val="22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Real Property NOI</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185.7</w:t>
            </w: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50.7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246.9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172.5</w:t>
            </w: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44.7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9.2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226.4</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5"/>
                <w:szCs w:val="15"/>
                <w:b w:val="1"/>
                <w:bCs w:val="1"/>
                <w:color w:val="auto"/>
              </w:rPr>
              <w:t>As of March 31, 2026</w:t>
            </w:r>
          </w:p>
        </w:tc>
        <w:tc>
          <w:tcPr>
            <w:tcW w:w="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5"/>
                <w:szCs w:val="15"/>
                <w:b w:val="1"/>
                <w:bCs w:val="1"/>
                <w:color w:val="auto"/>
              </w:rPr>
              <w:t>As of March 31, 2025</w:t>
            </w:r>
          </w:p>
        </w:tc>
        <w:tc>
          <w:tcPr>
            <w:tcW w:w="980" w:type="dxa"/>
            <w:vAlign w:val="bottom"/>
            <w:tcBorders>
              <w:bottom w:val="single" w:sz="8" w:color="auto"/>
            </w:tcBorders>
          </w:tcPr>
          <w:p>
            <w:pPr>
              <w:spacing w:after="0"/>
              <w:rPr>
                <w:sz w:val="17"/>
                <w:szCs w:val="17"/>
                <w:color w:val="auto"/>
              </w:rPr>
            </w:pPr>
          </w:p>
        </w:tc>
      </w:tr>
      <w:tr>
        <w:trPr>
          <w:trHeight w:val="200"/>
        </w:trPr>
        <w:tc>
          <w:tcPr>
            <w:tcW w:w="2720" w:type="dxa"/>
            <w:vAlign w:val="bottom"/>
          </w:tcPr>
          <w:p>
            <w:pPr>
              <w:spacing w:after="0"/>
              <w:rPr>
                <w:sz w:val="17"/>
                <w:szCs w:val="17"/>
                <w:color w:val="auto"/>
              </w:rPr>
            </w:pP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MH</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RV</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UK</w:t>
            </w: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Pr>
          <w:p>
            <w:pPr>
              <w:spacing w:after="0"/>
              <w:rPr>
                <w:sz w:val="17"/>
                <w:szCs w:val="17"/>
                <w:color w:val="auto"/>
              </w:rPr>
            </w:pP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MH</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RV</w:t>
            </w: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UK</w:t>
            </w: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96"/>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Number of Properties</w:t>
            </w:r>
          </w:p>
        </w:tc>
        <w:tc>
          <w:tcPr>
            <w:tcW w:w="9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295</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166</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515</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284</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165</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502</w:t>
            </w:r>
          </w:p>
        </w:tc>
      </w:tr>
      <w:tr>
        <w:trPr>
          <w:trHeight w:val="202"/>
        </w:trPr>
        <w:tc>
          <w:tcPr>
            <w:tcW w:w="2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Sites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72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5"/>
                <w:szCs w:val="15"/>
                <w:color w:val="auto"/>
              </w:rPr>
              <w:t>Sites</w:t>
            </w:r>
            <w:r>
              <w:rPr>
                <w:rFonts w:ascii="Times New Roman" w:cs="Times New Roman" w:eastAsia="Times New Roman" w:hAnsi="Times New Roman"/>
                <w:sz w:val="19"/>
                <w:szCs w:val="19"/>
                <w:color w:val="auto"/>
                <w:vertAlign w:val="superscript"/>
              </w:rPr>
              <w:t>(1)</w:t>
            </w:r>
          </w:p>
        </w:tc>
        <w:tc>
          <w:tcPr>
            <w:tcW w:w="9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100,830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32,730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17,780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151,340</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97,320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31,960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17,510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146,790</w:t>
            </w:r>
          </w:p>
        </w:tc>
      </w:tr>
      <w:tr>
        <w:trPr>
          <w:trHeight w:val="200"/>
        </w:trPr>
        <w:tc>
          <w:tcPr>
            <w:tcW w:w="2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Transient sites</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N/A</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23,820</w:t>
            </w:r>
          </w:p>
        </w:tc>
        <w:tc>
          <w:tcPr>
            <w:tcW w:w="80" w:type="dxa"/>
            <w:vAlign w:val="bottom"/>
          </w:tcPr>
          <w:p>
            <w:pPr>
              <w:spacing w:after="0"/>
              <w:rPr>
                <w:sz w:val="17"/>
                <w:szCs w:val="17"/>
                <w:color w:val="auto"/>
              </w:rPr>
            </w:pPr>
          </w:p>
        </w:tc>
        <w:tc>
          <w:tcPr>
            <w:tcW w:w="9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4,140</w:t>
            </w:r>
          </w:p>
        </w:tc>
        <w:tc>
          <w:tcPr>
            <w:tcW w:w="8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27,960</w:t>
            </w:r>
          </w:p>
        </w:tc>
        <w:tc>
          <w:tcPr>
            <w:tcW w:w="180" w:type="dxa"/>
            <w:vAlign w:val="bottom"/>
          </w:tcPr>
          <w:p>
            <w:pPr>
              <w:spacing w:after="0"/>
              <w:rPr>
                <w:sz w:val="17"/>
                <w:szCs w:val="17"/>
                <w:color w:val="auto"/>
              </w:rPr>
            </w:pP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N/A</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23,810</w:t>
            </w:r>
          </w:p>
        </w:tc>
        <w:tc>
          <w:tcPr>
            <w:tcW w:w="8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4,250</w:t>
            </w:r>
          </w:p>
        </w:tc>
        <w:tc>
          <w:tcPr>
            <w:tcW w:w="8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28,060</w:t>
            </w:r>
          </w:p>
        </w:tc>
      </w:tr>
      <w:tr>
        <w:trPr>
          <w:trHeight w:val="198"/>
        </w:trPr>
        <w:tc>
          <w:tcPr>
            <w:tcW w:w="27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9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100,830</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56,550</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21,920</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179,300</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97,320</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55,770</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21,760</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174,850</w:t>
            </w:r>
          </w:p>
        </w:tc>
      </w:tr>
      <w:tr>
        <w:trPr>
          <w:trHeight w:val="202"/>
        </w:trPr>
        <w:tc>
          <w:tcPr>
            <w:tcW w:w="2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Occupancy</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97.1 %</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88.8 %</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96.8 %</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97.3 %</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89.8 %</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97.0 %</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 N/A = Not applicable.</w:t>
      </w:r>
    </w:p>
    <w:p>
      <w:pPr>
        <w:spacing w:after="0" w:line="21" w:lineRule="exact"/>
        <w:rPr>
          <w:sz w:val="20"/>
          <w:szCs w:val="20"/>
          <w:color w:val="auto"/>
        </w:rPr>
      </w:pPr>
    </w:p>
    <w:p>
      <w:pPr>
        <w:ind w:left="180" w:hanging="172"/>
        <w:spacing w:after="0" w:line="225" w:lineRule="auto"/>
        <w:tabs>
          <w:tab w:leader="none" w:pos="163"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MH annual sites included 12,800 and 11,262 rental homes in our rental program as of March 31, 2026 and 2025, respectively. Our gross investment in occupied rental homes at March 31, 2026 was $961.0 million, an increase of 18.3% from $812.1 million at March 31, 2025.</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$20.5 million, or 9.1% increase in Real Property NOI as compared to the same period in 2025, consists of an increase of $10.8 million from Same Property MH NOI, an increase of $2.8 million from Same Property RV NOI, an increase of $0.2 million from Same Property UK NOI, and an NOI increase of $6.7 million, net from other recently acquired or developed properties and other items.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North America Same Property Portfolio</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evaluate the growth of the Same Property portfolio, management has classified certain items differently than our GAAP statements. The reclassification difference between our GAAP statements and our Same Property portfolio is the reclassification of utility revenues from real property revenue to operating expenses. A significant portion of our utility charges are re-billed to our residents. Additionally, for the UK segment, the amounts in the tables below reflect constant currency for comparative purposes.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Same Property MH and RV portfolios as of and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(in millions, except for statistical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213"/>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center"/>
              <w:spacing w:after="0" w:line="203" w:lineRule="exact"/>
              <w:rPr>
                <w:sz w:val="20"/>
                <w:szCs w:val="20"/>
                <w:color w:val="auto"/>
              </w:rPr>
            </w:pPr>
            <w:r>
              <w:rPr>
                <w:rFonts w:ascii="Times New Roman" w:cs="Times New Roman" w:eastAsia="Times New Roman" w:hAnsi="Times New Roman"/>
                <w:sz w:val="15"/>
                <w:szCs w:val="15"/>
                <w:b w:val="1"/>
                <w:bCs w:val="1"/>
                <w:color w:val="auto"/>
                <w:w w:val="96"/>
              </w:rPr>
              <w:t>% Change</w:t>
            </w:r>
            <w:r>
              <w:rPr>
                <w:rFonts w:ascii="Times New Roman" w:cs="Times New Roman" w:eastAsia="Times New Roman" w:hAnsi="Times New Roman"/>
                <w:sz w:val="19"/>
                <w:szCs w:val="19"/>
                <w:b w:val="1"/>
                <w:bCs w:val="1"/>
                <w:color w:val="auto"/>
                <w:w w:val="96"/>
                <w:vertAlign w:val="superscript"/>
              </w:rPr>
              <w:t>(2)</w:t>
            </w:r>
          </w:p>
        </w:tc>
        <w:tc>
          <w:tcPr>
            <w:tcW w:w="760" w:type="dxa"/>
            <w:vAlign w:val="bottom"/>
            <w:tcBorders>
              <w:bottom w:val="single" w:sz="8" w:color="auto"/>
            </w:tcBorders>
          </w:tcPr>
          <w:p>
            <w:pPr>
              <w:spacing w:after="0"/>
              <w:rPr>
                <w:sz w:val="18"/>
                <w:szCs w:val="18"/>
                <w:color w:val="auto"/>
              </w:rPr>
            </w:pPr>
          </w:p>
        </w:tc>
      </w:tr>
      <w:tr>
        <w:trPr>
          <w:trHeight w:val="183"/>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21"/>
                <w:szCs w:val="21"/>
                <w:b w:val="1"/>
                <w:bCs w:val="1"/>
                <w:color w:val="auto"/>
                <w:vertAlign w:val="subscript"/>
              </w:rPr>
              <w:t>MH</w:t>
            </w:r>
            <w:r>
              <w:rPr>
                <w:rFonts w:ascii="Times New Roman" w:cs="Times New Roman" w:eastAsia="Times New Roman" w:hAnsi="Times New Roman"/>
                <w:sz w:val="8"/>
                <w:szCs w:val="8"/>
                <w:b w:val="1"/>
                <w:bCs w:val="1"/>
                <w:color w:val="auto"/>
              </w:rPr>
              <w:t>(1)</w:t>
            </w:r>
          </w:p>
        </w:tc>
        <w:tc>
          <w:tcPr>
            <w:tcW w:w="140" w:type="dxa"/>
            <w:vAlign w:val="bottom"/>
          </w:tcPr>
          <w:p>
            <w:pPr>
              <w:spacing w:after="0"/>
              <w:rPr>
                <w:sz w:val="15"/>
                <w:szCs w:val="15"/>
                <w:color w:val="auto"/>
              </w:rPr>
            </w:pPr>
          </w:p>
        </w:tc>
        <w:tc>
          <w:tcPr>
            <w:tcW w:w="66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21"/>
                <w:szCs w:val="21"/>
                <w:b w:val="1"/>
                <w:bCs w:val="1"/>
                <w:color w:val="auto"/>
                <w:vertAlign w:val="subscript"/>
              </w:rPr>
              <w:t>RV</w:t>
            </w:r>
            <w:r>
              <w:rPr>
                <w:rFonts w:ascii="Times New Roman" w:cs="Times New Roman" w:eastAsia="Times New Roman" w:hAnsi="Times New Roman"/>
                <w:sz w:val="8"/>
                <w:szCs w:val="8"/>
                <w:b w:val="1"/>
                <w:bCs w:val="1"/>
                <w:color w:val="auto"/>
              </w:rPr>
              <w:t>(1)</w:t>
            </w:r>
          </w:p>
        </w:tc>
        <w:tc>
          <w:tcPr>
            <w:tcW w:w="160" w:type="dxa"/>
            <w:vAlign w:val="bottom"/>
          </w:tcPr>
          <w:p>
            <w:pPr>
              <w:spacing w:after="0"/>
              <w:rPr>
                <w:sz w:val="15"/>
                <w:szCs w:val="15"/>
                <w:color w:val="auto"/>
              </w:rPr>
            </w:pPr>
          </w:p>
        </w:tc>
        <w:tc>
          <w:tcPr>
            <w:tcW w:w="58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21"/>
                <w:szCs w:val="21"/>
                <w:b w:val="1"/>
                <w:bCs w:val="1"/>
                <w:color w:val="auto"/>
                <w:vertAlign w:val="subscript"/>
              </w:rPr>
              <w:t>MH</w:t>
            </w:r>
            <w:r>
              <w:rPr>
                <w:rFonts w:ascii="Times New Roman" w:cs="Times New Roman" w:eastAsia="Times New Roman" w:hAnsi="Times New Roman"/>
                <w:sz w:val="8"/>
                <w:szCs w:val="8"/>
                <w:b w:val="1"/>
                <w:bCs w:val="1"/>
                <w:color w:val="auto"/>
              </w:rPr>
              <w:t>(1)</w:t>
            </w:r>
          </w:p>
        </w:tc>
        <w:tc>
          <w:tcPr>
            <w:tcW w:w="140" w:type="dxa"/>
            <w:vAlign w:val="bottom"/>
          </w:tcPr>
          <w:p>
            <w:pPr>
              <w:spacing w:after="0"/>
              <w:rPr>
                <w:sz w:val="15"/>
                <w:szCs w:val="15"/>
                <w:color w:val="auto"/>
              </w:rPr>
            </w:pPr>
          </w:p>
        </w:tc>
        <w:tc>
          <w:tcPr>
            <w:tcW w:w="68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21"/>
                <w:szCs w:val="21"/>
                <w:b w:val="1"/>
                <w:bCs w:val="1"/>
                <w:color w:val="auto"/>
                <w:vertAlign w:val="subscript"/>
              </w:rPr>
              <w:t>RV</w:t>
            </w:r>
            <w:r>
              <w:rPr>
                <w:rFonts w:ascii="Times New Roman" w:cs="Times New Roman" w:eastAsia="Times New Roman" w:hAnsi="Times New Roman"/>
                <w:sz w:val="8"/>
                <w:szCs w:val="8"/>
                <w:b w:val="1"/>
                <w:bCs w:val="1"/>
                <w:color w:val="auto"/>
              </w:rPr>
              <w:t>(1)</w:t>
            </w:r>
          </w:p>
        </w:tc>
        <w:tc>
          <w:tcPr>
            <w:tcW w:w="160" w:type="dxa"/>
            <w:vAlign w:val="bottom"/>
          </w:tcPr>
          <w:p>
            <w:pPr>
              <w:spacing w:after="0"/>
              <w:rPr>
                <w:sz w:val="15"/>
                <w:szCs w:val="15"/>
                <w:color w:val="auto"/>
              </w:rPr>
            </w:pPr>
          </w:p>
        </w:tc>
        <w:tc>
          <w:tcPr>
            <w:tcW w:w="58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Pr>
          <w:p>
            <w:pPr>
              <w:spacing w:after="0"/>
              <w:rPr>
                <w:sz w:val="15"/>
                <w:szCs w:val="15"/>
                <w:color w:val="auto"/>
              </w:rPr>
            </w:pPr>
          </w:p>
        </w:tc>
        <w:tc>
          <w:tcPr>
            <w:tcW w:w="72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MH</w:t>
            </w: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RV</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Same Property Revenues</w:t>
            </w: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r>
      <w:tr>
        <w:trPr>
          <w:trHeight w:val="200"/>
        </w:trPr>
        <w:tc>
          <w:tcPr>
            <w:tcW w:w="2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Real property (excluding transient)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243.1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315.0</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295.4</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6.6 %</w:t>
            </w:r>
          </w:p>
        </w:tc>
      </w:tr>
      <w:tr>
        <w:trPr>
          <w:trHeight w:val="205"/>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Real property - transient</w:t>
            </w: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94"/>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Total Same Property operating revenues</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5"/>
                <w:szCs w:val="15"/>
                <w:color w:val="auto"/>
              </w:rPr>
              <w:t>243.6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341.3</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322.2</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5.9 %</w:t>
            </w:r>
          </w:p>
        </w:tc>
      </w:tr>
      <w:tr>
        <w:trPr>
          <w:trHeight w:val="18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Same Property Expenses</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3"/>
        </w:trPr>
        <w:tc>
          <w:tcPr>
            <w:tcW w:w="2860" w:type="dxa"/>
            <w:vAlign w:val="bottom"/>
            <w:tcBorders>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5"/>
                <w:szCs w:val="15"/>
                <w:color w:val="auto"/>
              </w:rPr>
              <w:t>Same Property operating expenses</w:t>
            </w:r>
            <w:r>
              <w:rPr>
                <w:rFonts w:ascii="Times New Roman" w:cs="Times New Roman" w:eastAsia="Times New Roman" w:hAnsi="Times New Roman"/>
                <w:sz w:val="19"/>
                <w:szCs w:val="19"/>
                <w:color w:val="auto"/>
                <w:vertAlign w:val="superscript"/>
              </w:rPr>
              <w:t>(1)(3)</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5"/>
                <w:szCs w:val="15"/>
                <w:color w:val="auto"/>
              </w:rPr>
              <w:t>61.0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7.8 %</w:t>
            </w: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2.3 %</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5.2 %</w:t>
            </w:r>
          </w:p>
        </w:tc>
      </w:tr>
      <w:tr>
        <w:trPr>
          <w:trHeight w:val="221"/>
        </w:trPr>
        <w:tc>
          <w:tcPr>
            <w:tcW w:w="286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5"/>
                <w:szCs w:val="15"/>
                <w:b w:val="1"/>
                <w:bCs w:val="1"/>
                <w:color w:val="auto"/>
              </w:rPr>
              <w:t>Real Property NOI</w:t>
            </w:r>
            <w:r>
              <w:rPr>
                <w:rFonts w:ascii="Times New Roman" w:cs="Times New Roman" w:eastAsia="Times New Roman" w:hAnsi="Times New Roman"/>
                <w:sz w:val="19"/>
                <w:szCs w:val="19"/>
                <w:b w:val="1"/>
                <w:bCs w:val="1"/>
                <w:color w:val="auto"/>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182.6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6.3 %</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58" w:lineRule="exact"/>
        <w:rPr>
          <w:sz w:val="20"/>
          <w:szCs w:val="20"/>
          <w:color w:val="auto"/>
        </w:rPr>
      </w:pPr>
    </w:p>
    <w:p>
      <w:pPr>
        <w:ind w:left="160" w:hanging="152"/>
        <w:spacing w:after="0"/>
        <w:tabs>
          <w:tab w:leader="none" w:pos="16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net certain utilities revenues (which include utility reimbursement revenues from residents) against related utility expenses in property operating expenses as follows (in millions):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8"/>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Three Months Ended March 31, 2026</w:t>
            </w:r>
          </w:p>
        </w:tc>
        <w:tc>
          <w:tcPr>
            <w:tcW w:w="260" w:type="dxa"/>
            <w:vAlign w:val="bottom"/>
          </w:tcPr>
          <w:p>
            <w:pPr>
              <w:spacing w:after="0"/>
              <w:rPr>
                <w:sz w:val="17"/>
                <w:szCs w:val="17"/>
                <w:color w:val="auto"/>
              </w:rPr>
            </w:pPr>
          </w:p>
        </w:tc>
        <w:tc>
          <w:tcPr>
            <w:tcW w:w="3260" w:type="dxa"/>
            <w:vAlign w:val="bottom"/>
            <w:gridSpan w:val="7"/>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Three Months Ended March 31, 2025</w:t>
            </w:r>
          </w:p>
        </w:tc>
        <w:tc>
          <w:tcPr>
            <w:tcW w:w="0" w:type="dxa"/>
            <w:vAlign w:val="bottom"/>
          </w:tcPr>
          <w:p>
            <w:pPr>
              <w:spacing w:after="0"/>
              <w:rPr>
                <w:sz w:val="1"/>
                <w:szCs w:val="1"/>
                <w:color w:val="auto"/>
              </w:rPr>
            </w:pPr>
          </w:p>
        </w:tc>
      </w:tr>
      <w:tr>
        <w:trPr>
          <w:trHeight w:val="200"/>
        </w:trPr>
        <w:tc>
          <w:tcPr>
            <w:tcW w:w="38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MH</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RV</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MH</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RV</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29"/>
        </w:trPr>
        <w:tc>
          <w:tcPr>
            <w:tcW w:w="38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Utility revenue netted against related utility expense</w:t>
            </w: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2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19.5</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Percentages are calculated based on unrounded numbers.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hanging="172"/>
        <w:spacing w:after="0" w:line="230" w:lineRule="auto"/>
        <w:tabs>
          <w:tab w:leader="none" w:pos="166"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Same Property operating expenses consist of the following components for the periods shown (in millions), and exclude amounts invested into recently acquired properties to bring them up to our standards.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00"/>
        </w:trPr>
        <w:tc>
          <w:tcPr>
            <w:tcW w:w="63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24"/>
              <w:spacing w:after="0" w:line="200"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b w:val="1"/>
                <w:bCs w:val="1"/>
                <w:color w:val="auto"/>
                <w:vertAlign w:val="superscript"/>
              </w:rPr>
              <w:t>(3)</w:t>
            </w:r>
          </w:p>
        </w:tc>
      </w:tr>
      <w:tr>
        <w:trPr>
          <w:trHeight w:val="19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Payroll and benefits</w:t>
            </w:r>
          </w:p>
        </w:tc>
        <w:tc>
          <w:tcPr>
            <w:tcW w:w="720" w:type="dxa"/>
            <w:vAlign w:val="bottom"/>
            <w:shd w:val="clear" w:color="auto" w:fill="CCEEFF"/>
          </w:tcPr>
          <w:p>
            <w:pPr>
              <w:jc w:val="right"/>
              <w:ind w:right="54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center"/>
              <w:ind w:left="484"/>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4.2 %</w:t>
            </w:r>
          </w:p>
        </w:tc>
      </w:tr>
      <w:tr>
        <w:trPr>
          <w:trHeight w:val="200"/>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Real estate taxes</w:t>
            </w:r>
          </w:p>
        </w:tc>
        <w:tc>
          <w:tcPr>
            <w:tcW w:w="7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left="484"/>
              <w:spacing w:after="0"/>
              <w:rPr>
                <w:sz w:val="20"/>
                <w:szCs w:val="20"/>
                <w:color w:val="auto"/>
              </w:rPr>
            </w:pPr>
            <w:r>
              <w:rPr>
                <w:rFonts w:ascii="Times New Roman" w:cs="Times New Roman" w:eastAsia="Times New Roman" w:hAnsi="Times New Roman"/>
                <w:sz w:val="15"/>
                <w:szCs w:val="15"/>
                <w:color w:val="auto"/>
              </w:rPr>
              <w:t>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8.7 %</w:t>
            </w:r>
          </w:p>
        </w:tc>
      </w:tr>
      <w:tr>
        <w:trPr>
          <w:trHeight w:val="20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Supplies and repairs</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484"/>
              <w:spacing w:after="0"/>
              <w:rPr>
                <w:sz w:val="20"/>
                <w:szCs w:val="20"/>
                <w:color w:val="auto"/>
              </w:rPr>
            </w:pPr>
            <w:r>
              <w:rPr>
                <w:rFonts w:ascii="Times New Roman" w:cs="Times New Roman" w:eastAsia="Times New Roman" w:hAnsi="Times New Roman"/>
                <w:sz w:val="15"/>
                <w:szCs w:val="15"/>
                <w:color w:val="auto"/>
              </w:rPr>
              <w:t>2.3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15.3 %</w:t>
            </w:r>
          </w:p>
        </w:tc>
      </w:tr>
      <w:tr>
        <w:trPr>
          <w:trHeight w:val="200"/>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Utilities</w:t>
            </w:r>
          </w:p>
        </w:tc>
        <w:tc>
          <w:tcPr>
            <w:tcW w:w="7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left="464"/>
              <w:spacing w:after="0"/>
              <w:rPr>
                <w:sz w:val="20"/>
                <w:szCs w:val="20"/>
                <w:color w:val="auto"/>
              </w:rPr>
            </w:pPr>
            <w:r>
              <w:rPr>
                <w:rFonts w:ascii="Times New Roman" w:cs="Times New Roman" w:eastAsia="Times New Roman" w:hAnsi="Times New Roman"/>
                <w:sz w:val="15"/>
                <w:szCs w:val="15"/>
                <w:color w:val="auto"/>
              </w:rPr>
              <w:t>(0.3)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Legal, state / local taxes, and insurance</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464"/>
              <w:spacing w:after="0"/>
              <w:rPr>
                <w:sz w:val="20"/>
                <w:szCs w:val="20"/>
                <w:color w:val="auto"/>
              </w:rPr>
            </w:pPr>
            <w:r>
              <w:rPr>
                <w:rFonts w:ascii="Times New Roman" w:cs="Times New Roman" w:eastAsia="Times New Roman" w:hAnsi="Times New Roman"/>
                <w:sz w:val="15"/>
                <w:szCs w:val="15"/>
                <w:color w:val="auto"/>
              </w:rPr>
              <w:t>(0.4)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20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7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484"/>
              <w:spacing w:after="0"/>
              <w:rPr>
                <w:sz w:val="20"/>
                <w:szCs w:val="20"/>
                <w:color w:val="auto"/>
              </w:rPr>
            </w:pPr>
            <w:r>
              <w:rPr>
                <w:rFonts w:ascii="Times New Roman" w:cs="Times New Roman" w:eastAsia="Times New Roman" w:hAnsi="Times New Roman"/>
                <w:sz w:val="15"/>
                <w:szCs w:val="15"/>
                <w:color w:val="auto"/>
              </w:rPr>
              <w:t>0.6</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5.6 %</w:t>
            </w:r>
          </w:p>
        </w:tc>
      </w:tr>
      <w:tr>
        <w:trPr>
          <w:trHeight w:val="22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Same Property Operating Expenses</w:t>
            </w:r>
          </w:p>
        </w:tc>
        <w:tc>
          <w:tcPr>
            <w:tcW w:w="720" w:type="dxa"/>
            <w:vAlign w:val="bottom"/>
            <w:tcBorders>
              <w:bottom w:val="single" w:sz="8" w:color="auto"/>
            </w:tcBorders>
            <w:shd w:val="clear" w:color="auto" w:fill="CCEEFF"/>
          </w:tcPr>
          <w:p>
            <w:pPr>
              <w:jc w:val="right"/>
              <w:ind w:right="54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111.5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center"/>
              <w:ind w:left="484"/>
              <w:spacing w:after="0"/>
              <w:rPr>
                <w:sz w:val="20"/>
                <w:szCs w:val="20"/>
                <w:color w:val="auto"/>
              </w:rPr>
            </w:pPr>
            <w:r>
              <w:rPr>
                <w:rFonts w:ascii="Times New Roman" w:cs="Times New Roman" w:eastAsia="Times New Roman" w:hAnsi="Times New Roman"/>
                <w:sz w:val="15"/>
                <w:szCs w:val="15"/>
                <w:color w:val="auto"/>
              </w:rPr>
              <w:t>5.5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5.2 %</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5"/>
                <w:szCs w:val="15"/>
                <w:b w:val="1"/>
                <w:bCs w:val="1"/>
                <w:color w:val="auto"/>
              </w:rPr>
              <w:t>As of March 31,</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00"/>
        </w:trPr>
        <w:tc>
          <w:tcPr>
            <w:tcW w:w="5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w w:val="93"/>
              </w:rPr>
              <w:t>2025</w:t>
            </w:r>
          </w:p>
        </w:tc>
        <w:tc>
          <w:tcPr>
            <w:tcW w:w="1000" w:type="dxa"/>
            <w:vAlign w:val="bottom"/>
            <w:tcBorders>
              <w:bottom w:val="single" w:sz="8" w:color="auto"/>
            </w:tcBorders>
          </w:tcPr>
          <w:p>
            <w:pPr>
              <w:spacing w:after="0"/>
              <w:rPr>
                <w:sz w:val="17"/>
                <w:szCs w:val="17"/>
                <w:color w:val="auto"/>
              </w:rPr>
            </w:pPr>
          </w:p>
        </w:tc>
      </w:tr>
      <w:tr>
        <w:trPr>
          <w:trHeight w:val="196"/>
        </w:trPr>
        <w:tc>
          <w:tcPr>
            <w:tcW w:w="5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MH</w:t>
            </w:r>
          </w:p>
        </w:tc>
        <w:tc>
          <w:tcPr>
            <w:tcW w:w="320" w:type="dxa"/>
            <w:vAlign w:val="bottom"/>
          </w:tcPr>
          <w:p>
            <w:pPr>
              <w:spacing w:after="0"/>
              <w:rPr>
                <w:sz w:val="17"/>
                <w:szCs w:val="17"/>
                <w:color w:val="auto"/>
              </w:rPr>
            </w:pPr>
          </w:p>
        </w:tc>
        <w:tc>
          <w:tcPr>
            <w:tcW w:w="1000" w:type="dxa"/>
            <w:vAlign w:val="bottom"/>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RV</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MH</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RV</w:t>
            </w:r>
          </w:p>
        </w:tc>
      </w:tr>
      <w:tr>
        <w:trPr>
          <w:trHeight w:val="196"/>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Number of properties</w:t>
            </w: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282</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157</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282</w:t>
            </w: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157</w:t>
            </w:r>
          </w:p>
        </w:tc>
      </w:tr>
      <w:tr>
        <w:trPr>
          <w:trHeight w:val="202"/>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Sites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MH and annual RV sites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97,150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31,040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97,000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30,910</w:t>
            </w:r>
          </w:p>
        </w:tc>
      </w:tr>
      <w:tr>
        <w:trPr>
          <w:trHeight w:val="200"/>
        </w:trPr>
        <w:tc>
          <w:tcPr>
            <w:tcW w:w="55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Transient RV sites</w:t>
            </w:r>
          </w:p>
        </w:tc>
        <w:tc>
          <w:tcPr>
            <w:tcW w:w="3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N/A</w:t>
            </w:r>
          </w:p>
        </w:tc>
        <w:tc>
          <w:tcPr>
            <w:tcW w:w="320" w:type="dxa"/>
            <w:vAlign w:val="bottom"/>
          </w:tcPr>
          <w:p>
            <w:pPr>
              <w:spacing w:after="0"/>
              <w:rPr>
                <w:sz w:val="17"/>
                <w:szCs w:val="17"/>
                <w:color w:val="auto"/>
              </w:rPr>
            </w:pP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22,210</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22,610</w:t>
            </w:r>
          </w:p>
        </w:tc>
      </w:tr>
      <w:tr>
        <w:trPr>
          <w:trHeight w:val="198"/>
        </w:trPr>
        <w:tc>
          <w:tcPr>
            <w:tcW w:w="5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w:t>
            </w: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97,150</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53,250</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97,000</w:t>
            </w: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53,520</w:t>
            </w:r>
          </w:p>
        </w:tc>
      </w:tr>
      <w:tr>
        <w:trPr>
          <w:trHeight w:val="202"/>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MH and Annual RV Occupancy</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56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5"/>
                <w:szCs w:val="15"/>
                <w:color w:val="auto"/>
              </w:rPr>
              <w:t>Occupancy</w:t>
            </w:r>
            <w:r>
              <w:rPr>
                <w:rFonts w:ascii="Times New Roman" w:cs="Times New Roman" w:eastAsia="Times New Roman" w:hAnsi="Times New Roman"/>
                <w:sz w:val="19"/>
                <w:szCs w:val="19"/>
                <w:color w:val="auto"/>
                <w:vertAlign w:val="superscript"/>
              </w:rPr>
              <w:t>(1)</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97.3 %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00"/>
        </w:trPr>
        <w:tc>
          <w:tcPr>
            <w:tcW w:w="55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Average monthly base rent per site</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762</w:t>
            </w:r>
          </w:p>
        </w:tc>
        <w:tc>
          <w:tcPr>
            <w:tcW w:w="8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697</w:t>
            </w:r>
          </w:p>
        </w:tc>
        <w:tc>
          <w:tcPr>
            <w:tcW w:w="20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724</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673</w:t>
            </w:r>
          </w:p>
        </w:tc>
      </w:tr>
      <w:tr>
        <w:trPr>
          <w:trHeight w:val="205"/>
        </w:trPr>
        <w:tc>
          <w:tcPr>
            <w:tcW w:w="5560" w:type="dxa"/>
            <w:vAlign w:val="bottom"/>
            <w:shd w:val="clear" w:color="auto" w:fill="CCEEFF"/>
          </w:tcPr>
          <w:p>
            <w:pPr>
              <w:ind w:left="180"/>
              <w:spacing w:after="0" w:line="204" w:lineRule="exact"/>
              <w:rPr>
                <w:sz w:val="20"/>
                <w:szCs w:val="20"/>
                <w:color w:val="auto"/>
              </w:rPr>
            </w:pPr>
            <w:r>
              <w:rPr>
                <w:rFonts w:ascii="Times New Roman" w:cs="Times New Roman" w:eastAsia="Times New Roman" w:hAnsi="Times New Roman"/>
                <w:sz w:val="15"/>
                <w:szCs w:val="15"/>
                <w:color w:val="auto"/>
              </w:rPr>
              <w:t>% change in monthly base rent</w:t>
            </w:r>
            <w:r>
              <w:rPr>
                <w:rFonts w:ascii="Times New Roman" w:cs="Times New Roman" w:eastAsia="Times New Roman" w:hAnsi="Times New Roman"/>
                <w:sz w:val="19"/>
                <w:szCs w:val="19"/>
                <w:color w:val="auto"/>
                <w:vertAlign w:val="superscript"/>
              </w:rPr>
              <w:t>(2)</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3.6 %</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N/A</w:t>
            </w:r>
          </w:p>
        </w:tc>
      </w:tr>
      <w:tr>
        <w:trPr>
          <w:trHeight w:val="202"/>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Rental Program Statistics included in MH</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56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5"/>
                <w:szCs w:val="15"/>
                <w:color w:val="auto"/>
              </w:rPr>
              <w:t>Number of occupied sites, end of period</w:t>
            </w:r>
            <w:r>
              <w:rPr>
                <w:rFonts w:ascii="Times New Roman" w:cs="Times New Roman" w:eastAsia="Times New Roman" w:hAnsi="Times New Roman"/>
                <w:sz w:val="19"/>
                <w:szCs w:val="19"/>
                <w:color w:val="auto"/>
                <w:vertAlign w:val="superscript"/>
              </w:rPr>
              <w:t>(3)</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12,440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N/A</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11,240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N/A</w:t>
            </w:r>
          </w:p>
        </w:tc>
      </w:tr>
      <w:tr>
        <w:trPr>
          <w:trHeight w:val="200"/>
        </w:trPr>
        <w:tc>
          <w:tcPr>
            <w:tcW w:w="55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Monthly rent per home and site - MH rental program</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1,401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N/A</w:t>
            </w: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N/A</w:t>
            </w:r>
          </w:p>
        </w:tc>
      </w:tr>
      <w:tr>
        <w:trPr>
          <w:trHeight w:val="205"/>
        </w:trPr>
        <w:tc>
          <w:tcPr>
            <w:tcW w:w="5560" w:type="dxa"/>
            <w:vAlign w:val="bottom"/>
            <w:shd w:val="clear" w:color="auto" w:fill="CCEEFF"/>
          </w:tcPr>
          <w:p>
            <w:pPr>
              <w:ind w:left="180"/>
              <w:spacing w:after="0" w:line="204" w:lineRule="exact"/>
              <w:rPr>
                <w:sz w:val="20"/>
                <w:szCs w:val="20"/>
                <w:color w:val="auto"/>
              </w:rPr>
            </w:pPr>
            <w:r>
              <w:rPr>
                <w:rFonts w:ascii="Times New Roman" w:cs="Times New Roman" w:eastAsia="Times New Roman" w:hAnsi="Times New Roman"/>
                <w:sz w:val="15"/>
                <w:szCs w:val="15"/>
                <w:color w:val="auto"/>
              </w:rPr>
              <w:t>% change</w:t>
            </w:r>
            <w:r>
              <w:rPr>
                <w:rFonts w:ascii="Times New Roman" w:cs="Times New Roman" w:eastAsia="Times New Roman" w:hAnsi="Times New Roman"/>
                <w:sz w:val="19"/>
                <w:szCs w:val="19"/>
                <w:color w:val="auto"/>
                <w:vertAlign w:val="superscript"/>
              </w:rPr>
              <w:t>(3)</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N/A</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N/A</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21" w:lineRule="exact"/>
        <w:rPr>
          <w:sz w:val="20"/>
          <w:szCs w:val="20"/>
          <w:color w:val="auto"/>
        </w:rPr>
      </w:pPr>
    </w:p>
    <w:p>
      <w:pPr>
        <w:ind w:left="180" w:hanging="172"/>
        <w:spacing w:after="0" w:line="219" w:lineRule="auto"/>
        <w:tabs>
          <w:tab w:leader="none" w:pos="164"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Same Property adjusted blended occupancy for MH and RV combined remained unchanged at 98.7% at March 31, 2026, from 98.7% at March 31, 2025. Same Property blended occupancy for MH and RV was 98.2% at March 31, 2026, up 20 basis points from 98.0% at March 31, 2025.</w:t>
      </w:r>
    </w:p>
    <w:p>
      <w:pPr>
        <w:ind w:left="160" w:hanging="152"/>
        <w:spacing w:after="0"/>
        <w:tabs>
          <w:tab w:leader="none" w:pos="16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using actual results without rounding.</w:t>
      </w:r>
    </w:p>
    <w:p>
      <w:pPr>
        <w:spacing w:after="0" w:line="11" w:lineRule="exact"/>
        <w:rPr>
          <w:rFonts w:ascii="Times New Roman" w:cs="Times New Roman" w:eastAsia="Times New Roman" w:hAnsi="Times New Roman"/>
          <w:sz w:val="9"/>
          <w:szCs w:val="9"/>
          <w:color w:val="auto"/>
        </w:rPr>
      </w:pPr>
    </w:p>
    <w:p>
      <w:pPr>
        <w:ind w:left="140" w:hanging="132"/>
        <w:spacing w:after="0" w:line="228" w:lineRule="auto"/>
        <w:tabs>
          <w:tab w:leader="none" w:pos="14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Occupied rental program sites in Same Property are included in total sites.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UK Same Property Portfolio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Same Property UK portfolio as of and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 (in millions, except for statistical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86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0"/>
        </w:trPr>
        <w:tc>
          <w:tcPr>
            <w:tcW w:w="7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204"/>
              <w:spacing w:after="0" w:line="200"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b w:val="1"/>
                <w:bCs w:val="1"/>
                <w:color w:val="auto"/>
                <w:vertAlign w:val="superscript"/>
              </w:rPr>
              <w:t>(2)</w:t>
            </w:r>
          </w:p>
        </w:tc>
      </w:tr>
      <w:tr>
        <w:trPr>
          <w:trHeight w:val="18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Same Property Revenues</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0"/>
        </w:trPr>
        <w:tc>
          <w:tcPr>
            <w:tcW w:w="7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Real property (excluding transient)</w:t>
            </w: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28.2</w:t>
            </w:r>
          </w:p>
        </w:tc>
        <w:tc>
          <w:tcPr>
            <w:tcW w:w="8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27.2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3.7 %</w:t>
            </w:r>
          </w:p>
        </w:tc>
      </w:tr>
      <w:tr>
        <w:trPr>
          <w:trHeight w:val="205"/>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Real property - transient</w:t>
            </w: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27.6 %</w:t>
            </w:r>
          </w:p>
        </w:tc>
      </w:tr>
      <w:tr>
        <w:trPr>
          <w:trHeight w:val="194"/>
        </w:trPr>
        <w:tc>
          <w:tcPr>
            <w:tcW w:w="7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Same Property operating revenues</w:t>
            </w:r>
          </w:p>
        </w:tc>
        <w:tc>
          <w:tcPr>
            <w:tcW w:w="800" w:type="dxa"/>
            <w:vAlign w:val="bottom"/>
          </w:tcPr>
          <w:p>
            <w:pPr>
              <w:spacing w:after="0"/>
              <w:rPr>
                <w:sz w:val="16"/>
                <w:szCs w:val="16"/>
                <w:color w:val="auto"/>
              </w:rPr>
            </w:pPr>
          </w:p>
        </w:tc>
        <w:tc>
          <w:tcPr>
            <w:tcW w:w="4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30.7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29.2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5.3 %</w:t>
            </w:r>
          </w:p>
        </w:tc>
      </w:tr>
      <w:tr>
        <w:trPr>
          <w:trHeight w:val="20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Same Property Expenses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710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5"/>
                <w:szCs w:val="15"/>
                <w:color w:val="auto"/>
              </w:rPr>
              <w:t>Same Property operating expenses</w:t>
            </w:r>
            <w:r>
              <w:rPr>
                <w:rFonts w:ascii="Times New Roman" w:cs="Times New Roman" w:eastAsia="Times New Roman" w:hAnsi="Times New Roman"/>
                <w:sz w:val="19"/>
                <w:szCs w:val="19"/>
                <w:color w:val="auto"/>
                <w:vertAlign w:val="superscript"/>
              </w:rPr>
              <w:t>(3)</w:t>
            </w: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18.9</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7.3 %</w:t>
            </w:r>
          </w:p>
        </w:tc>
      </w:tr>
      <w:tr>
        <w:trPr>
          <w:trHeight w:val="221"/>
        </w:trPr>
        <w:tc>
          <w:tcPr>
            <w:tcW w:w="71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5"/>
                <w:szCs w:val="15"/>
                <w:b w:val="1"/>
                <w:bCs w:val="1"/>
                <w:color w:val="auto"/>
              </w:rPr>
              <w:t>Real Property NOI</w:t>
            </w:r>
            <w:r>
              <w:rPr>
                <w:rFonts w:ascii="Times New Roman" w:cs="Times New Roman" w:eastAsia="Times New Roman" w:hAnsi="Times New Roman"/>
                <w:sz w:val="19"/>
                <w:szCs w:val="19"/>
                <w:color w:val="auto"/>
                <w:vertAlign w:val="superscript"/>
              </w:rPr>
              <w:t>(1)</w:t>
            </w:r>
          </w:p>
        </w:tc>
        <w:tc>
          <w:tcPr>
            <w:tcW w:w="800" w:type="dxa"/>
            <w:vAlign w:val="bottom"/>
            <w:tcBorders>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10.3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1.6 %</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jc w:val="both"/>
        <w:ind w:left="180" w:hanging="172"/>
        <w:spacing w:after="0" w:line="234" w:lineRule="auto"/>
        <w:tabs>
          <w:tab w:leader="none" w:pos="164"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Same Property results for our UK properties reflect constant currency for comparative purposes. British pound sterling figures in the prior comparative period have been translated at the average exchange rate of $1.3478 USD per pound sterling during the three months ended March 31, 2026. Prior to constant currency adjustments, UK Same Property NOI increased by 8.1% during the three months ended March 31, 2026.</w:t>
      </w:r>
    </w:p>
    <w:p>
      <w:pPr>
        <w:spacing w:after="0" w:line="2"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are calculated based on unrounded numbers.</w:t>
      </w:r>
    </w:p>
    <w:p>
      <w:pPr>
        <w:spacing w:after="0" w:line="11" w:lineRule="exact"/>
        <w:rPr>
          <w:rFonts w:ascii="Times New Roman" w:cs="Times New Roman" w:eastAsia="Times New Roman" w:hAnsi="Times New Roman"/>
          <w:sz w:val="9"/>
          <w:szCs w:val="9"/>
          <w:color w:val="auto"/>
        </w:rPr>
      </w:pPr>
    </w:p>
    <w:p>
      <w:pPr>
        <w:ind w:left="180" w:hanging="172"/>
        <w:spacing w:after="0" w:line="221" w:lineRule="auto"/>
        <w:tabs>
          <w:tab w:leader="none" w:pos="172"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net certain utility revenues (which include utility reimbursement revenues from residents) against related utility expenses in property operating expenses. During the three months ended March 31, 2026 and 2025, we netted utility revenues of $6.3 million and $5.3 million, respectively, against the related utility expenses.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As of March 31,</w:t>
            </w:r>
          </w:p>
        </w:tc>
        <w:tc>
          <w:tcPr>
            <w:tcW w:w="1140" w:type="dxa"/>
            <w:vAlign w:val="bottom"/>
            <w:tcBorders>
              <w:bottom w:val="single" w:sz="8" w:color="auto"/>
            </w:tcBorders>
          </w:tcPr>
          <w:p>
            <w:pPr>
              <w:spacing w:after="0"/>
              <w:rPr>
                <w:sz w:val="17"/>
                <w:szCs w:val="17"/>
                <w:color w:val="auto"/>
              </w:rPr>
            </w:pPr>
          </w:p>
        </w:tc>
      </w:tr>
      <w:tr>
        <w:trPr>
          <w:trHeight w:val="200"/>
        </w:trPr>
        <w:tc>
          <w:tcPr>
            <w:tcW w:w="76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9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Number of properties</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52</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52</w:t>
            </w:r>
          </w:p>
        </w:tc>
      </w:tr>
      <w:tr>
        <w:trPr>
          <w:trHeight w:val="202"/>
        </w:trPr>
        <w:tc>
          <w:tcPr>
            <w:tcW w:w="76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Sites</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UK</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17,120</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17,070</w:t>
            </w:r>
          </w:p>
        </w:tc>
      </w:tr>
      <w:tr>
        <w:trPr>
          <w:trHeight w:val="200"/>
        </w:trPr>
        <w:tc>
          <w:tcPr>
            <w:tcW w:w="76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UK Transient</w:t>
            </w:r>
          </w:p>
        </w:tc>
        <w:tc>
          <w:tcPr>
            <w:tcW w:w="1040" w:type="dxa"/>
            <w:vAlign w:val="bottom"/>
          </w:tcPr>
          <w:p>
            <w:pPr>
              <w:spacing w:after="0"/>
              <w:rPr>
                <w:sz w:val="17"/>
                <w:szCs w:val="17"/>
                <w:color w:val="auto"/>
              </w:rPr>
            </w:pPr>
          </w:p>
        </w:tc>
        <w:tc>
          <w:tcPr>
            <w:tcW w:w="6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4,070</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4,250</w:t>
            </w:r>
          </w:p>
        </w:tc>
      </w:tr>
      <w:tr>
        <w:trPr>
          <w:trHeight w:val="205"/>
        </w:trPr>
        <w:tc>
          <w:tcPr>
            <w:tcW w:w="7640" w:type="dxa"/>
            <w:vAlign w:val="bottom"/>
            <w:shd w:val="clear" w:color="auto" w:fill="CCEEFF"/>
          </w:tcPr>
          <w:p>
            <w:pPr>
              <w:ind w:left="180"/>
              <w:spacing w:after="0" w:line="204" w:lineRule="exact"/>
              <w:rPr>
                <w:sz w:val="20"/>
                <w:szCs w:val="20"/>
                <w:color w:val="auto"/>
              </w:rPr>
            </w:pPr>
            <w:r>
              <w:rPr>
                <w:rFonts w:ascii="Times New Roman" w:cs="Times New Roman" w:eastAsia="Times New Roman" w:hAnsi="Times New Roman"/>
                <w:sz w:val="15"/>
                <w:szCs w:val="15"/>
                <w:color w:val="auto"/>
              </w:rPr>
              <w:t>Occupancy</w:t>
            </w:r>
            <w:r>
              <w:rPr>
                <w:rFonts w:ascii="Times New Roman" w:cs="Times New Roman" w:eastAsia="Times New Roman" w:hAnsi="Times New Roman"/>
                <w:sz w:val="19"/>
                <w:szCs w:val="19"/>
                <w:color w:val="auto"/>
                <w:vertAlign w:val="superscript"/>
              </w:rPr>
              <w:t>(1)</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88.9 %</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89.8 %</w:t>
            </w:r>
          </w:p>
        </w:tc>
      </w:tr>
      <w:tr>
        <w:trPr>
          <w:trHeight w:val="200"/>
        </w:trPr>
        <w:tc>
          <w:tcPr>
            <w:tcW w:w="76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Average monthly base rent per site</w:t>
            </w:r>
          </w:p>
        </w:tc>
        <w:tc>
          <w:tcPr>
            <w:tcW w:w="1040" w:type="dxa"/>
            <w:vAlign w:val="bottom"/>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607</w:t>
            </w:r>
          </w:p>
        </w:tc>
        <w:tc>
          <w:tcPr>
            <w:tcW w:w="200" w:type="dxa"/>
            <w:vAlign w:val="bottom"/>
          </w:tcPr>
          <w:p>
            <w:pPr>
              <w:spacing w:after="0"/>
              <w:rPr>
                <w:sz w:val="17"/>
                <w:szCs w:val="17"/>
                <w:color w:val="auto"/>
              </w:rPr>
            </w:pPr>
          </w:p>
        </w:tc>
        <w:tc>
          <w:tcPr>
            <w:tcW w:w="56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578</w:t>
            </w:r>
          </w:p>
        </w:tc>
      </w:tr>
      <w:tr>
        <w:trPr>
          <w:trHeight w:val="205"/>
        </w:trPr>
        <w:tc>
          <w:tcPr>
            <w:tcW w:w="7640" w:type="dxa"/>
            <w:vAlign w:val="bottom"/>
            <w:shd w:val="clear" w:color="auto" w:fill="CCEEFF"/>
          </w:tcPr>
          <w:p>
            <w:pPr>
              <w:ind w:left="180"/>
              <w:spacing w:after="0" w:line="204" w:lineRule="exact"/>
              <w:rPr>
                <w:sz w:val="20"/>
                <w:szCs w:val="20"/>
                <w:color w:val="auto"/>
              </w:rPr>
            </w:pPr>
            <w:r>
              <w:rPr>
                <w:rFonts w:ascii="Times New Roman" w:cs="Times New Roman" w:eastAsia="Times New Roman" w:hAnsi="Times New Roman"/>
                <w:sz w:val="15"/>
                <w:szCs w:val="15"/>
                <w:color w:val="auto"/>
              </w:rPr>
              <w:t>% change in monthly base rent</w:t>
            </w:r>
            <w:r>
              <w:rPr>
                <w:rFonts w:ascii="Times New Roman" w:cs="Times New Roman" w:eastAsia="Times New Roman" w:hAnsi="Times New Roman"/>
                <w:sz w:val="19"/>
                <w:szCs w:val="19"/>
                <w:color w:val="auto"/>
                <w:vertAlign w:val="superscript"/>
              </w:rPr>
              <w:t>(2)</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N/A</w:t>
            </w:r>
          </w:p>
        </w:tc>
      </w:tr>
    </w:tbl>
    <w:p>
      <w:pPr>
        <w:spacing w:after="0" w:line="85" w:lineRule="exact"/>
        <w:rPr>
          <w:sz w:val="20"/>
          <w:szCs w:val="20"/>
          <w:color w:val="auto"/>
        </w:rPr>
      </w:pPr>
    </w:p>
    <w:p>
      <w:pPr>
        <w:ind w:left="180" w:hanging="172"/>
        <w:spacing w:after="0" w:line="230" w:lineRule="auto"/>
        <w:tabs>
          <w:tab w:leader="none" w:pos="15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Adjusting for recently delivered and vacant expansion sites, Same Property adjusted occupancy decreased by 50 basis points year over year, to 89.5% at March 31, 2026, from 90.0% at March 31, 2025.</w:t>
      </w:r>
    </w:p>
    <w:p>
      <w:pPr>
        <w:ind w:left="160" w:hanging="152"/>
        <w:spacing w:after="0"/>
        <w:tabs>
          <w:tab w:leader="none" w:pos="16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using actual results without rounding.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w:t>
      </w:r>
    </w:p>
    <w:p>
      <w:pPr>
        <w:spacing w:after="0" w:line="117" w:lineRule="exact"/>
        <w:rPr>
          <w:sz w:val="20"/>
          <w:szCs w:val="20"/>
          <w:color w:val="auto"/>
        </w:rPr>
      </w:pPr>
    </w:p>
    <w:p>
      <w:pPr>
        <w:jc w:val="both"/>
        <w:ind w:left="660" w:hanging="328"/>
        <w:spacing w:after="0" w:line="25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MH segment increase in NOI of $10.8 million, or 6.3%, when compared to the same period in 2025 is primarily due to an increase in Real property (excluding transient) revenue of $15.2 million, or 6.7% and NOI outperformance in our Rental Program, partially offset by an increase in Same property operating expenses of $4.4 million, or 7.8%. Real property (excluding transient) revenue increased primarily due to a 5.2% increase in monthly base rent and occupancy gains on a year-over-year basis.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RV segment increase in NOI of $2.8 million, or 6.3%, when compared to the same period in 2025 is primarily due to an increase in Real property (excluding transient) revenue of $4.4 million, or 6.5%, partially offset by a decrease in Transient revenue of $0.5 million, or 1.7% and an increase in Same property operating expenses of $1.1 million, or 2.3%. The increase in Real property (excluding transient) revenue was primarily due to a 3.6% increase in monthly base rent.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segment increase in NOI of $0.2 million, or 1.6%, when compared to the same period in 2025 is primarily due to an increase in Real property (excluding transient) revenue of $1.0 million, or 3.7% and an increase in Real property transient revenue of $0.5 million, or 27.6%, partially offset by an increase in Same property operating expenses of $1.3 million, or 7.3%. The increase in Real property revenue was primarily due to a 5.0% increase in monthly base rent per site.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Sales Summary</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sell new and pre-owned homes to current and prospective residents and customers in our communities. This inventory is purchased from manufacturers, lenders, dealers, former residents, or customers.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financial and statistical information for our home sales program for the three months ended March 31, 2026 and 2025 (in millions, except for average selling price and statistical information):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North America</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26.5</w:t>
            </w:r>
          </w:p>
        </w:tc>
        <w:tc>
          <w:tcPr>
            <w:tcW w:w="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28.7</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cost and selling expenses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24.9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24.5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0" w:type="dxa"/>
            <w:vAlign w:val="bottom"/>
          </w:tcPr>
          <w:p>
            <w:pPr>
              <w:spacing w:after="0"/>
              <w:rPr>
                <w:sz w:val="1"/>
                <w:szCs w:val="1"/>
                <w:color w:val="auto"/>
              </w:rPr>
            </w:pPr>
          </w:p>
        </w:tc>
      </w:tr>
      <w:tr>
        <w:trPr>
          <w:trHeight w:val="198"/>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NOI</w:t>
            </w: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(61.9)%</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NOI margin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UK</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41.6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38.5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0" w:type="dxa"/>
            <w:vAlign w:val="bottom"/>
          </w:tcPr>
          <w:p>
            <w:pPr>
              <w:spacing w:after="0"/>
              <w:rPr>
                <w:sz w:val="1"/>
                <w:szCs w:val="1"/>
                <w:color w:val="auto"/>
              </w:rPr>
            </w:pPr>
          </w:p>
        </w:tc>
      </w:tr>
      <w:tr>
        <w:trPr>
          <w:trHeight w:val="200"/>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Home cost and selling expenses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31.3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28.1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3.2</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11.4 %</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NOI</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5"/>
                <w:szCs w:val="15"/>
                <w:color w:val="auto"/>
              </w:rPr>
              <w:t>NOI margin %</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Home sales</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68.1</w:t>
            </w:r>
          </w:p>
        </w:tc>
        <w:tc>
          <w:tcPr>
            <w:tcW w:w="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67.2</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cost and selling expenses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56.2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52.6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6.8 %</w:t>
            </w:r>
          </w:p>
        </w:tc>
        <w:tc>
          <w:tcPr>
            <w:tcW w:w="0" w:type="dxa"/>
            <w:vAlign w:val="bottom"/>
          </w:tcPr>
          <w:p>
            <w:pPr>
              <w:spacing w:after="0"/>
              <w:rPr>
                <w:sz w:val="1"/>
                <w:szCs w:val="1"/>
                <w:color w:val="auto"/>
              </w:rPr>
            </w:pPr>
          </w:p>
        </w:tc>
      </w:tr>
      <w:tr>
        <w:trPr>
          <w:trHeight w:val="198"/>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NOI</w:t>
            </w: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14.6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NOI margin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Units Sold:</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North America</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292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(55)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0" w:type="dxa"/>
            <w:vAlign w:val="bottom"/>
          </w:tcPr>
          <w:p>
            <w:pPr>
              <w:spacing w:after="0"/>
              <w:rPr>
                <w:sz w:val="1"/>
                <w:szCs w:val="1"/>
                <w:color w:val="auto"/>
              </w:rPr>
            </w:pPr>
          </w:p>
        </w:tc>
      </w:tr>
      <w:tr>
        <w:trPr>
          <w:trHeight w:val="200"/>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UK</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625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614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11</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1.8 %</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home sales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917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961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Average Selling Price: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North America</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90,753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82,709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8,044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9.7 %</w:t>
            </w:r>
          </w:p>
        </w:tc>
        <w:tc>
          <w:tcPr>
            <w:tcW w:w="0" w:type="dxa"/>
            <w:vAlign w:val="bottom"/>
          </w:tcPr>
          <w:p>
            <w:pPr>
              <w:spacing w:after="0"/>
              <w:rPr>
                <w:sz w:val="1"/>
                <w:szCs w:val="1"/>
                <w:color w:val="auto"/>
              </w:rPr>
            </w:pPr>
          </w:p>
        </w:tc>
      </w:tr>
      <w:tr>
        <w:trPr>
          <w:trHeight w:val="198"/>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UK</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66,560</w:t>
            </w:r>
          </w:p>
        </w:tc>
        <w:tc>
          <w:tcPr>
            <w:tcW w:w="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62,704</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3,856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6.1 %</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NOI - North America</w:t>
      </w:r>
    </w:p>
    <w:p>
      <w:pPr>
        <w:spacing w:after="0" w:line="119"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61.9% decrease in NOI was primarily driven by a 15.9% decrease in units sold, primarily driven by fewer available sites in conjunction with reduced expansion and development activity.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NOI - UK</w:t>
      </w:r>
    </w:p>
    <w:p>
      <w:pPr>
        <w:spacing w:after="0" w:line="119"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1.0% decrease in NOI was primarily driven by a 2.2% decrease in NOI margin, driven by an 11.4% increase in home cost and selling expenses due to a change in the mix of homes sold.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Items - Statements of Operations</w:t>
      </w:r>
      <w:r>
        <w:rPr>
          <w:rFonts w:ascii="Times New Roman" w:cs="Times New Roman" w:eastAsia="Times New Roman" w:hAnsi="Times New Roman"/>
          <w:sz w:val="23"/>
          <w:szCs w:val="23"/>
          <w:color w:val="auto"/>
          <w:vertAlign w:val="superscript"/>
        </w:rPr>
        <w:t>(1)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income and expenses for the three months ended March 31, 2026 and 2025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1060" w:type="dxa"/>
            <w:vAlign w:val="bottom"/>
            <w:tcBorders>
              <w:bottom w:val="single" w:sz="8" w:color="auto"/>
            </w:tcBorders>
          </w:tcPr>
          <w:p>
            <w:pPr>
              <w:spacing w:after="0"/>
              <w:rPr>
                <w:sz w:val="17"/>
                <w:szCs w:val="17"/>
                <w:color w:val="auto"/>
              </w:rPr>
            </w:pPr>
          </w:p>
        </w:tc>
      </w:tr>
      <w:tr>
        <w:trPr>
          <w:trHeight w:val="200"/>
        </w:trPr>
        <w:tc>
          <w:tcPr>
            <w:tcW w:w="68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42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200"/>
        </w:trPr>
        <w:tc>
          <w:tcPr>
            <w:tcW w:w="68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Ancillary, net</w:t>
            </w: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17.2 %</w:t>
            </w:r>
          </w:p>
        </w:tc>
      </w:tr>
      <w:tr>
        <w:trPr>
          <w:trHeight w:val="20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Interest</w:t>
            </w:r>
          </w:p>
        </w:tc>
        <w:tc>
          <w:tcPr>
            <w:tcW w:w="74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68.2 %</w:t>
            </w:r>
          </w:p>
        </w:tc>
      </w:tr>
      <w:tr>
        <w:trPr>
          <w:trHeight w:val="200"/>
        </w:trPr>
        <w:tc>
          <w:tcPr>
            <w:tcW w:w="68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Brokerage commissions and other, net</w:t>
            </w: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11.8 %</w:t>
            </w:r>
          </w:p>
        </w:tc>
      </w:tr>
      <w:tr>
        <w:trPr>
          <w:trHeight w:val="20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68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w:t>
            </w: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21.9 %</w:t>
            </w:r>
          </w:p>
        </w:tc>
      </w:tr>
      <w:tr>
        <w:trPr>
          <w:trHeight w:val="20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74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0"/>
        </w:trPr>
        <w:tc>
          <w:tcPr>
            <w:tcW w:w="68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132.5</w:t>
            </w: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123.7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7.1 %</w:t>
            </w:r>
          </w:p>
        </w:tc>
      </w:tr>
      <w:tr>
        <w:trPr>
          <w:trHeight w:val="20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Asset impairments</w:t>
            </w:r>
          </w:p>
        </w:tc>
        <w:tc>
          <w:tcPr>
            <w:tcW w:w="74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(98.8)%</w:t>
            </w:r>
          </w:p>
        </w:tc>
      </w:tr>
      <w:tr>
        <w:trPr>
          <w:trHeight w:val="200"/>
        </w:trPr>
        <w:tc>
          <w:tcPr>
            <w:tcW w:w="68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Interest</w:t>
            </w: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w:t>
            </w:r>
          </w:p>
        </w:tc>
      </w:tr>
      <w:tr>
        <w:trPr>
          <w:trHeight w:val="20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Items</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68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Gain / (loss) on dispositions of properties</w:t>
            </w:r>
          </w:p>
        </w:tc>
        <w:tc>
          <w:tcPr>
            <w:tcW w:w="74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0"/>
        </w:trPr>
        <w:tc>
          <w:tcPr>
            <w:tcW w:w="68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(166.7)%</w:t>
            </w:r>
          </w:p>
        </w:tc>
      </w:tr>
      <w:tr>
        <w:trPr>
          <w:trHeight w:val="20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Gain / (loss) on remeasurement of notes receivable</w:t>
            </w:r>
          </w:p>
        </w:tc>
        <w:tc>
          <w:tcPr>
            <w:tcW w:w="74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0"/>
        </w:trPr>
        <w:tc>
          <w:tcPr>
            <w:tcW w:w="68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Income from nonconsolidated affiliates</w:t>
            </w: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103.3 %</w:t>
            </w:r>
          </w:p>
        </w:tc>
      </w:tr>
      <w:tr>
        <w:trPr>
          <w:trHeight w:val="20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Gain on remeasurement of investment in nonconsolidated affiliates</w:t>
            </w:r>
          </w:p>
        </w:tc>
        <w:tc>
          <w:tcPr>
            <w:tcW w:w="74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N/A</w:t>
            </w:r>
          </w:p>
        </w:tc>
      </w:tr>
      <w:tr>
        <w:trPr>
          <w:trHeight w:val="200"/>
        </w:trPr>
        <w:tc>
          <w:tcPr>
            <w:tcW w:w="68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Current tax expense</w:t>
            </w: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r>
      <w:tr>
        <w:trPr>
          <w:trHeight w:val="20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Deferred tax benefit / (expense)</w:t>
            </w:r>
          </w:p>
        </w:tc>
        <w:tc>
          <w:tcPr>
            <w:tcW w:w="74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0"/>
        </w:trPr>
        <w:tc>
          <w:tcPr>
            <w:tcW w:w="68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Loss from discontinued operations, net</w:t>
            </w: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(18.5)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Preferred return to preferred OP units / equity interests</w:t>
            </w:r>
          </w:p>
        </w:tc>
        <w:tc>
          <w:tcPr>
            <w:tcW w:w="74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r>
      <w:tr>
        <w:trPr>
          <w:trHeight w:val="198"/>
        </w:trPr>
        <w:tc>
          <w:tcPr>
            <w:tcW w:w="68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Loss attributable to noncontrolling interests</w:t>
            </w: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bl>
    <w:p>
      <w:pPr>
        <w:spacing w:after="0" w:line="89" w:lineRule="exact"/>
        <w:rPr>
          <w:sz w:val="20"/>
          <w:szCs w:val="20"/>
          <w:color w:val="auto"/>
        </w:rPr>
      </w:pPr>
    </w:p>
    <w:p>
      <w:pPr>
        <w:ind w:right="3720" w:firstLine="8"/>
        <w:spacing w:after="0" w:line="228" w:lineRule="auto"/>
        <w:tabs>
          <w:tab w:leader="none" w:pos="149"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Only items determined by management to be material, of interest, or unique to the periods disclosed above are explained below. N/M = Percentage change is not meaningful. N/A = Not applicable.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 for the three months ended March 31, 2026, increased due to interest earned on our increased cash balance from the Safe Harbor Sale.</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 for the three months ended March 31, 2026, increased primarily due to accelerated share-based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$8.9 million and severance costs of $5.1 million related to executive leadership transitions in the current period. Refer to Note 9, "Share-Based Compensation," in our accompanying Consolidated Financial Statements for additional information.</w:t>
      </w:r>
    </w:p>
    <w:p>
      <w:pPr>
        <w:spacing w:after="0" w:line="2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Asset impairments </w:t>
      </w:r>
      <w:r>
        <w:rPr>
          <w:rFonts w:ascii="Times New Roman" w:cs="Times New Roman" w:eastAsia="Times New Roman" w:hAnsi="Times New Roman"/>
          <w:sz w:val="18"/>
          <w:szCs w:val="18"/>
          <w:color w:val="auto"/>
        </w:rPr>
        <w:t>- for the three months ended March 31, 2026, decreased due to asset impairment charges of $24.0 million in the prior period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pre-construction development costs at seven of our MH and RV properties at which the related development projects are no longer probable of being realized. Refer to Note 13, "Fair Value Measurements," in our accompanying Consolidated Financial Statements for additional information.</w:t>
      </w:r>
    </w:p>
    <w:p>
      <w:pPr>
        <w:spacing w:after="0" w:line="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for the three months ended March 31, 2026, decreased primarily due to the settlement of $3.2 billion in debt obligations in 2025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generated from the Safe Harbor Sale.</w:t>
      </w:r>
    </w:p>
    <w:p>
      <w:pPr>
        <w:spacing w:after="0" w:line="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 (loss) on foreign currency exchanges </w:t>
      </w:r>
      <w:r>
        <w:rPr>
          <w:rFonts w:ascii="Times New Roman" w:cs="Times New Roman" w:eastAsia="Times New Roman" w:hAnsi="Times New Roman"/>
          <w:sz w:val="18"/>
          <w:szCs w:val="18"/>
          <w:color w:val="auto"/>
        </w:rPr>
        <w:t>- for the three months ended March 31, 2026, was a loss of $24.5 million as compared to a gain of $8.7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during the same period in 2025, primarily due to the fluctuation of the U.S. dollar versus the British pound sterling.</w:t>
      </w:r>
    </w:p>
    <w:p>
      <w:pPr>
        <w:spacing w:after="0" w:line="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w:t>
      </w:r>
      <w:r>
        <w:rPr>
          <w:rFonts w:ascii="Times New Roman" w:cs="Times New Roman" w:eastAsia="Times New Roman" w:hAnsi="Times New Roman"/>
          <w:sz w:val="18"/>
          <w:szCs w:val="18"/>
          <w:color w:val="auto"/>
        </w:rPr>
        <w:t>- for the three months ended March 31, 2026, was an expense of $3.8 million, as compared to income of $5.7 million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2025, primarily due to a long-term lease termination loss in the UK of $12.2 million in the current period, partially offset by a gain on an insurance recovery. Refer to Note 15, "Leases" in our accompanying Consolidated Financial Statements for additional information.</w:t>
      </w:r>
    </w:p>
    <w:p>
      <w:pPr>
        <w:spacing w:after="0" w:line="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from nonconsolidated affiliates </w:t>
      </w:r>
      <w:r>
        <w:rPr>
          <w:rFonts w:ascii="Times New Roman" w:cs="Times New Roman" w:eastAsia="Times New Roman" w:hAnsi="Times New Roman"/>
          <w:sz w:val="18"/>
          <w:szCs w:val="18"/>
          <w:color w:val="auto"/>
        </w:rPr>
        <w:t>- for the three months ended March 31, 2026, was income of $6.1 million, as compared to income of $3.0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same period in 2025, primarily due to increased performance of the Sungenia JV. Refer to Note 6, "Investments in Nonconsolidated Affiliates," in our accompanying Consolidated Financial Statements for additional information.</w:t>
      </w:r>
    </w:p>
    <w:p>
      <w:pPr>
        <w:spacing w:after="0" w:line="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tax benefit / (expense) </w:t>
      </w:r>
      <w:r>
        <w:rPr>
          <w:rFonts w:ascii="Times New Roman" w:cs="Times New Roman" w:eastAsia="Times New Roman" w:hAnsi="Times New Roman"/>
          <w:sz w:val="18"/>
          <w:szCs w:val="18"/>
          <w:color w:val="auto"/>
        </w:rPr>
        <w:t>- for the three months ended March 31, 2026, was an expense of $6.4 million, as compared to a benefit of $5.2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same period in 2025, primarily due to fluctuations in interest expense deductions related to our operations in the UK in each period.</w:t>
      </w:r>
    </w:p>
    <w:p>
      <w:pPr>
        <w:spacing w:after="0" w:line="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from discontinued operations, net </w:t>
      </w:r>
      <w:r>
        <w:rPr>
          <w:rFonts w:ascii="Times New Roman" w:cs="Times New Roman" w:eastAsia="Times New Roman" w:hAnsi="Times New Roman"/>
          <w:sz w:val="18"/>
          <w:szCs w:val="18"/>
          <w:color w:val="auto"/>
        </w:rPr>
        <w:t>- for the three months ended March 31, 2026, was zero, as compared to $18.5 million in the same period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Safe Harbor Sale in 2025.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ATTRIBUTABLE TO SUI COMMON SHAREHOLDERS TO FFO</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loss attributable to SUI common shareholders to FFO for the three months ended March 31, 2026 and 2025 (in millions, except for per share amounts):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40" w:type="dxa"/>
            <w:vAlign w:val="bottom"/>
          </w:tcPr>
          <w:p>
            <w:pPr>
              <w:spacing w:after="0"/>
              <w:rPr>
                <w:sz w:val="17"/>
                <w:szCs w:val="17"/>
                <w:color w:val="auto"/>
              </w:rPr>
            </w:pPr>
          </w:p>
        </w:tc>
        <w:tc>
          <w:tcPr>
            <w:tcW w:w="2700" w:type="dxa"/>
            <w:vAlign w:val="bottom"/>
            <w:tcBorders>
              <w:bottom w:val="single" w:sz="8" w:color="auto"/>
            </w:tcBorders>
            <w:gridSpan w:val="5"/>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0"/>
        </w:trPr>
        <w:tc>
          <w:tcPr>
            <w:tcW w:w="85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9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Loss Attributable to SUI Common Shareholders</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w:t>
            </w:r>
          </w:p>
        </w:tc>
      </w:tr>
      <w:tr>
        <w:trPr>
          <w:trHeight w:val="200"/>
        </w:trPr>
        <w:tc>
          <w:tcPr>
            <w:tcW w:w="8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5"/>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 - continuing operations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r>
      <w:tr>
        <w:trPr>
          <w:trHeight w:val="200"/>
        </w:trPr>
        <w:tc>
          <w:tcPr>
            <w:tcW w:w="8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 - discontinued operations</w:t>
            </w:r>
          </w:p>
        </w:tc>
        <w:tc>
          <w:tcPr>
            <w:tcW w:w="86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w:t>
            </w:r>
          </w:p>
        </w:tc>
      </w:tr>
      <w:tr>
        <w:trPr>
          <w:trHeight w:val="205"/>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on nonconsolidated affiliates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0"/>
        </w:trPr>
        <w:tc>
          <w:tcPr>
            <w:tcW w:w="8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Asset impairments - continuing operations</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w:t>
            </w:r>
          </w:p>
        </w:tc>
      </w:tr>
      <w:tr>
        <w:trPr>
          <w:trHeight w:val="205"/>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Asset impairments - discontinued operations</w:t>
            </w:r>
          </w:p>
        </w:tc>
        <w:tc>
          <w:tcPr>
            <w:tcW w:w="8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0"/>
        </w:trPr>
        <w:tc>
          <w:tcPr>
            <w:tcW w:w="8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on remeasurement of investment in nonconsolidated affiliates</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notes receivable</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0"/>
        </w:trPr>
        <w:tc>
          <w:tcPr>
            <w:tcW w:w="8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dispositions of properties, including tax effect - continuing operations</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5"/>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 Returns on preferred OP units / equity interests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0"/>
        </w:trPr>
        <w:tc>
          <w:tcPr>
            <w:tcW w:w="8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Add: Loss attributable to noncontrolling interests</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05"/>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on disposition of assets, net</w:t>
            </w:r>
          </w:p>
        </w:tc>
        <w:tc>
          <w:tcPr>
            <w:tcW w:w="8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96"/>
        </w:trPr>
        <w:tc>
          <w:tcPr>
            <w:tcW w:w="8540" w:type="dxa"/>
            <w:vAlign w:val="bottom"/>
          </w:tcPr>
          <w:p>
            <w:pPr>
              <w:ind w:left="20"/>
              <w:spacing w:after="0" w:line="196" w:lineRule="exact"/>
              <w:rPr>
                <w:sz w:val="20"/>
                <w:szCs w:val="20"/>
                <w:color w:val="auto"/>
              </w:rPr>
            </w:pPr>
            <w:r>
              <w:rPr>
                <w:rFonts w:ascii="Times New Roman" w:cs="Times New Roman" w:eastAsia="Times New Roman" w:hAnsi="Times New Roman"/>
                <w:sz w:val="15"/>
                <w:szCs w:val="15"/>
                <w:b w:val="1"/>
                <w:bCs w:val="1"/>
                <w:color w:val="auto"/>
              </w:rPr>
              <w:t>FFO Attributable to SUI Common Shareholders and Convertible Securities</w:t>
            </w:r>
            <w:r>
              <w:rPr>
                <w:rFonts w:ascii="Times New Roman" w:cs="Times New Roman" w:eastAsia="Times New Roman" w:hAnsi="Times New Roman"/>
                <w:sz w:val="19"/>
                <w:szCs w:val="19"/>
                <w:color w:val="auto"/>
                <w:vertAlign w:val="superscript"/>
              </w:rPr>
              <w:t>(1)(5)(6)</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141.1</w:t>
            </w:r>
          </w:p>
        </w:tc>
      </w:tr>
      <w:tr>
        <w:trPr>
          <w:trHeight w:val="20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854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Acquisition and other transaction costs - continuing operations</w:t>
            </w:r>
            <w:r>
              <w:rPr>
                <w:rFonts w:ascii="Times New Roman" w:cs="Times New Roman" w:eastAsia="Times New Roman" w:hAnsi="Times New Roman"/>
                <w:sz w:val="19"/>
                <w:szCs w:val="19"/>
                <w:color w:val="auto"/>
                <w:vertAlign w:val="superscript"/>
              </w:rPr>
              <w:t>(2)</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203"/>
        </w:trPr>
        <w:tc>
          <w:tcPr>
            <w:tcW w:w="854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5"/>
                <w:szCs w:val="15"/>
                <w:color w:val="auto"/>
              </w:rPr>
              <w:t>Acquisition and other transaction costs - discontinued operations</w:t>
            </w:r>
            <w:r>
              <w:rPr>
                <w:rFonts w:ascii="Times New Roman" w:cs="Times New Roman" w:eastAsia="Times New Roman" w:hAnsi="Times New Roman"/>
                <w:sz w:val="19"/>
                <w:szCs w:val="19"/>
                <w:color w:val="auto"/>
                <w:vertAlign w:val="superscript"/>
              </w:rPr>
              <w:t>(2)</w:t>
            </w:r>
          </w:p>
        </w:tc>
        <w:tc>
          <w:tcPr>
            <w:tcW w:w="8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r>
      <w:tr>
        <w:trPr>
          <w:trHeight w:val="200"/>
        </w:trPr>
        <w:tc>
          <w:tcPr>
            <w:tcW w:w="8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 - continuing operations</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5"/>
        </w:trPr>
        <w:tc>
          <w:tcPr>
            <w:tcW w:w="8540" w:type="dxa"/>
            <w:vAlign w:val="bottom"/>
            <w:shd w:val="clear" w:color="auto" w:fill="CCEEFF"/>
          </w:tcPr>
          <w:p>
            <w:pPr>
              <w:ind w:left="220"/>
              <w:spacing w:after="0" w:line="204" w:lineRule="exact"/>
              <w:rPr>
                <w:sz w:val="20"/>
                <w:szCs w:val="20"/>
                <w:color w:val="auto"/>
              </w:rPr>
            </w:pPr>
            <w:r>
              <w:rPr>
                <w:rFonts w:ascii="Times New Roman" w:cs="Times New Roman" w:eastAsia="Times New Roman" w:hAnsi="Times New Roman"/>
                <w:sz w:val="15"/>
                <w:szCs w:val="15"/>
                <w:color w:val="auto"/>
              </w:rPr>
              <w:t>Loss of earnings - catastrophic event-related charges, net</w:t>
            </w:r>
            <w:r>
              <w:rPr>
                <w:rFonts w:ascii="Times New Roman" w:cs="Times New Roman" w:eastAsia="Times New Roman" w:hAnsi="Times New Roman"/>
                <w:sz w:val="19"/>
                <w:szCs w:val="19"/>
                <w:color w:val="auto"/>
                <w:vertAlign w:val="superscript"/>
              </w:rPr>
              <w:t>(3)</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200"/>
        </w:trPr>
        <w:tc>
          <w:tcPr>
            <w:tcW w:w="8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Accelerated deferred compensation amortization</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5"/>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r>
      <w:tr>
        <w:trPr>
          <w:trHeight w:val="200"/>
        </w:trPr>
        <w:tc>
          <w:tcPr>
            <w:tcW w:w="8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tax (benefit) / expense</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205"/>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Long term lease termination losses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3"/>
        </w:trPr>
        <w:tc>
          <w:tcPr>
            <w:tcW w:w="854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Other adjustments, net - continuing operations</w:t>
            </w:r>
            <w:r>
              <w:rPr>
                <w:rFonts w:ascii="Times New Roman" w:cs="Times New Roman" w:eastAsia="Times New Roman" w:hAnsi="Times New Roman"/>
                <w:sz w:val="19"/>
                <w:szCs w:val="19"/>
                <w:color w:val="auto"/>
                <w:vertAlign w:val="superscript"/>
              </w:rPr>
              <w:t>(4)</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03"/>
        </w:trPr>
        <w:tc>
          <w:tcPr>
            <w:tcW w:w="854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5"/>
                <w:szCs w:val="15"/>
                <w:color w:val="auto"/>
              </w:rPr>
              <w:t>Other adjustments, net - discontinued operations</w:t>
            </w:r>
            <w:r>
              <w:rPr>
                <w:rFonts w:ascii="Times New Roman" w:cs="Times New Roman" w:eastAsia="Times New Roman" w:hAnsi="Times New Roman"/>
                <w:sz w:val="19"/>
                <w:szCs w:val="19"/>
                <w:color w:val="auto"/>
                <w:vertAlign w:val="superscript"/>
              </w:rPr>
              <w:t>(4)</w:t>
            </w:r>
          </w:p>
        </w:tc>
        <w:tc>
          <w:tcPr>
            <w:tcW w:w="8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r>
      <w:tr>
        <w:trPr>
          <w:trHeight w:val="196"/>
        </w:trPr>
        <w:tc>
          <w:tcPr>
            <w:tcW w:w="8540" w:type="dxa"/>
            <w:vAlign w:val="bottom"/>
          </w:tcPr>
          <w:p>
            <w:pPr>
              <w:ind w:left="20"/>
              <w:spacing w:after="0" w:line="196" w:lineRule="exact"/>
              <w:rPr>
                <w:sz w:val="20"/>
                <w:szCs w:val="20"/>
                <w:color w:val="auto"/>
              </w:rPr>
            </w:pPr>
            <w:r>
              <w:rPr>
                <w:rFonts w:ascii="Times New Roman" w:cs="Times New Roman" w:eastAsia="Times New Roman" w:hAnsi="Times New Roman"/>
                <w:sz w:val="15"/>
                <w:szCs w:val="15"/>
                <w:b w:val="1"/>
                <w:bCs w:val="1"/>
                <w:color w:val="auto"/>
              </w:rPr>
              <w:t>Core FFO Attributable to SUI Common Shareholders and Convertible Securities</w:t>
            </w:r>
            <w:r>
              <w:rPr>
                <w:rFonts w:ascii="Times New Roman" w:cs="Times New Roman" w:eastAsia="Times New Roman" w:hAnsi="Times New Roman"/>
                <w:sz w:val="19"/>
                <w:szCs w:val="19"/>
                <w:color w:val="auto"/>
                <w:vertAlign w:val="superscript"/>
              </w:rPr>
              <w:t>(1)(5)(6)</w:t>
            </w:r>
          </w:p>
        </w:tc>
        <w:tc>
          <w:tcPr>
            <w:tcW w:w="860" w:type="dxa"/>
            <w:vAlign w:val="bottom"/>
            <w:tcBorders>
              <w:top w:val="single" w:sz="8" w:color="auto"/>
              <w:bottom w:val="single" w:sz="8" w:color="auto"/>
            </w:tcBorders>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167.1</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3"/>
        </w:trPr>
        <w:tc>
          <w:tcPr>
            <w:tcW w:w="854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b w:val="1"/>
                <w:bCs w:val="1"/>
                <w:color w:val="auto"/>
              </w:rPr>
              <w:t>Weighted Average Common Shares and OP Units Outstanding</w:t>
            </w:r>
            <w:r>
              <w:rPr>
                <w:rFonts w:ascii="Times New Roman" w:cs="Times New Roman" w:eastAsia="Times New Roman" w:hAnsi="Times New Roman"/>
                <w:sz w:val="19"/>
                <w:szCs w:val="19"/>
                <w:color w:val="auto"/>
                <w:vertAlign w:val="superscript"/>
              </w:rPr>
              <w:t>(1)</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132.2</w:t>
            </w:r>
          </w:p>
        </w:tc>
      </w:tr>
      <w:tr>
        <w:trPr>
          <w:trHeight w:val="203"/>
        </w:trPr>
        <w:tc>
          <w:tcPr>
            <w:tcW w:w="85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b w:val="1"/>
                <w:bCs w:val="1"/>
                <w:color w:val="auto"/>
              </w:rPr>
              <w:t>FFO Attributable to SUI Common Shareholders and Convertible Securities</w:t>
            </w:r>
            <w:r>
              <w:rPr>
                <w:rFonts w:ascii="Times New Roman" w:cs="Times New Roman" w:eastAsia="Times New Roman" w:hAnsi="Times New Roman"/>
                <w:sz w:val="19"/>
                <w:szCs w:val="19"/>
                <w:color w:val="auto"/>
                <w:vertAlign w:val="superscript"/>
              </w:rPr>
              <w:t>(1)(5)(6)</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r>
      <w:tr>
        <w:trPr>
          <w:trHeight w:val="261"/>
        </w:trPr>
        <w:tc>
          <w:tcPr>
            <w:tcW w:w="85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Core FFO Attributable to SUI Common Shareholders and Convertible Securities</w:t>
            </w:r>
            <w:r>
              <w:rPr>
                <w:rFonts w:ascii="Times New Roman" w:cs="Times New Roman" w:eastAsia="Times New Roman" w:hAnsi="Times New Roman"/>
                <w:sz w:val="19"/>
                <w:szCs w:val="19"/>
                <w:color w:val="auto"/>
                <w:vertAlign w:val="superscript"/>
              </w:rPr>
              <w:t>(1)(5)(6)</w:t>
            </w:r>
          </w:p>
        </w:tc>
        <w:tc>
          <w:tcPr>
            <w:tcW w:w="86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tcPr>
          <w:p>
            <w:pPr>
              <w:spacing w:after="0"/>
              <w:rPr>
                <w:sz w:val="22"/>
                <w:szCs w:val="22"/>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r>
    </w:tbl>
    <w:p>
      <w:pPr>
        <w:ind w:left="160" w:hanging="152"/>
        <w:spacing w:after="0" w:line="209" w:lineRule="auto"/>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Assumes full conversion of all equity participating units, including common and preferred OP units, into our common stock, and has no material impact on previously reported results.</w:t>
      </w:r>
    </w:p>
    <w:p>
      <w:pPr>
        <w:jc w:val="both"/>
        <w:ind w:left="180" w:hanging="172"/>
        <w:spacing w:after="0" w:line="260" w:lineRule="auto"/>
        <w:tabs>
          <w:tab w:leader="none" w:pos="167"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These costs represent (i) nonrecurring integration expenses associated with acquisitions during the three months ended March 31, 2026 and 2025, (ii) costs associated with potential acquisitions that will not close, (iii) expenses incurred to bring recently acquired properties up to our operating standards, including items such as tree trimming and painting costs that do not meet our capitalization policy. Acquisition and other transaction costs - discontinued operations primarily represent non-recurring costs directly attributable to the Safe Harbor Sale.</w:t>
      </w:r>
    </w:p>
    <w:p>
      <w:pPr>
        <w:ind w:left="160" w:hanging="152"/>
        <w:spacing w:after="0" w:line="192" w:lineRule="auto"/>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Loss of earnings - catastrophic event-related charges, net include the following:</w:t>
      </w:r>
    </w:p>
    <w:p>
      <w:pPr>
        <w:spacing w:after="0" w:line="44"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3"/>
        </w:trPr>
        <w:tc>
          <w:tcPr>
            <w:tcW w:w="8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Hurricane Ian - Estimated loss of earnings in excess of the applicable business interruption deductible</w:t>
            </w: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48"/>
        </w:trPr>
        <w:tc>
          <w:tcPr>
            <w:tcW w:w="82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1160" w:type="dxa"/>
            <w:vAlign w:val="bottom"/>
            <w:tcBorders>
              <w:bottom w:val="single" w:sz="8" w:color="CCEEFF"/>
            </w:tcBorders>
            <w:gridSpan w:val="2"/>
            <w:vMerge w:val="continue"/>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Hurricane Ian - Recognition of deferred lump sum insurance settlement</w:t>
            </w:r>
          </w:p>
        </w:tc>
        <w:tc>
          <w:tcPr>
            <w:tcW w:w="22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Hurricane Helene - Estimated loss of earnings in excess of the applicable business interruption deductible, net</w:t>
            </w:r>
          </w:p>
        </w:tc>
        <w:tc>
          <w:tcPr>
            <w:tcW w:w="22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68"/>
        </w:trPr>
        <w:tc>
          <w:tcPr>
            <w:tcW w:w="82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CCEEFF"/>
            </w:tcBorders>
            <w:gridSpan w:val="2"/>
            <w:vMerge w:val="continue"/>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of earnings - catastrophic event-related charges, net</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4"/>
          <w:szCs w:val="14"/>
          <w:color w:val="auto"/>
        </w:rPr>
        <w:t>During the year ended December 31, 2025, we received a settlement of $80.2 million from an insurance provider to settle all claims related to property, casualty, flood, and business interruption insurance recoveries from Hurricane Ian. We concluded that $36.5 million of the total settlement pertained to business interruption recoveries through 2027, which we recorded as a contingent gain per ASC 450. To better reflect the underlying economics of the transaction, we have elected to defer the business interruption recovery gain and recognize income ratably through 2027 for our presentation of Core FFO.</w:t>
      </w:r>
    </w:p>
    <w:p>
      <w:pPr>
        <w:spacing w:after="0" w:line="2" w:lineRule="exact"/>
        <w:rPr>
          <w:sz w:val="20"/>
          <w:szCs w:val="20"/>
          <w:color w:val="auto"/>
        </w:rPr>
      </w:pPr>
    </w:p>
    <w:p>
      <w:pPr>
        <w:ind w:left="180" w:hanging="172"/>
        <w:spacing w:after="0" w:line="259" w:lineRule="auto"/>
        <w:tabs>
          <w:tab w:leader="none" w:pos="167"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adjustments, net - continuing operations relates primarily to severance costs and an insurance recovery gain during the three months ended March 31, 2026, and Other adjustments, net - discontinued operations relates primarily to a contingent consideration expense during the three months ended March 31, 2025.</w:t>
      </w:r>
    </w:p>
    <w:p>
      <w:pPr>
        <w:ind w:left="180" w:hanging="172"/>
        <w:spacing w:after="0"/>
        <w:tabs>
          <w:tab w:leader="none" w:pos="167"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FFO and Core FFO includes discontinued operations activity of $20.0 million or $0.15 per Share, and $49.2 million or $0.37 per Share, respectively,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Liquidity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short-term liquidity demands are expected to consist of distributions to our shareholders and the unit holders of the Operating Partnership through cash distributions and share repurchases, property acquisitions, development and expansion of our properties, capital improvement of our properties, and the purchase of new and pre-owned homes. We intend to meet our short-term liquidity requirements through available cash balances, cash flow generated from operations, draws on our Senior Credit Facility, and the use of debt and equity offerings under our shelf registration statement.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employ a disciplined approach to selecting the optimal mix of financing sources to meet our liquidity demands and minimize our overall cost of capital. Our strategy centers on strengthening our core business, enhancing our leverage profile, and increasing financial flexibility. We continue to implement a balanced, tax-efficient capital allocation plan designed to optimize shareholder value by reducing leverage, enhancing financial flexibility to drive sustainable cash flow growth, and executing on a thoughtful capital return strategy. We intend to maintain our strong financial position and lower leverage profile by focusing on our core fundamentals, which are generating positive cash flows from operations, maintaining appropriate debt levels and leverage ratios, and managing overhead costs.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initial public offering in 1993, we have demonstrated operational reliability and cash flow strength throughout economic cycles. Our current objectives include streamlining our operations with an emphasis on our reliable real property income. We are positioned for ongoing organic growth with expected rental rate increases, occupancy gains, and expense management. In 2026, we continue to expect rental rate growth that exceeds headline inflation with ongoing focus on expense management to continue generating strong organic cash flow growth.</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March 31, 2026, we initiated the following capital allocation decisions:</w:t>
      </w:r>
    </w:p>
    <w:p>
      <w:pPr>
        <w:spacing w:after="0" w:line="11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0.5 million shares of our common stock at an average cost of $126.45 per share for a total of $60.1 million.</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Targeted reinvestment in strategic growth by acquiring one MH property and one UK property for total cash consideration of $27.6 million, which was partially sourced from 1031 exchange escrow accounts to minimize tax impacts.</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market conditions, we intend to selectively identify opportunities to acquire existing properties and expand our development pipeline. We finance acquisitions through available cash, secured financing, draws on our Senior Credit Facility, the assumption of existing debt on properties, and the issuance of debt and equity securities. As of March 31, 2026, we had allocated restricted cash of $9.6 million into 1031 exchange escrow accounts to fund potential future MH and RV acquisitions. Given the higher interest rate environment, we continue to selectively pursue acquisition and development opportunities that meet our underwriting criteria. Refer to Note 3, "Real Estate Acquisitions and Dispositions," in our accompanying Consolidated Financial Statements for additional details on acquisitions and dispositions completed to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(excluding Acquisition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expenditure activity is summarized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200"/>
        </w:trPr>
        <w:tc>
          <w:tcPr>
            <w:tcW w:w="79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bottom w:val="single" w:sz="8" w:color="auto"/>
            </w:tcBorders>
          </w:tcPr>
          <w:p>
            <w:pPr>
              <w:spacing w:after="0"/>
              <w:rPr>
                <w:sz w:val="17"/>
                <w:szCs w:val="17"/>
                <w:color w:val="auto"/>
              </w:rPr>
            </w:pPr>
          </w:p>
        </w:tc>
      </w:tr>
      <w:tr>
        <w:trPr>
          <w:trHeight w:val="19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Recurring Capital Expenditures</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14.1</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r>
      <w:tr>
        <w:trPr>
          <w:trHeight w:val="200"/>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Non-Recurring Capital Expenditures and Related Activities</w:t>
            </w: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Lot modifications</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Growth projects</w:t>
            </w:r>
          </w:p>
        </w:tc>
        <w:tc>
          <w:tcPr>
            <w:tcW w:w="1080" w:type="dxa"/>
            <w:vAlign w:val="bottom"/>
          </w:tcPr>
          <w:p>
            <w:pPr>
              <w:spacing w:after="0"/>
              <w:rPr>
                <w:sz w:val="17"/>
                <w:szCs w:val="17"/>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Rebranding</w:t>
            </w:r>
          </w:p>
        </w:tc>
        <w:tc>
          <w:tcPr>
            <w:tcW w:w="10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improvements to recent acquisitions</w:t>
            </w:r>
          </w:p>
        </w:tc>
        <w:tc>
          <w:tcPr>
            <w:tcW w:w="1080" w:type="dxa"/>
            <w:vAlign w:val="bottom"/>
          </w:tcPr>
          <w:p>
            <w:pPr>
              <w:spacing w:after="0"/>
              <w:rPr>
                <w:sz w:val="17"/>
                <w:szCs w:val="17"/>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Expansion and development</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17.2</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Rental program</w:t>
            </w:r>
          </w:p>
        </w:tc>
        <w:tc>
          <w:tcPr>
            <w:tcW w:w="1080" w:type="dxa"/>
            <w:vAlign w:val="bottom"/>
          </w:tcPr>
          <w:p>
            <w:pPr>
              <w:spacing w:after="0"/>
              <w:rPr>
                <w:sz w:val="17"/>
                <w:szCs w:val="17"/>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54.4</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0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94"/>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Total Non-Recurring Capital Expenditure and Related Activities</w:t>
            </w: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92.9</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96.3</w:t>
            </w: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Capital Expenditure and Related Activities</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"Liquidity and Capital Resources" section in Part II, Item 7 of our 2025 Annual Report for capital expenditure activity definitions and additional information.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activities are summarized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0"/>
        </w:trPr>
        <w:tc>
          <w:tcPr>
            <w:tcW w:w="79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9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center"/>
              <w:ind w:left="684"/>
              <w:spacing w:after="0"/>
              <w:rPr>
                <w:sz w:val="20"/>
                <w:szCs w:val="20"/>
                <w:color w:val="auto"/>
              </w:rPr>
            </w:pPr>
            <w:r>
              <w:rPr>
                <w:rFonts w:ascii="Times New Roman" w:cs="Times New Roman" w:eastAsia="Times New Roman" w:hAnsi="Times New Roman"/>
                <w:sz w:val="15"/>
                <w:szCs w:val="15"/>
                <w:color w:val="auto"/>
              </w:rPr>
              <w:t>269.3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139.3</w:t>
            </w:r>
          </w:p>
        </w:tc>
      </w:tr>
      <w:tr>
        <w:trPr>
          <w:trHeight w:val="200"/>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Provided By / (Used For) Investing Activities</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center"/>
              <w:ind w:left="664"/>
              <w:spacing w:after="0"/>
              <w:rPr>
                <w:sz w:val="20"/>
                <w:szCs w:val="20"/>
                <w:color w:val="auto"/>
              </w:rPr>
            </w:pPr>
            <w:r>
              <w:rPr>
                <w:rFonts w:ascii="Times New Roman" w:cs="Times New Roman" w:eastAsia="Times New Roman" w:hAnsi="Times New Roman"/>
                <w:sz w:val="15"/>
                <w:szCs w:val="15"/>
                <w:color w:val="auto"/>
              </w:rPr>
              <w:t>(140.2)</w:t>
            </w:r>
          </w:p>
        </w:tc>
        <w:tc>
          <w:tcPr>
            <w:tcW w:w="8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w:t>
            </w:r>
          </w:p>
        </w:tc>
      </w:tr>
      <w:tr>
        <w:trPr>
          <w:trHeight w:val="20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For Financing Activities</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center"/>
              <w:ind w:left="664"/>
              <w:spacing w:after="0"/>
              <w:rPr>
                <w:sz w:val="20"/>
                <w:szCs w:val="20"/>
                <w:color w:val="auto"/>
              </w:rPr>
            </w:pPr>
            <w:r>
              <w:rPr>
                <w:rFonts w:ascii="Times New Roman" w:cs="Times New Roman" w:eastAsia="Times New Roman" w:hAnsi="Times New Roman"/>
                <w:sz w:val="15"/>
                <w:szCs w:val="15"/>
                <w:color w:val="auto"/>
              </w:rPr>
              <w:t>(267.3)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(119.0)</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cash equivalents and restricted cash decreased by $139.1 million from $636.1 million as of December 31, 2025, to $497.0 million as of March 31, 2026.</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 Net cash provided by operating activities increased by $130.0 million to $269.3 million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$139.3 million for the three months ended March 31, 2025. The increase in operating cash flow was primarily due to growth in Same Property operating performance at our MH, RV, and UK properties and beneficial changes in accounts payable and other liabilities during the three months ended March 31, 2026 as compared to the corresponding period in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cash flows provided by operating activities may be adversely impacted by, among other things:</w:t>
      </w:r>
    </w:p>
    <w:p>
      <w:pPr>
        <w:spacing w:after="0" w:line="11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and economic conditions in our current markets generally, and specifically in the metropolitan areas of our current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occupancy and rental rates of our properties;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other operating costs, such as wage and benefit costs, supplies and repairs, real estate taxes, and utilities;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increases in insurance premiums;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manufactured homes;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volatility in economic conditions and the financial markets;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outbreaks of disease and related restrictions on business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in Part I, Item 1A of our 2025 Annual Report.</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 Net cash used for investing activities was $140.2 million for the three months ended March 31, 2026, compared to net cash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investing activities of $19.6 million for the three months ended March 31, 2025. The change in Net cash provided by / (used for) investing activities was primarily driven by an increase in cash deployed to acquire new properties and a decrease in cash proceeds received from disposition activity during the three months ended March 31, 2026 as compared to the corresponding period in 2025.</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 Net cash used for financing activities increased by $148.3 million to $267.3 million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$119.0 million for the three months ended March 31, 2025. The increase in Net cash used for financing activities was primarily driven by an increase in cash deployed to repurchase shares of our common stock and an increase in cash redemptions for our preferred OP units during the three months ended March 31, 2026 as compared to the corresponding period in 2025. Refer to Note 8, "Equity and Temporary Equity," in our accompanying Consolidated Financial Statements for additional information.</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interest rate variability associated with potential floating rate debt and any maturing debt that has to be refinanced. Interest rate movements impact our borrowing costs and, while as of March 31, 2026, 100% of our total debt was fixed rate financing, increases in interest costs have the potential to adversely affect our financial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and Debt Activity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 Sales Agreement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the ATM program with certain sales agents and forward sellers pursuant to which we may sell, from time to time, up to an aggregate gross sales price of $1.25 billion of our common stock. Through March 31, 2026, we had entered into and settled forward sales agreements under the ATM for an aggregate gross sales price of $524.8 million, leaving $725.2 million available for sale under the ATM.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2025, our Board of Directors authorized a stock repurchase program under which we may repurchase up to $1.0 billion in shares of our outstanding common stock through April 30, 2026. Under the Stock Repurchase Program, we may repurchase shares of our common stock in open market transactions, through privately negotiated transactions, through one or more accelerated repurchases, or otherwise, in accordance with the terms set forth in Rule 10b5-1 and Rule 10b-18 of the Exchange Act and other applicable legal requirements. The Stock Repurchase Program does not obligate us to repurchase any specific number of shares, and we may initiate, suspend, or discontinue purchases under the Stock Repurchase Program at any time.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repurchased shares are retired and returned to authorized but unissued status upon settlement. Through March 31, 2026, we repurchased and retired 4.8 million shares of our outstanding common stock for $599.2 million. As of March 31, 2026, we had $400.8 million remaining authorized for purchase under this program.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senior unsecured notes (in millions, except for statistical information). All senior unsecured notes include interest payments on a semi-annual basis in arrears.</w:t>
      </w:r>
    </w:p>
    <w:p>
      <w:pPr>
        <w:spacing w:after="0" w:line="9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Carrying Amount at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Principal Amount</w:t>
            </w: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96"/>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4.2% notes, issued in April 2022 and due in April 2032</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594.1</w:t>
            </w:r>
          </w:p>
        </w:tc>
      </w:tr>
      <w:tr>
        <w:trPr>
          <w:trHeight w:val="200"/>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2.3% notes, issued in October 2021 and due in November 2028</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448.1</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2.7% notes, issued in June 2021 and October 2021, and due in July 2031</w:t>
            </w: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744.6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744.3</w:t>
            </w:r>
          </w:p>
        </w:tc>
      </w:tr>
      <w:tr>
        <w:trPr>
          <w:trHeight w:val="196"/>
        </w:trPr>
        <w:tc>
          <w:tcPr>
            <w:tcW w:w="58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1,800.0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1,787.1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1,786.5</w:t>
            </w:r>
          </w:p>
        </w:tc>
      </w:tr>
      <w:tr>
        <w:trPr>
          <w:trHeight w:val="21"/>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obligations of the Operating Partnership to pay principal, premiums, if any, and interest on our senior unsecured notes are guaranteed on a senior basis by Sun Communities, Inc. The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we entered into the Credit Agreement. Pursuant to the Credit Agreement, we may borrow up to $2.0 billion under a Senior Credit Facility. The Credit Agreement also permits, subject to the satisfaction of certain conditions, additional borrowings of $1.0 billion. The Senior Credit Facility's maturity date is January 31, 2030, and, at our option, may be extended for two additional six-month periods subject to the satisfaction of certain conditions. As of March 31, 2026, there were no borrowings under the Senior Credit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7, "Debt and Line of Credit," for additional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Senior Credit Facility, we are subject to various financial and other covenants. The most restrictive financial covenants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Credit Facility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0" w:type="dxa"/>
            <w:vAlign w:val="bottom"/>
            <w:gridSpan w:val="2"/>
          </w:tcPr>
          <w:p>
            <w:pPr>
              <w:ind w:left="3140"/>
              <w:spacing w:after="0"/>
              <w:rPr>
                <w:sz w:val="20"/>
                <w:szCs w:val="20"/>
                <w:color w:val="auto"/>
              </w:rPr>
            </w:pPr>
            <w:r>
              <w:rPr>
                <w:rFonts w:ascii="Times New Roman" w:cs="Times New Roman" w:eastAsia="Times New Roman" w:hAnsi="Times New Roman"/>
                <w:sz w:val="15"/>
                <w:szCs w:val="15"/>
                <w:b w:val="1"/>
                <w:bCs w:val="1"/>
                <w:color w:val="auto"/>
              </w:rPr>
              <w:t>Covenant</w:t>
            </w:r>
          </w:p>
        </w:tc>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Requirement</w:t>
            </w:r>
          </w:p>
        </w:tc>
        <w:tc>
          <w:tcPr>
            <w:tcW w:w="208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As of March 31, 2026</w:t>
            </w:r>
          </w:p>
        </w:tc>
      </w:tr>
      <w:tr>
        <w:trPr>
          <w:trHeight w:val="20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leverage ratio</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&lt;65.0%</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18.8%</w:t>
            </w:r>
          </w:p>
        </w:tc>
      </w:tr>
      <w:tr>
        <w:trPr>
          <w:trHeight w:val="20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Minimum fixed charge coverage ratio</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&gt;1.40</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4.43</w:t>
            </w:r>
          </w:p>
        </w:tc>
      </w:tr>
      <w:tr>
        <w:trPr>
          <w:trHeight w:val="205"/>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secured leverage ratio</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&lt;40.0%</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are required to maintain the following covenants with respect to the senior unsecured notes payable: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0" w:type="dxa"/>
            <w:vAlign w:val="bottom"/>
            <w:gridSpan w:val="2"/>
          </w:tcPr>
          <w:p>
            <w:pPr>
              <w:ind w:left="3140"/>
              <w:spacing w:after="0"/>
              <w:rPr>
                <w:sz w:val="20"/>
                <w:szCs w:val="20"/>
                <w:color w:val="auto"/>
              </w:rPr>
            </w:pPr>
            <w:r>
              <w:rPr>
                <w:rFonts w:ascii="Times New Roman" w:cs="Times New Roman" w:eastAsia="Times New Roman" w:hAnsi="Times New Roman"/>
                <w:sz w:val="15"/>
                <w:szCs w:val="15"/>
                <w:b w:val="1"/>
                <w:bCs w:val="1"/>
                <w:color w:val="auto"/>
              </w:rPr>
              <w:t>Covenant</w:t>
            </w:r>
          </w:p>
        </w:tc>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Requirement</w:t>
            </w:r>
          </w:p>
        </w:tc>
        <w:tc>
          <w:tcPr>
            <w:tcW w:w="208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As of March 31, 2026</w:t>
            </w:r>
          </w:p>
        </w:tc>
      </w:tr>
      <w:tr>
        <w:trPr>
          <w:trHeight w:val="20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debt to total assets</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≤60.0%</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27.0%</w:t>
            </w:r>
          </w:p>
        </w:tc>
      </w:tr>
      <w:tr>
        <w:trPr>
          <w:trHeight w:val="20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Secured debt to total assets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≤40.0%</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15.6%</w:t>
            </w:r>
          </w:p>
        </w:tc>
      </w:tr>
      <w:tr>
        <w:trPr>
          <w:trHeight w:val="205"/>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income available for debt service to debt service</w:t>
            </w:r>
          </w:p>
        </w:tc>
        <w:tc>
          <w:tcPr>
            <w:tcW w:w="2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≥1.50</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7.14</w:t>
            </w:r>
          </w:p>
        </w:tc>
      </w:tr>
      <w:tr>
        <w:trPr>
          <w:trHeight w:val="198"/>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Unencumbered total asset value to total unsecured debt</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≥150.0%</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693.3%</w:t>
            </w:r>
          </w:p>
        </w:tc>
      </w:tr>
    </w:tbl>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were in compliance with the above covenants and do not anticipate that we will be unable to meet these covenants in the near term.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Financing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Financing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meeting our long-term liquidity requirements, such as scheduled debt maturities, large property acquisitions, expansion and development of properties, other nonrecurring capital improvements, and Operating Partnership unit redemptions through long-term unsecured and secured debt, and the issuance of certain debt or equity securities, subject to market conditions. If current market and economic conditions, including relating to, among other things, interest rates, currency fluctuations, equity valuations, and inflation, continue or worsen, our ability to obtain debt and equity capital in the long term on attractive terms may be adversely affected.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had unrestricted cash on hand of $482.4 million, $2.0 billion of remaining capacity on the Senior Credit Facility, and a total of 405 unencumbered MH, RV, and UK properties.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and RV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debt as maturities become due. See "Risk Factors" in Part I, Item 1A of our 2025 Annual Report. If we are unable to obtain additional debt or equity financing on acceptable terms, our business, results of operations and financial condition would be adversely impacted.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our debt has a weighted average interest rate of 3.37% and a weighted average maturity of 6.8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nonconsolidated affiliates, which are accounted for under the equity-method of accounting, have incurred debt. We have not guaranteed the debt of our nonconsolidated affiliates in the arrangements referenced below, nor do we have any obligations to fund this debt should the nonconsolidated affiliates be unable to do so. Refer to Note 6, "Investments in Nonconsolidated Affiliates," in the accompanying Consolidated Financial Statements for additional information about these entities.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GTSC </w:t>
      </w:r>
      <w:r>
        <w:rPr>
          <w:rFonts w:ascii="Times New Roman" w:cs="Times New Roman" w:eastAsia="Times New Roman" w:hAnsi="Times New Roman"/>
          <w:sz w:val="18"/>
          <w:szCs w:val="18"/>
          <w:color w:val="auto"/>
        </w:rPr>
        <w:t>- GTSC maintains a warehouse line of credit with a maximum borrowing capacity of $275.0 million. As of March 31, 2026 and December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aggregate carrying amount of debt, including both our and our partner's share, incurred by GTSC was $208.8 million (of which our proportionate share is $83.5 million), and $213.0 million (of which our proportionate share is $85.2 million), respectively. The debt bears interest at a variable rate based on a Commercial Paper or adjusted SOFR plus a margin ranging from 1.65% to 2.5% per annum and matures on December 15, 2026.</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Sungenia JV </w:t>
      </w:r>
      <w:r>
        <w:rPr>
          <w:rFonts w:ascii="Times New Roman" w:cs="Times New Roman" w:eastAsia="Times New Roman" w:hAnsi="Times New Roman"/>
          <w:sz w:val="18"/>
          <w:szCs w:val="18"/>
          <w:color w:val="auto"/>
        </w:rPr>
        <w:t>- Sungenia maintains a debt facility agreement with a maximum borrowing capacity of $54.1 million Australian dollars, or $37.9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converted at the March 31, 2026 exchange rate. As of March 31, 2026 and December 31, 2025, the aggregate carrying amount of the debt, including both our and our partners' share, incurred by Sungenia JV was $21.9 million (of which our proportionate share is approximately $11.0 million), and $20.8 million (of which our proportionate share is $10.4 million), respectively. The debt bears interest at a variable rate based on the Australian BBSY rate plus a margin ranging from 0.95% to 1.4%, subject to adjustment for additional future commitments, per annum and matures on June 30, 2027.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various "forward-looking statements" within the meaning of the Securities Act of 1933, as amended (the "Securities Act"), and the Exchange Act, and we intend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uncertainties, and other factors, both general and specific to the matters discussed in this document, some of which are beyond our control. These risks, uncertainties, and other factors may cause our actual results to be materially different from any future results expressed or implied by such forward-looking statements. In addition to the risks disclosed under "Risk Factors" in our 2025 Annual Report, and in our other filings with the SEC, from time to time, such risks, uncertainties and other factors include, but are not limited to:</w:t>
      </w:r>
    </w:p>
    <w:p>
      <w:pPr>
        <w:sectPr>
          <w:pgSz w:w="11900" w:h="16838" w:orient="portrait"/>
          <w:cols w:equalWidth="0" w:num="1">
            <w:col w:w="11240"/>
          </w:cols>
          <w:pgMar w:left="320" w:top="117" w:right="339" w:bottom="1440" w:gutter="0" w:footer="0" w:header="0"/>
        </w:sectPr>
      </w:pP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7"/>
          <w:szCs w:val="27"/>
          <w:b w:val="1"/>
          <w:bCs w:val="1"/>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liquidity and refinancing demands;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ability to obtain or refinance maturing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ability to maintain compliance with covenants contained in our debt facilities and our unsecured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Availability of capital;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volatility of the capital markets and the market price of shares of our capital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Increases in interest rates and operating costs, including insurance premiums, real estate taxes, and utilities;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Difficulties in our ability to evaluate, finance, complete, and integrate acquisitions, developments, and expansions successfully;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Competitive market forces;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ability of purchasers of manufactured homes to obtain financing;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level of repossessions of manufactured homes;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ability to maintain effective internal control over financial reporting and disclosure controls and procedures;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Expectations regarding the amount or frequency of impairment losses;</w:t>
      </w:r>
    </w:p>
    <w:p>
      <w:pPr>
        <w:spacing w:after="0" w:line="115"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17"/>
          <w:szCs w:val="17"/>
          <w:color w:val="auto"/>
        </w:rPr>
        <w:t>Changes in general economic conditions, including inflation, deflation, energy costs, the real estate industry, the effects of tariffs or threats of tariffs, wars or other international conflicts, trade wars, immigration issues, supply chain disruptions, and the markets within which we operate;</w:t>
      </w:r>
    </w:p>
    <w:p>
      <w:pPr>
        <w:ind w:right="220"/>
        <w:spacing w:after="0"/>
        <w:rPr>
          <w:sz w:val="20"/>
          <w:szCs w:val="20"/>
          <w:color w:val="auto"/>
        </w:rPr>
      </w:pPr>
      <w:r>
        <w:rPr>
          <w:rFonts w:ascii="Times New Roman" w:cs="Times New Roman" w:eastAsia="Times New Roman" w:hAnsi="Times New Roman"/>
          <w:sz w:val="17"/>
          <w:szCs w:val="17"/>
          <w:color w:val="auto"/>
        </w:rPr>
        <w:t>Changes in foreign currency exchange rates, including between the U.S. dollar and each of the British pound sterling, Canadian dollar, and Australian dollar;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ability to maintain our status as a REIT;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real estate and zoning laws and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ability to maintain rental rates and occupancy levels;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Legislative or regulatory changes, including changes to laws governing the taxation of REITs;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Outbreaks of disease and related restrictions on business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Risks related to natural disasters such as hurricanes, earthquakes, floods, droughts, and wildfires; and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Litigation, judgments or settlements, including costs associated with prosecuting or defending claims and any adverse outcomes.</w:t>
      </w:r>
    </w:p>
    <w:p>
      <w:pPr>
        <w:spacing w:after="0" w:line="262" w:lineRule="exact"/>
        <w:rPr>
          <w:sz w:val="20"/>
          <w:szCs w:val="20"/>
          <w:color w:val="auto"/>
        </w:rPr>
      </w:pPr>
    </w:p>
    <w:p>
      <w:pPr>
        <w:sectPr>
          <w:pgSz w:w="11900" w:h="16838" w:orient="portrait"/>
          <w:cols w:equalWidth="0" w:num="2">
            <w:col w:w="380" w:space="380"/>
            <w:col w:w="10480"/>
          </w:cols>
          <w:pgMar w:left="320" w:top="117" w:right="339" w:bottom="1440" w:gutter="0" w:footer="0" w:header="0"/>
          <w:type w:val="continuous"/>
        </w:sectPr>
      </w:pP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document, whether as a result of new information, future events, changes in our expectations or otherwise, except as required by law.</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 As of March 31, 2026, all of our outstanding debt obligations bore interest at fixed rates, which minimizes the impact of interest rate variability on our results of operations and cash flows in the near term. Additionally, we have exposure to long-term interest rates, which could affect the cost of refinancing existing debt or incurring additional debt in the future.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properties in the United Kingdom and Canada, and our joint venture in Australia, into U.S. dollars. Fluctuations in foreign currency exchange rates can therefore create volatility in our results of operations and may adversely affect our financial condition.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and December 31, 2025, our shareholder's equity included $0.9 billion and $1.0 billion from our investments and operations in the United Kingdom, Canada, and Australia which collectively represented 13.6% and 14.4% of total shareholder's equity, respectively. Based on our sensitivity analysis, a 10.0% strengthening of the U.S. dollar against the pound sterling, Canadian dollar, and Australian dollar would have caused a reduction of $93.2 million and $101.6 million to our total shareholder's equity at March 31, 2026 and December 31, 2025,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Market Risk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Any controls and procedures, no matter how well designed and operated, can provide only reasonable assurance of achieving the desired control objectives.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the design and operation of our disclosure controls and procedures (as defined in Rules 13a-15(e) and 15d-15(e) under the Exchange Act) as of the end of the period covered by this report. Based upon this evaluation, our principal executive officer and principal financial officer have concluded that our disclosure controls and procedures were effective at the reasonable assurance level as of March 31,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involved in various legal proceedings. Refer to "Legal Proceedings - Class Action Litigation" and "Other Legal Proceedings" in Part I - Item 1 - Note 14, "Commitments and Contingencies," in our accompanying Notes to the Consolidated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three months ended March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described in Part 1, Item 1A., "Risk Factors," in our 2025 Annual Report, which could materially affect our business, financial condition, or future results. There have been no material changes to the disclosure on these matters as set forth in such report.</w:t>
      </w:r>
    </w:p>
    <w:p>
      <w:pPr>
        <w:spacing w:after="0" w:line="64" w:lineRule="exact"/>
        <w:rPr>
          <w:sz w:val="20"/>
          <w:szCs w:val="20"/>
          <w:color w:val="auto"/>
        </w:rPr>
      </w:pPr>
    </w:p>
    <w:p>
      <w:pPr>
        <w:ind w:right="3500"/>
        <w:spacing w:after="0" w:line="399"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Holders of our OP units have converted the following units during the three months ended March 31,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0"/>
        </w:trPr>
        <w:tc>
          <w:tcPr>
            <w:tcW w:w="4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2026</w:t>
            </w:r>
          </w:p>
        </w:tc>
        <w:tc>
          <w:tcPr>
            <w:tcW w:w="1740" w:type="dxa"/>
            <w:vAlign w:val="bottom"/>
            <w:tcBorders>
              <w:bottom w:val="single" w:sz="8" w:color="auto"/>
            </w:tcBorders>
          </w:tcPr>
          <w:p>
            <w:pPr>
              <w:spacing w:after="0"/>
              <w:rPr>
                <w:sz w:val="17"/>
                <w:szCs w:val="17"/>
                <w:color w:val="auto"/>
              </w:rPr>
            </w:pPr>
          </w:p>
        </w:tc>
      </w:tr>
      <w:tr>
        <w:trPr>
          <w:trHeight w:val="196"/>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Series</w:t>
            </w:r>
          </w:p>
        </w:tc>
        <w:tc>
          <w:tcPr>
            <w:tcW w:w="2100" w:type="dxa"/>
            <w:vAlign w:val="bottom"/>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Conversion Rate</w:t>
            </w:r>
          </w:p>
        </w:tc>
        <w:tc>
          <w:tcPr>
            <w:tcW w:w="236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Units / Shares Converted</w:t>
            </w:r>
          </w:p>
        </w:tc>
        <w:tc>
          <w:tcPr>
            <w:tcW w:w="1740" w:type="dxa"/>
            <w:vAlign w:val="bottom"/>
          </w:tcPr>
          <w:p>
            <w:pPr>
              <w:jc w:val="right"/>
              <w:ind w:right="364"/>
              <w:spacing w:after="0" w:line="196"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b w:val="1"/>
                <w:bCs w:val="1"/>
                <w:color w:val="auto"/>
                <w:vertAlign w:val="superscript"/>
              </w:rPr>
              <w:t>(1)</w:t>
            </w:r>
          </w:p>
        </w:tc>
      </w:tr>
      <w:tr>
        <w:trPr>
          <w:trHeight w:val="196"/>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8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108,080</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108,080</w:t>
            </w:r>
          </w:p>
        </w:tc>
      </w:tr>
      <w:tr>
        <w:trPr>
          <w:trHeight w:val="20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A-1 preferred OP units</w:t>
            </w:r>
          </w:p>
        </w:tc>
        <w:tc>
          <w:tcPr>
            <w:tcW w:w="2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2.4390</w:t>
            </w:r>
          </w:p>
        </w:tc>
        <w:tc>
          <w:tcPr>
            <w:tcW w:w="8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15,577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37,987</w:t>
            </w:r>
          </w:p>
        </w:tc>
      </w:tr>
      <w:tr>
        <w:trPr>
          <w:trHeight w:val="20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2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1.1100</w:t>
            </w:r>
          </w:p>
        </w:tc>
        <w:tc>
          <w:tcPr>
            <w:tcW w:w="8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w:t>
            </w:r>
          </w:p>
        </w:tc>
      </w:tr>
      <w:tr>
        <w:trPr>
          <w:trHeight w:val="198"/>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J preferred OP units</w:t>
            </w:r>
          </w:p>
        </w:tc>
        <w:tc>
          <w:tcPr>
            <w:tcW w:w="2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0.6061</w:t>
            </w:r>
          </w:p>
        </w:tc>
        <w:tc>
          <w:tcPr>
            <w:tcW w:w="8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454</w:t>
            </w:r>
          </w:p>
        </w:tc>
      </w:tr>
    </w:tbl>
    <w:p>
      <w:pPr>
        <w:spacing w:after="0" w:line="59" w:lineRule="exact"/>
        <w:rPr>
          <w:sz w:val="20"/>
          <w:szCs w:val="20"/>
          <w:color w:val="auto"/>
        </w:rPr>
      </w:pPr>
    </w:p>
    <w:p>
      <w:pPr>
        <w:ind w:left="160" w:hanging="152"/>
        <w:spacing w:after="0"/>
        <w:tabs>
          <w:tab w:leader="none" w:pos="1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Calculation may yield minor differences due to rounding incorporated in the above numbers.</w:t>
      </w:r>
    </w:p>
    <w:p>
      <w:pPr>
        <w:spacing w:after="0" w:line="1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securities described above were issued in private placements in reliance on Section 4(a)(2) of the Securities Act, including Regulation D promulgated thereunder. No underwriters were used in connection with any of such issuances.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common stock repurchases during the three months ended March 31, 2026 (in millions, except for number of shares and per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Maximum number (or approximate</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Average price paid</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purchased as part of</w:t>
            </w:r>
          </w:p>
        </w:tc>
        <w:tc>
          <w:tcPr>
            <w:tcW w:w="80" w:type="dxa"/>
            <w:vAlign w:val="bottom"/>
          </w:tcPr>
          <w:p>
            <w:pPr>
              <w:spacing w:after="0"/>
              <w:rPr>
                <w:sz w:val="12"/>
                <w:szCs w:val="12"/>
                <w:color w:val="auto"/>
              </w:rPr>
            </w:pPr>
          </w:p>
        </w:tc>
        <w:tc>
          <w:tcPr>
            <w:tcW w:w="2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dollar value) of shares that may yet be</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publicly announced plans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5"/>
                <w:szCs w:val="15"/>
                <w:b w:val="1"/>
                <w:bCs w:val="1"/>
                <w:color w:val="auto"/>
              </w:rPr>
              <w:t>purchased under the plans or</w:t>
            </w:r>
          </w:p>
        </w:tc>
        <w:tc>
          <w:tcPr>
            <w:tcW w:w="0" w:type="dxa"/>
            <w:vAlign w:val="bottom"/>
          </w:tcPr>
          <w:p>
            <w:pPr>
              <w:spacing w:after="0"/>
              <w:rPr>
                <w:sz w:val="1"/>
                <w:szCs w:val="1"/>
                <w:color w:val="auto"/>
              </w:rPr>
            </w:pPr>
          </w:p>
        </w:tc>
      </w:tr>
      <w:tr>
        <w:trPr>
          <w:trHeight w:val="216"/>
        </w:trPr>
        <w:tc>
          <w:tcPr>
            <w:tcW w:w="3480" w:type="dxa"/>
            <w:vAlign w:val="bottom"/>
            <w:gridSpan w:val="2"/>
          </w:tcPr>
          <w:p>
            <w:pPr>
              <w:ind w:left="148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560" w:type="dxa"/>
            <w:vAlign w:val="bottom"/>
          </w:tcPr>
          <w:p>
            <w:pPr>
              <w:jc w:val="right"/>
              <w:ind w:right="304"/>
              <w:spacing w:after="0" w:line="216" w:lineRule="exact"/>
              <w:rPr>
                <w:sz w:val="20"/>
                <w:szCs w:val="20"/>
                <w:color w:val="auto"/>
              </w:rPr>
            </w:pPr>
            <w:r>
              <w:rPr>
                <w:rFonts w:ascii="Times New Roman" w:cs="Times New Roman" w:eastAsia="Times New Roman" w:hAnsi="Times New Roman"/>
                <w:sz w:val="15"/>
                <w:szCs w:val="15"/>
                <w:b w:val="1"/>
                <w:bCs w:val="1"/>
                <w:color w:val="auto"/>
              </w:rPr>
              <w:t>purchased</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or programs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jc w:val="center"/>
              <w:ind w:right="44"/>
              <w:spacing w:after="0" w:line="216" w:lineRule="exact"/>
              <w:rPr>
                <w:sz w:val="20"/>
                <w:szCs w:val="20"/>
                <w:color w:val="auto"/>
              </w:rPr>
            </w:pPr>
            <w:r>
              <w:rPr>
                <w:rFonts w:ascii="Times New Roman" w:cs="Times New Roman" w:eastAsia="Times New Roman" w:hAnsi="Times New Roman"/>
                <w:sz w:val="15"/>
                <w:szCs w:val="15"/>
                <w:b w:val="1"/>
                <w:bCs w:val="1"/>
                <w:color w:val="auto"/>
                <w:w w:val="98"/>
              </w:rPr>
              <w:t>programs</w:t>
            </w:r>
            <w:r>
              <w:rPr>
                <w:rFonts w:ascii="Times New Roman" w:cs="Times New Roman" w:eastAsia="Times New Roman" w:hAnsi="Times New Roman"/>
                <w:sz w:val="19"/>
                <w:szCs w:val="19"/>
                <w:b w:val="1"/>
                <w:bCs w:val="1"/>
                <w:color w:val="auto"/>
                <w:w w:val="98"/>
                <w:vertAlign w:val="superscript"/>
              </w:rPr>
              <w:t>(2)</w:t>
            </w:r>
          </w:p>
        </w:tc>
        <w:tc>
          <w:tcPr>
            <w:tcW w:w="0" w:type="dxa"/>
            <w:vAlign w:val="bottom"/>
          </w:tcPr>
          <w:p>
            <w:pPr>
              <w:spacing w:after="0"/>
              <w:rPr>
                <w:sz w:val="1"/>
                <w:szCs w:val="1"/>
                <w:color w:val="auto"/>
              </w:rPr>
            </w:pPr>
          </w:p>
        </w:tc>
      </w:tr>
      <w:tr>
        <w:trPr>
          <w:trHeight w:val="196"/>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January 1, 2026 - January 31, 2026</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299,857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124.76</w:t>
            </w:r>
          </w:p>
        </w:tc>
        <w:tc>
          <w:tcPr>
            <w:tcW w:w="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299,857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423.5</w:t>
            </w:r>
          </w:p>
        </w:tc>
        <w:tc>
          <w:tcPr>
            <w:tcW w:w="0" w:type="dxa"/>
            <w:vAlign w:val="bottom"/>
          </w:tcPr>
          <w:p>
            <w:pPr>
              <w:spacing w:after="0"/>
              <w:rPr>
                <w:sz w:val="1"/>
                <w:szCs w:val="1"/>
                <w:color w:val="auto"/>
              </w:rPr>
            </w:pPr>
          </w:p>
        </w:tc>
      </w:tr>
      <w:tr>
        <w:trPr>
          <w:trHeight w:val="200"/>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February 1, 2026 - February 28, 2026</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181,875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128.27</w:t>
            </w:r>
          </w:p>
        </w:tc>
        <w:tc>
          <w:tcPr>
            <w:tcW w:w="8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175,190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401.1</w:t>
            </w:r>
          </w:p>
        </w:tc>
        <w:tc>
          <w:tcPr>
            <w:tcW w:w="0" w:type="dxa"/>
            <w:vAlign w:val="bottom"/>
          </w:tcPr>
          <w:p>
            <w:pPr>
              <w:spacing w:after="0"/>
              <w:rPr>
                <w:sz w:val="1"/>
                <w:szCs w:val="1"/>
                <w:color w:val="auto"/>
              </w:rPr>
            </w:pPr>
          </w:p>
        </w:tc>
      </w:tr>
      <w:tr>
        <w:trPr>
          <w:trHeight w:val="203"/>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1, 2026 - March 31,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40,808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140.28</w:t>
            </w:r>
          </w:p>
        </w:tc>
        <w:tc>
          <w:tcPr>
            <w:tcW w:w="80" w:type="dxa"/>
            <w:vAlign w:val="bottom"/>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400.8</w:t>
            </w:r>
          </w:p>
        </w:tc>
        <w:tc>
          <w:tcPr>
            <w:tcW w:w="0" w:type="dxa"/>
            <w:vAlign w:val="bottom"/>
          </w:tcPr>
          <w:p>
            <w:pPr>
              <w:spacing w:after="0"/>
              <w:rPr>
                <w:sz w:val="1"/>
                <w:szCs w:val="1"/>
                <w:color w:val="auto"/>
              </w:rPr>
            </w:pPr>
          </w:p>
        </w:tc>
      </w:tr>
      <w:tr>
        <w:trPr>
          <w:trHeight w:val="198"/>
        </w:trPr>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522,540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475,147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hanging="172"/>
        <w:spacing w:after="0" w:line="223" w:lineRule="auto"/>
        <w:tabs>
          <w:tab w:leader="none" w:pos="169"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three months ended March 31, 2026, we withheld 47,393 shares from employees to satisfy estimated statutory income tax obligations related to vesting of restricted stock awards. The value of the common stock withheld was based on the closing price of our common stock on the applicable vesting date.</w:t>
      </w:r>
    </w:p>
    <w:p>
      <w:pPr>
        <w:jc w:val="both"/>
        <w:ind w:left="180" w:hanging="172"/>
        <w:spacing w:after="0" w:line="265" w:lineRule="auto"/>
        <w:tabs>
          <w:tab w:leader="none" w:pos="164"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April 2025, we announced by press release that our Board of Directors authorized a stock repurchase program under which we may repurchase up to $1.0 billion in shares of our outstanding common stock through April 30, 2026. Under the Stock Repurchase Program, we may repurchase shares of our common stock in open market transactions, through privately negotiated transactions, through one or more accelerated repurchases, or otherwise, in accordance with the terms set forth in Rule 10b5-1 and Rule 10b-18 of the Exchange Act and other applicable legal requirements. The Stock Repurchase Program does not obligate us to repurchase any specific number of shares, and we may initiate, suspend, or discontinue purchases under the Stock Repurchase Program at any time. Refer to Note 8, "Equity and Temporary Equity," for additional information regarding our Stock Repurchase Program.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officers or directors, as defined in Rule 16a-1(f) of the Securities Exchange Act of 1934, adopted, modified, or terminated a Rule 10b5-1 trading arrangement or a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40575" cy="5974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0575" cy="597471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2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7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900" w:type="dxa"/>
            <w:vAlign w:val="bottom"/>
            <w:tcBorders>
              <w:top w:val="single" w:sz="8" w:color="auto"/>
              <w:bottom w:val="single" w:sz="8" w:color="auto"/>
              <w:right w:val="single" w:sz="8" w:color="auto"/>
            </w:tcBorders>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Method of Filing</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820" w:type="dxa"/>
            <w:vAlign w:val="bottom"/>
            <w:tcBorders>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6600" w:type="dxa"/>
            <w:vAlign w:val="bottom"/>
            <w:tcBorders>
              <w:right w:val="single" w:sz="8" w:color="auto"/>
            </w:tcBorders>
            <w:gridSpan w:val="15"/>
            <w:shd w:val="clear" w:color="auto" w:fill="CCEEFF"/>
          </w:tcPr>
          <w:p>
            <w:pPr>
              <w:spacing w:after="0" w:line="18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Sun Communities, Inc. Articles of Restatement</w:t>
              </w:r>
            </w:hyperlink>
          </w:p>
        </w:tc>
        <w:tc>
          <w:tcPr>
            <w:tcW w:w="2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20" w:type="dxa"/>
            <w:vAlign w:val="bottom"/>
            <w:tcBorders>
              <w:top w:val="single" w:sz="8" w:color="CCEEFF"/>
              <w:right w:val="single" w:sz="8" w:color="auto"/>
            </w:tcBorders>
            <w:shd w:val="clear" w:color="auto" w:fill="CCEEFF"/>
          </w:tcPr>
          <w:p>
            <w:pPr>
              <w:spacing w:after="0"/>
              <w:rPr>
                <w:sz w:val="12"/>
                <w:szCs w:val="12"/>
                <w:color w:val="auto"/>
              </w:rPr>
            </w:pPr>
          </w:p>
        </w:tc>
        <w:tc>
          <w:tcPr>
            <w:tcW w:w="178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54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auto"/>
            </w:tcBorders>
            <w:shd w:val="clear" w:color="auto" w:fill="CCEEFF"/>
          </w:tcPr>
          <w:p>
            <w:pPr>
              <w:spacing w:after="0"/>
              <w:rPr>
                <w:sz w:val="12"/>
                <w:szCs w:val="12"/>
                <w:color w:val="auto"/>
              </w:rPr>
            </w:pPr>
          </w:p>
        </w:tc>
        <w:tc>
          <w:tcPr>
            <w:tcW w:w="2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3.1 to Sun Communities, Inc.'s Annual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820" w:type="dxa"/>
            <w:vAlign w:val="bottom"/>
            <w:tcBorders>
              <w:right w:val="single" w:sz="8" w:color="auto"/>
            </w:tcBorders>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2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 on Form 10-K filed 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20" w:type="dxa"/>
            <w:vAlign w:val="bottom"/>
            <w:tcBorders>
              <w:bottom w:val="single" w:sz="8" w:color="auto"/>
              <w:right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2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22, 2018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20" w:type="dxa"/>
            <w:vAlign w:val="bottom"/>
            <w:tcBorders>
              <w:right w:val="single" w:sz="8" w:color="auto"/>
            </w:tcBorders>
          </w:tcPr>
          <w:p>
            <w:pPr>
              <w:ind w:left="140"/>
              <w:spacing w:after="0" w:line="183" w:lineRule="exact"/>
              <w:rPr>
                <w:sz w:val="20"/>
                <w:szCs w:val="20"/>
                <w:color w:val="auto"/>
              </w:rPr>
            </w:pPr>
            <w:r>
              <w:rPr>
                <w:rFonts w:ascii="Times New Roman" w:cs="Times New Roman" w:eastAsia="Times New Roman" w:hAnsi="Times New Roman"/>
                <w:sz w:val="18"/>
                <w:szCs w:val="18"/>
                <w:color w:val="auto"/>
              </w:rPr>
              <w:t>3.2</w:t>
            </w:r>
          </w:p>
        </w:tc>
        <w:tc>
          <w:tcPr>
            <w:tcW w:w="6600" w:type="dxa"/>
            <w:vAlign w:val="bottom"/>
            <w:tcBorders>
              <w:right w:val="single" w:sz="8" w:color="auto"/>
            </w:tcBorders>
            <w:gridSpan w:val="15"/>
          </w:tcPr>
          <w:p>
            <w:pPr>
              <w:spacing w:after="0" w:line="183"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Sun Communities, Inc. Articles of Amendment effective May 18, 2023</w:t>
              </w:r>
            </w:hyperlink>
          </w:p>
        </w:tc>
        <w:tc>
          <w:tcPr>
            <w:tcW w:w="28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20" w:type="dxa"/>
            <w:vAlign w:val="bottom"/>
            <w:tcBorders>
              <w:right w:val="single" w:sz="8" w:color="auto"/>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8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3.1 to Sun Communities, Inc.'s Current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20" w:type="dxa"/>
            <w:vAlign w:val="bottom"/>
            <w:tcBorders>
              <w:right w:val="single" w:sz="8" w:color="auto"/>
            </w:tcBorders>
          </w:tcPr>
          <w:p>
            <w:pPr>
              <w:spacing w:after="0"/>
              <w:rPr>
                <w:sz w:val="15"/>
                <w:szCs w:val="15"/>
                <w:color w:val="auto"/>
              </w:rPr>
            </w:pP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 on Form 8-K filed on May 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2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20" w:type="dxa"/>
            <w:vAlign w:val="bottom"/>
            <w:tcBorders>
              <w:right w:val="single" w:sz="8" w:color="auto"/>
            </w:tcBorders>
            <w:shd w:val="clear" w:color="auto" w:fill="CCEEFF"/>
          </w:tcPr>
          <w:p>
            <w:pPr>
              <w:ind w:left="140"/>
              <w:spacing w:after="0" w:line="183" w:lineRule="exact"/>
              <w:rPr>
                <w:sz w:val="20"/>
                <w:szCs w:val="20"/>
                <w:color w:val="auto"/>
              </w:rPr>
            </w:pPr>
            <w:r>
              <w:rPr>
                <w:rFonts w:ascii="Times New Roman" w:cs="Times New Roman" w:eastAsia="Times New Roman" w:hAnsi="Times New Roman"/>
                <w:sz w:val="18"/>
                <w:szCs w:val="18"/>
                <w:color w:val="auto"/>
              </w:rPr>
              <w:t>3.3</w:t>
            </w:r>
          </w:p>
        </w:tc>
        <w:tc>
          <w:tcPr>
            <w:tcW w:w="6600" w:type="dxa"/>
            <w:vAlign w:val="bottom"/>
            <w:tcBorders>
              <w:right w:val="single" w:sz="8" w:color="auto"/>
            </w:tcBorders>
            <w:gridSpan w:val="15"/>
            <w:shd w:val="clear" w:color="auto" w:fill="CCEEFF"/>
          </w:tcPr>
          <w:p>
            <w:pPr>
              <w:spacing w:after="0" w:line="183"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Fifth Amended and Restated Bylaws</w:t>
              </w:r>
            </w:hyperlink>
          </w:p>
        </w:tc>
        <w:tc>
          <w:tcPr>
            <w:tcW w:w="28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20" w:type="dxa"/>
            <w:vAlign w:val="bottom"/>
            <w:tcBorders>
              <w:top w:val="single" w:sz="8" w:color="CCEEFF"/>
              <w:right w:val="single" w:sz="8" w:color="auto"/>
            </w:tcBorders>
            <w:shd w:val="clear" w:color="auto" w:fill="CCEEFF"/>
          </w:tcPr>
          <w:p>
            <w:pPr>
              <w:spacing w:after="0"/>
              <w:rPr>
                <w:sz w:val="12"/>
                <w:szCs w:val="12"/>
                <w:color w:val="auto"/>
              </w:rPr>
            </w:pPr>
          </w:p>
        </w:tc>
        <w:tc>
          <w:tcPr>
            <w:tcW w:w="178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54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auto"/>
            </w:tcBorders>
            <w:shd w:val="clear" w:color="auto" w:fill="CCEEFF"/>
          </w:tcPr>
          <w:p>
            <w:pPr>
              <w:spacing w:after="0"/>
              <w:rPr>
                <w:sz w:val="12"/>
                <w:szCs w:val="12"/>
                <w:color w:val="auto"/>
              </w:rPr>
            </w:pPr>
          </w:p>
        </w:tc>
        <w:tc>
          <w:tcPr>
            <w:tcW w:w="2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3.1 to Sun Communities, Inc.'s Current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820" w:type="dxa"/>
            <w:vAlign w:val="bottom"/>
            <w:tcBorders>
              <w:right w:val="single" w:sz="8" w:color="auto"/>
            </w:tcBorders>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2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 on Form 8-K filed on May 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20" w:type="dxa"/>
            <w:vAlign w:val="bottom"/>
            <w:tcBorders>
              <w:bottom w:val="single" w:sz="8" w:color="auto"/>
              <w:right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2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20" w:type="dxa"/>
            <w:vAlign w:val="bottom"/>
            <w:tcBorders>
              <w:right w:val="single" w:sz="8" w:color="auto"/>
            </w:tcBorders>
          </w:tcPr>
          <w:p>
            <w:pPr>
              <w:ind w:left="140"/>
              <w:spacing w:after="0" w:line="183" w:lineRule="exact"/>
              <w:rPr>
                <w:sz w:val="20"/>
                <w:szCs w:val="20"/>
                <w:color w:val="auto"/>
              </w:rPr>
            </w:pPr>
            <w:r>
              <w:rPr>
                <w:rFonts w:ascii="Times New Roman" w:cs="Times New Roman" w:eastAsia="Times New Roman" w:hAnsi="Times New Roman"/>
                <w:sz w:val="18"/>
                <w:szCs w:val="18"/>
                <w:color w:val="auto"/>
              </w:rPr>
              <w:t>10.1#</w:t>
            </w:r>
          </w:p>
        </w:tc>
        <w:tc>
          <w:tcPr>
            <w:tcW w:w="6600" w:type="dxa"/>
            <w:vAlign w:val="bottom"/>
            <w:tcBorders>
              <w:right w:val="single" w:sz="8" w:color="auto"/>
            </w:tcBorders>
            <w:gridSpan w:val="15"/>
          </w:tcPr>
          <w:p>
            <w:pPr>
              <w:spacing w:after="0" w:line="183"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Employment Agreement dated March 9, 2026 by and among Sun</w:t>
              </w:r>
            </w:hyperlink>
          </w:p>
        </w:tc>
        <w:tc>
          <w:tcPr>
            <w:tcW w:w="28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20" w:type="dxa"/>
            <w:vAlign w:val="bottom"/>
            <w:tcBorders>
              <w:right w:val="single" w:sz="8" w:color="auto"/>
            </w:tcBorders>
          </w:tcPr>
          <w:p>
            <w:pPr>
              <w:spacing w:after="0"/>
              <w:rPr>
                <w:sz w:val="13"/>
                <w:szCs w:val="13"/>
                <w:color w:val="auto"/>
              </w:rPr>
            </w:pPr>
          </w:p>
        </w:tc>
        <w:tc>
          <w:tcPr>
            <w:tcW w:w="62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4"/>
              </w:rPr>
            </w:pPr>
            <w:hyperlink r:id="rId57">
              <w:r>
                <w:rPr>
                  <w:rFonts w:ascii="Times New Roman" w:cs="Times New Roman" w:eastAsia="Times New Roman" w:hAnsi="Times New Roman"/>
                  <w:sz w:val="18"/>
                  <w:szCs w:val="18"/>
                  <w:color w:val="0000FF"/>
                  <w:w w:val="94"/>
                </w:rPr>
                <w:t>Communities, Inc., Sun Communities Operating Limited Partnership and John B. McLaren</w:t>
              </w:r>
            </w:hyperlink>
          </w:p>
        </w:tc>
        <w:tc>
          <w:tcPr>
            <w:tcW w:w="4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8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10.1 to Sun Communities, Inc.'s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20" w:type="dxa"/>
            <w:vAlign w:val="bottom"/>
            <w:tcBorders>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8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Current Report on Form 8-K filed 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82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9, 2026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20" w:type="dxa"/>
            <w:vAlign w:val="bottom"/>
            <w:tcBorders>
              <w:right w:val="single" w:sz="8" w:color="auto"/>
            </w:tcBorders>
            <w:shd w:val="clear" w:color="auto" w:fill="CCEEFF"/>
          </w:tcPr>
          <w:p>
            <w:pPr>
              <w:ind w:left="140"/>
              <w:spacing w:after="0" w:line="183" w:lineRule="exact"/>
              <w:rPr>
                <w:sz w:val="20"/>
                <w:szCs w:val="20"/>
                <w:color w:val="auto"/>
              </w:rPr>
            </w:pPr>
            <w:r>
              <w:rPr>
                <w:rFonts w:ascii="Times New Roman" w:cs="Times New Roman" w:eastAsia="Times New Roman" w:hAnsi="Times New Roman"/>
                <w:sz w:val="18"/>
                <w:szCs w:val="18"/>
                <w:color w:val="auto"/>
              </w:rPr>
              <w:t>10.2#</w:t>
            </w:r>
          </w:p>
        </w:tc>
        <w:tc>
          <w:tcPr>
            <w:tcW w:w="6600" w:type="dxa"/>
            <w:vAlign w:val="bottom"/>
            <w:tcBorders>
              <w:right w:val="single" w:sz="8" w:color="auto"/>
            </w:tcBorders>
            <w:gridSpan w:val="15"/>
            <w:shd w:val="clear" w:color="auto" w:fill="CCEEFF"/>
          </w:tcPr>
          <w:p>
            <w:pPr>
              <w:spacing w:after="0" w:line="183"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Transition Services Agreement dated effective February 4, 2026</w:t>
              </w:r>
            </w:hyperlink>
          </w:p>
        </w:tc>
        <w:tc>
          <w:tcPr>
            <w:tcW w:w="28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Incorporated by reference to Exhibit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20" w:type="dxa"/>
            <w:vAlign w:val="bottom"/>
            <w:tcBorders>
              <w:top w:val="single" w:sz="8" w:color="CCEEFF"/>
              <w:right w:val="single" w:sz="8" w:color="auto"/>
            </w:tcBorders>
            <w:shd w:val="clear" w:color="auto" w:fill="CCEEFF"/>
          </w:tcPr>
          <w:p>
            <w:pPr>
              <w:spacing w:after="0"/>
              <w:rPr>
                <w:sz w:val="13"/>
                <w:szCs w:val="13"/>
                <w:color w:val="auto"/>
              </w:rPr>
            </w:pPr>
          </w:p>
        </w:tc>
        <w:tc>
          <w:tcPr>
            <w:tcW w:w="6180" w:type="dxa"/>
            <w:vAlign w:val="bottom"/>
            <w:tcBorders>
              <w:top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among Sun Communities, Inc., Sun Communities Operating Limited Partnership and</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300" w:type="dxa"/>
            <w:vAlign w:val="bottom"/>
            <w:tcBorders>
              <w:top w:val="single" w:sz="8" w:color="CCEEFF"/>
              <w:right w:val="single" w:sz="8" w:color="auto"/>
            </w:tcBorders>
            <w:gridSpan w:val="2"/>
            <w:shd w:val="clear" w:color="auto" w:fill="CCEEFF"/>
          </w:tcPr>
          <w:p>
            <w:pPr>
              <w:spacing w:after="0"/>
              <w:rPr>
                <w:sz w:val="13"/>
                <w:szCs w:val="13"/>
                <w:color w:val="auto"/>
              </w:rPr>
            </w:pPr>
          </w:p>
        </w:tc>
        <w:tc>
          <w:tcPr>
            <w:tcW w:w="28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10.1 to Sun Communities, Inc.'s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tcBorders>
              <w:top w:val="single" w:sz="8" w:color="CCEEFF"/>
              <w:right w:val="single" w:sz="8" w:color="auto"/>
            </w:tcBorders>
            <w:shd w:val="clear" w:color="auto" w:fill="CCEEFF"/>
          </w:tcPr>
          <w:p>
            <w:pPr>
              <w:spacing w:after="0"/>
              <w:rPr>
                <w:sz w:val="13"/>
                <w:szCs w:val="13"/>
                <w:color w:val="auto"/>
              </w:rPr>
            </w:pPr>
          </w:p>
        </w:tc>
        <w:tc>
          <w:tcPr>
            <w:tcW w:w="5980" w:type="dxa"/>
            <w:vAlign w:val="bottom"/>
            <w:tcBorders>
              <w:top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Fernando Castro-Caratini</w:t>
              </w:r>
            </w:hyperlink>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300" w:type="dxa"/>
            <w:vAlign w:val="bottom"/>
            <w:tcBorders>
              <w:top w:val="single" w:sz="8" w:color="CCEEFF"/>
              <w:right w:val="single" w:sz="8" w:color="auto"/>
            </w:tcBorders>
            <w:gridSpan w:val="2"/>
            <w:shd w:val="clear" w:color="auto" w:fill="CCEEFF"/>
          </w:tcPr>
          <w:p>
            <w:pPr>
              <w:spacing w:after="0"/>
              <w:rPr>
                <w:sz w:val="13"/>
                <w:szCs w:val="13"/>
                <w:color w:val="auto"/>
              </w:rPr>
            </w:pPr>
          </w:p>
        </w:tc>
        <w:tc>
          <w:tcPr>
            <w:tcW w:w="28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Current Report on Form 8-K filed 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20" w:type="dxa"/>
            <w:vAlign w:val="bottom"/>
            <w:tcBorders>
              <w:top w:val="single" w:sz="8" w:color="CCEEFF"/>
              <w:bottom w:val="single" w:sz="8" w:color="auto"/>
              <w:right w:val="single" w:sz="8" w:color="auto"/>
            </w:tcBorders>
            <w:shd w:val="clear" w:color="auto" w:fill="CCEEFF"/>
          </w:tcPr>
          <w:p>
            <w:pPr>
              <w:spacing w:after="0"/>
              <w:rPr>
                <w:sz w:val="17"/>
                <w:szCs w:val="17"/>
                <w:color w:val="auto"/>
              </w:rPr>
            </w:pPr>
          </w:p>
        </w:tc>
        <w:tc>
          <w:tcPr>
            <w:tcW w:w="1780" w:type="dxa"/>
            <w:vAlign w:val="bottom"/>
            <w:tcBorders>
              <w:top w:val="single" w:sz="8" w:color="0000FF"/>
              <w:bottom w:val="single" w:sz="8" w:color="auto"/>
            </w:tcBorders>
            <w:shd w:val="clear" w:color="auto" w:fill="CCEEFF"/>
          </w:tcPr>
          <w:p>
            <w:pPr>
              <w:spacing w:after="0"/>
              <w:rPr>
                <w:sz w:val="17"/>
                <w:szCs w:val="17"/>
                <w:color w:val="auto"/>
              </w:rPr>
            </w:pPr>
          </w:p>
        </w:tc>
        <w:tc>
          <w:tcPr>
            <w:tcW w:w="260" w:type="dxa"/>
            <w:vAlign w:val="bottom"/>
            <w:tcBorders>
              <w:top w:val="single" w:sz="8" w:color="CCEEFF"/>
              <w:bottom w:val="single" w:sz="8" w:color="auto"/>
            </w:tcBorders>
            <w:shd w:val="clear" w:color="auto" w:fill="CCEEFF"/>
          </w:tcPr>
          <w:p>
            <w:pPr>
              <w:spacing w:after="0"/>
              <w:rPr>
                <w:sz w:val="17"/>
                <w:szCs w:val="17"/>
                <w:color w:val="auto"/>
              </w:rPr>
            </w:pPr>
          </w:p>
        </w:tc>
        <w:tc>
          <w:tcPr>
            <w:tcW w:w="540" w:type="dxa"/>
            <w:vAlign w:val="bottom"/>
            <w:tcBorders>
              <w:top w:val="single" w:sz="8" w:color="CCEEFF"/>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620" w:type="dxa"/>
            <w:vAlign w:val="bottom"/>
            <w:tcBorders>
              <w:top w:val="single" w:sz="8" w:color="CCEEFF"/>
              <w:bottom w:val="single" w:sz="8" w:color="auto"/>
            </w:tcBorders>
            <w:shd w:val="clear" w:color="auto" w:fill="CCEEFF"/>
          </w:tcPr>
          <w:p>
            <w:pPr>
              <w:spacing w:after="0"/>
              <w:rPr>
                <w:sz w:val="17"/>
                <w:szCs w:val="17"/>
                <w:color w:val="auto"/>
              </w:rPr>
            </w:pPr>
          </w:p>
        </w:tc>
        <w:tc>
          <w:tcPr>
            <w:tcW w:w="340" w:type="dxa"/>
            <w:vAlign w:val="bottom"/>
            <w:tcBorders>
              <w:top w:val="single" w:sz="8" w:color="CCEEFF"/>
              <w:bottom w:val="single" w:sz="8" w:color="auto"/>
            </w:tcBorders>
            <w:shd w:val="clear" w:color="auto" w:fill="CCEEFF"/>
          </w:tcPr>
          <w:p>
            <w:pPr>
              <w:spacing w:after="0"/>
              <w:rPr>
                <w:sz w:val="17"/>
                <w:szCs w:val="17"/>
                <w:color w:val="auto"/>
              </w:rPr>
            </w:pPr>
          </w:p>
        </w:tc>
        <w:tc>
          <w:tcPr>
            <w:tcW w:w="1340" w:type="dxa"/>
            <w:vAlign w:val="bottom"/>
            <w:tcBorders>
              <w:top w:val="single" w:sz="8" w:color="CCEEFF"/>
              <w:bottom w:val="single" w:sz="8" w:color="auto"/>
            </w:tcBorders>
            <w:shd w:val="clear" w:color="auto" w:fill="CCEEFF"/>
          </w:tcPr>
          <w:p>
            <w:pPr>
              <w:spacing w:after="0"/>
              <w:rPr>
                <w:sz w:val="17"/>
                <w:szCs w:val="17"/>
                <w:color w:val="auto"/>
              </w:rPr>
            </w:pPr>
          </w:p>
        </w:tc>
        <w:tc>
          <w:tcPr>
            <w:tcW w:w="980" w:type="dxa"/>
            <w:vAlign w:val="bottom"/>
            <w:tcBorders>
              <w:top w:val="single" w:sz="8" w:color="CCEEFF"/>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auto"/>
              <w:right w:val="single" w:sz="8" w:color="auto"/>
            </w:tcBorders>
            <w:shd w:val="clear" w:color="auto" w:fill="CCEEFF"/>
          </w:tcPr>
          <w:p>
            <w:pPr>
              <w:spacing w:after="0"/>
              <w:rPr>
                <w:sz w:val="17"/>
                <w:szCs w:val="17"/>
                <w:color w:val="auto"/>
              </w:rPr>
            </w:pPr>
          </w:p>
        </w:tc>
        <w:tc>
          <w:tcPr>
            <w:tcW w:w="2820" w:type="dxa"/>
            <w:vAlign w:val="bottom"/>
            <w:tcBorders>
              <w:top w:val="single" w:sz="8" w:color="CCEEFF"/>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February 10, 2026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20" w:type="dxa"/>
            <w:vAlign w:val="bottom"/>
            <w:tcBorders>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10.3#</w:t>
            </w:r>
          </w:p>
        </w:tc>
        <w:tc>
          <w:tcPr>
            <w:tcW w:w="6600" w:type="dxa"/>
            <w:vAlign w:val="bottom"/>
            <w:tcBorders>
              <w:right w:val="single" w:sz="8" w:color="auto"/>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Form of Restricted Stock Agreement for Executives</w:t>
            </w:r>
          </w:p>
        </w:tc>
        <w:tc>
          <w:tcPr>
            <w:tcW w:w="28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22.1</w:t>
            </w:r>
          </w:p>
        </w:tc>
        <w:tc>
          <w:tcPr>
            <w:tcW w:w="6600" w:type="dxa"/>
            <w:vAlign w:val="bottom"/>
            <w:tcBorders>
              <w:bottom w:val="single" w:sz="8" w:color="auto"/>
              <w:right w:val="single" w:sz="8" w:color="auto"/>
            </w:tcBorders>
            <w:gridSpan w:val="1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List of issuers of guaranteed securities</w:t>
            </w:r>
          </w:p>
        </w:tc>
        <w:tc>
          <w:tcPr>
            <w:tcW w:w="2820" w:type="dxa"/>
            <w:vAlign w:val="bottom"/>
            <w:tcBorders>
              <w:bottom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820" w:type="dxa"/>
            <w:vAlign w:val="bottom"/>
            <w:tcBorders>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6600" w:type="dxa"/>
            <w:vAlign w:val="bottom"/>
            <w:tcBorders>
              <w:right w:val="single" w:sz="8" w:color="auto"/>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Securities Exchange Act Rules 13a-</w:t>
            </w:r>
          </w:p>
        </w:tc>
        <w:tc>
          <w:tcPr>
            <w:tcW w:w="28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Borders>
              <w:right w:val="single" w:sz="8" w:color="auto"/>
            </w:tcBorders>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12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tcBorders>
              <w:right w:val="single" w:sz="8" w:color="auto"/>
            </w:tcBorders>
          </w:tcPr>
          <w:p>
            <w:pPr>
              <w:spacing w:after="0"/>
              <w:rPr>
                <w:sz w:val="13"/>
                <w:szCs w:val="13"/>
                <w:color w:val="auto"/>
              </w:rPr>
            </w:pPr>
          </w:p>
        </w:tc>
        <w:tc>
          <w:tcPr>
            <w:tcW w:w="6600" w:type="dxa"/>
            <w:vAlign w:val="bottom"/>
            <w:tcBorders>
              <w:right w:val="single" w:sz="8" w:color="auto"/>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14(a)/15(d)-14(a), as adopted pursuant to Section 302 of the Sarbanes-Oxley Act of 2002.</w:t>
            </w: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2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820" w:type="dxa"/>
            <w:vAlign w:val="bottom"/>
            <w:tcBorders>
              <w:bottom w:val="single" w:sz="8" w:color="CCEEFF"/>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31.2</w:t>
            </w:r>
          </w:p>
        </w:tc>
        <w:tc>
          <w:tcPr>
            <w:tcW w:w="6160" w:type="dxa"/>
            <w:vAlign w:val="bottom"/>
            <w:tcBorders>
              <w:bottom w:val="single" w:sz="8" w:color="0000FF"/>
            </w:tcBorders>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Securities Exchange Act Rules 13a-</w:t>
            </w:r>
          </w:p>
        </w:tc>
        <w:tc>
          <w:tcPr>
            <w:tcW w:w="440" w:type="dxa"/>
            <w:vAlign w:val="bottom"/>
            <w:tcBorders>
              <w:bottom w:val="single" w:sz="8" w:color="CCEEFF"/>
              <w:right w:val="single" w:sz="8" w:color="auto"/>
            </w:tcBorders>
            <w:gridSpan w:val="6"/>
            <w:shd w:val="clear" w:color="auto" w:fill="CCEEFF"/>
          </w:tcPr>
          <w:p>
            <w:pPr>
              <w:spacing w:after="0"/>
              <w:rPr>
                <w:sz w:val="15"/>
                <w:szCs w:val="15"/>
                <w:color w:val="auto"/>
              </w:rPr>
            </w:pPr>
          </w:p>
        </w:tc>
        <w:tc>
          <w:tcPr>
            <w:tcW w:w="282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auto"/>
              <w:right w:val="single" w:sz="8" w:color="auto"/>
            </w:tcBorders>
            <w:shd w:val="clear" w:color="auto" w:fill="CCEEFF"/>
          </w:tcPr>
          <w:p>
            <w:pPr>
              <w:spacing w:after="0"/>
              <w:rPr>
                <w:sz w:val="17"/>
                <w:szCs w:val="17"/>
                <w:color w:val="auto"/>
              </w:rPr>
            </w:pPr>
          </w:p>
        </w:tc>
        <w:tc>
          <w:tcPr>
            <w:tcW w:w="6600" w:type="dxa"/>
            <w:vAlign w:val="bottom"/>
            <w:tcBorders>
              <w:bottom w:val="single" w:sz="8" w:color="auto"/>
              <w:right w:val="single" w:sz="8" w:color="auto"/>
            </w:tcBorders>
            <w:gridSpan w:val="1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14(a)/15(d)-14(a), as adopted pursuant to Section 302 of the Sarbanes-Oxley Act of 2002.</w:t>
            </w:r>
          </w:p>
        </w:tc>
        <w:tc>
          <w:tcPr>
            <w:tcW w:w="28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20" w:type="dxa"/>
            <w:vAlign w:val="bottom"/>
            <w:tcBorders>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32.1</w:t>
            </w:r>
          </w:p>
        </w:tc>
        <w:tc>
          <w:tcPr>
            <w:tcW w:w="6600" w:type="dxa"/>
            <w:vAlign w:val="bottom"/>
            <w:tcBorders>
              <w:right w:val="single" w:sz="8" w:color="auto"/>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w:t>
            </w:r>
          </w:p>
        </w:tc>
        <w:tc>
          <w:tcPr>
            <w:tcW w:w="28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20" w:type="dxa"/>
            <w:vAlign w:val="bottom"/>
            <w:tcBorders>
              <w:right w:val="single" w:sz="8" w:color="auto"/>
            </w:tcBorders>
          </w:tcPr>
          <w:p>
            <w:pPr>
              <w:spacing w:after="0"/>
              <w:rPr>
                <w:sz w:val="13"/>
                <w:szCs w:val="13"/>
                <w:color w:val="auto"/>
              </w:rPr>
            </w:pPr>
          </w:p>
        </w:tc>
        <w:tc>
          <w:tcPr>
            <w:tcW w:w="6600" w:type="dxa"/>
            <w:vAlign w:val="bottom"/>
            <w:tcBorders>
              <w:top w:val="single" w:sz="8" w:color="0000FF"/>
              <w:right w:val="single" w:sz="8" w:color="auto"/>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182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6600" w:type="dxa"/>
            <w:vAlign w:val="bottom"/>
            <w:tcBorders>
              <w:right w:val="single" w:sz="8" w:color="auto"/>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The instance document does not appear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1820" w:type="dxa"/>
            <w:vAlign w:val="bottom"/>
            <w:tcBorders>
              <w:right w:val="single" w:sz="8" w:color="auto"/>
            </w:tcBorders>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tcBorders>
              <w:right w:val="single" w:sz="8" w:color="auto"/>
            </w:tcBorders>
            <w:shd w:val="clear" w:color="auto" w:fill="CCEEFF"/>
          </w:tcPr>
          <w:p>
            <w:pPr>
              <w:spacing w:after="0"/>
              <w:rPr>
                <w:sz w:val="3"/>
                <w:szCs w:val="3"/>
                <w:color w:val="auto"/>
              </w:rPr>
            </w:pPr>
          </w:p>
        </w:tc>
        <w:tc>
          <w:tcPr>
            <w:tcW w:w="2820" w:type="dxa"/>
            <w:vAlign w:val="bottom"/>
            <w:vMerge w:val="continue"/>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820" w:type="dxa"/>
            <w:vAlign w:val="bottom"/>
            <w:tcBorders>
              <w:right w:val="single" w:sz="8" w:color="auto"/>
            </w:tcBorders>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2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 the Interactive Data File because its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Borders>
              <w:right w:val="single" w:sz="8" w:color="auto"/>
            </w:tcBorders>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2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XBRL tags are embedded within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820" w:type="dxa"/>
            <w:vAlign w:val="bottom"/>
            <w:tcBorders>
              <w:right w:val="single" w:sz="8" w:color="auto"/>
            </w:tcBorders>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document.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1820" w:type="dxa"/>
            <w:vAlign w:val="bottom"/>
            <w:tcBorders>
              <w:bottom w:val="single" w:sz="8" w:color="auto"/>
              <w:right w:val="single" w:sz="8" w:color="auto"/>
            </w:tcBorders>
            <w:shd w:val="clear" w:color="auto" w:fill="CCEEFF"/>
          </w:tcPr>
          <w:p>
            <w:pPr>
              <w:spacing w:after="0"/>
              <w:rPr>
                <w:sz w:val="7"/>
                <w:szCs w:val="7"/>
                <w:color w:val="auto"/>
              </w:rPr>
            </w:pPr>
          </w:p>
        </w:tc>
        <w:tc>
          <w:tcPr>
            <w:tcW w:w="178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right w:val="single" w:sz="8" w:color="auto"/>
            </w:tcBorders>
            <w:shd w:val="clear" w:color="auto" w:fill="CCEEFF"/>
          </w:tcPr>
          <w:p>
            <w:pPr>
              <w:spacing w:after="0"/>
              <w:rPr>
                <w:sz w:val="7"/>
                <w:szCs w:val="7"/>
                <w:color w:val="auto"/>
              </w:rPr>
            </w:pPr>
          </w:p>
        </w:tc>
        <w:tc>
          <w:tcPr>
            <w:tcW w:w="282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6600" w:type="dxa"/>
            <w:vAlign w:val="bottom"/>
            <w:tcBorders>
              <w:bottom w:val="single" w:sz="8" w:color="auto"/>
              <w:right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101.CAL</w:t>
            </w:r>
          </w:p>
        </w:tc>
        <w:tc>
          <w:tcPr>
            <w:tcW w:w="6600" w:type="dxa"/>
            <w:vAlign w:val="bottom"/>
            <w:tcBorders>
              <w:bottom w:val="single" w:sz="8" w:color="auto"/>
              <w:right w:val="single" w:sz="8" w:color="auto"/>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6600" w:type="dxa"/>
            <w:vAlign w:val="bottom"/>
            <w:tcBorders>
              <w:bottom w:val="single" w:sz="8" w:color="auto"/>
              <w:right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101.PRE</w:t>
            </w:r>
          </w:p>
        </w:tc>
        <w:tc>
          <w:tcPr>
            <w:tcW w:w="6600" w:type="dxa"/>
            <w:vAlign w:val="bottom"/>
            <w:tcBorders>
              <w:bottom w:val="single" w:sz="8" w:color="auto"/>
              <w:right w:val="single" w:sz="8" w:color="auto"/>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6600" w:type="dxa"/>
            <w:vAlign w:val="bottom"/>
            <w:tcBorders>
              <w:bottom w:val="single" w:sz="8" w:color="auto"/>
              <w:right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820" w:type="dxa"/>
            <w:vAlign w:val="bottom"/>
            <w:tcBorders>
              <w:right w:val="single" w:sz="8" w:color="auto"/>
            </w:tcBorders>
            <w:shd w:val="clear" w:color="auto" w:fill="CCEEFF"/>
          </w:tcPr>
          <w:p>
            <w:pPr>
              <w:ind w:left="140"/>
              <w:spacing w:after="0" w:line="170" w:lineRule="exact"/>
              <w:rPr>
                <w:sz w:val="20"/>
                <w:szCs w:val="20"/>
                <w:color w:val="auto"/>
              </w:rPr>
            </w:pPr>
            <w:r>
              <w:rPr>
                <w:rFonts w:ascii="Times New Roman" w:cs="Times New Roman" w:eastAsia="Times New Roman" w:hAnsi="Times New Roman"/>
                <w:sz w:val="18"/>
                <w:szCs w:val="18"/>
                <w:color w:val="auto"/>
              </w:rPr>
              <w:t>104</w:t>
            </w:r>
          </w:p>
        </w:tc>
        <w:tc>
          <w:tcPr>
            <w:tcW w:w="6600" w:type="dxa"/>
            <w:vAlign w:val="bottom"/>
            <w:tcBorders>
              <w:right w:val="single" w:sz="8" w:color="auto"/>
            </w:tcBorders>
            <w:gridSpan w:val="15"/>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8"/>
              </w:rPr>
              <w:t>Cover Page Interactive Data File (embedded within the Inline XBRL document contained in</w:t>
            </w:r>
          </w:p>
        </w:tc>
        <w:tc>
          <w:tcPr>
            <w:tcW w:w="28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820" w:type="dxa"/>
            <w:vAlign w:val="bottom"/>
            <w:tcBorders>
              <w:bottom w:val="single" w:sz="8" w:color="auto"/>
              <w:right w:val="single" w:sz="8" w:color="auto"/>
            </w:tcBorders>
            <w:shd w:val="clear" w:color="auto" w:fill="CCEEFF"/>
          </w:tcPr>
          <w:p>
            <w:pPr>
              <w:spacing w:after="0"/>
              <w:rPr>
                <w:sz w:val="19"/>
                <w:szCs w:val="19"/>
                <w:color w:val="auto"/>
              </w:rPr>
            </w:pPr>
          </w:p>
        </w:tc>
        <w:tc>
          <w:tcPr>
            <w:tcW w:w="6600" w:type="dxa"/>
            <w:vAlign w:val="bottom"/>
            <w:tcBorders>
              <w:bottom w:val="single" w:sz="8" w:color="auto"/>
              <w:right w:val="single" w:sz="8" w:color="auto"/>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w:t>
            </w:r>
          </w:p>
        </w:tc>
        <w:tc>
          <w:tcPr>
            <w:tcW w:w="28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77" w:lineRule="exact"/>
        <w:rPr>
          <w:sz w:val="20"/>
          <w:szCs w:val="20"/>
          <w:color w:val="auto"/>
        </w:rPr>
      </w:pPr>
    </w:p>
    <w:p>
      <w:pPr>
        <w:jc w:val="both"/>
        <w:ind w:left="360" w:right="40" w:hanging="323"/>
        <w:spacing w:after="0" w:line="255" w:lineRule="auto"/>
        <w:tabs>
          <w:tab w:leader="none" w:pos="340" w:val="left"/>
        </w:tabs>
        <w:rPr>
          <w:sz w:val="20"/>
          <w:szCs w:val="20"/>
          <w:color w:val="auto"/>
        </w:rPr>
      </w:pPr>
      <w:r>
        <w:rPr>
          <w:rFonts w:ascii="Times New Roman" w:cs="Times New Roman" w:eastAsia="Times New Roman" w:hAnsi="Times New Roman"/>
          <w:sz w:val="18"/>
          <w:szCs w:val="18"/>
          <w:color w:val="auto"/>
        </w:rPr>
        <w:t>*</w:t>
        <w:tab/>
        <w:t>Certain schedules and exhibits have been omitted pursuant to Item 601(a)(5) of Regulation S-K because such schedules and exhibits do not contain information which is material to an investment decision, or which is not otherwise disclosed in the filed agreements. The Company will furnish the omitted schedules and exhibits to the SEC upon request by the SEC.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3 and 4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20"/>
        <w:spacing w:after="0"/>
        <w:tabs>
          <w:tab w:leader="none" w:pos="4200" w:val="left"/>
          <w:tab w:leader="none" w:pos="4660" w:val="left"/>
        </w:tabs>
        <w:rPr>
          <w:sz w:val="20"/>
          <w:szCs w:val="20"/>
          <w:color w:val="auto"/>
        </w:rPr>
      </w:pPr>
      <w:r>
        <w:rPr>
          <w:rFonts w:ascii="Times New Roman" w:cs="Times New Roman" w:eastAsia="Times New Roman" w:hAnsi="Times New Roman"/>
          <w:sz w:val="18"/>
          <w:szCs w:val="18"/>
          <w:color w:val="auto"/>
        </w:rPr>
        <w:t>Dated: April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Loftus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36175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16" w:lineRule="exact"/>
        <w:rPr>
          <w:sz w:val="20"/>
          <w:szCs w:val="20"/>
          <w:color w:val="auto"/>
        </w:rPr>
      </w:pPr>
    </w:p>
    <w:p>
      <w:pPr>
        <w:ind w:left="4680" w:right="920"/>
        <w:spacing w:after="0" w:line="237" w:lineRule="auto"/>
        <w:rPr>
          <w:sz w:val="20"/>
          <w:szCs w:val="20"/>
          <w:color w:val="auto"/>
        </w:rPr>
      </w:pPr>
      <w:r>
        <w:rPr>
          <w:rFonts w:ascii="Times New Roman" w:cs="Times New Roman" w:eastAsia="Times New Roman" w:hAnsi="Times New Roman"/>
          <w:sz w:val="18"/>
          <w:szCs w:val="18"/>
          <w:color w:val="auto"/>
        </w:rPr>
        <w:t>Senior Vice President and 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360" w:right="339" w:bottom="1440" w:gutter="0" w:footer="0" w:header="0"/>
        </w:sectPr>
      </w:pPr>
    </w:p>
    <w:bookmarkStart w:id="43" w:name="page44"/>
    <w:bookmarkEnd w:id="43"/>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SUN COMMUNITIES,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AWARD AGREEMENT</w:t>
      </w:r>
    </w:p>
    <w:p>
      <w:pPr>
        <w:spacing w:after="0" w:line="34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Sun Communities, Inc., a Maryland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upon the recommendation of the Compensation Committee of the Company's Board of Directors and pursuant to that certain 2015 Equity Incentive Plan, as amended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originally adopted by the Company's Board of Directors and approved by its shareholders on July 20, 2015, and in consideration of the services to be rendered to the Company or its subsidiaries by [___________________]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hereby grants, as of</w:t>
      </w:r>
    </w:p>
    <w:p>
      <w:pPr>
        <w:spacing w:after="0"/>
        <w:rPr>
          <w:sz w:val="20"/>
          <w:szCs w:val="20"/>
          <w:color w:val="auto"/>
        </w:rPr>
      </w:pPr>
      <w:r>
        <w:rPr>
          <w:rFonts w:ascii="Times New Roman" w:cs="Times New Roman" w:eastAsia="Times New Roman" w:hAnsi="Times New Roman"/>
          <w:sz w:val="21"/>
          <w:szCs w:val="21"/>
          <w:color w:val="auto"/>
        </w:rPr>
        <w:t>[___] [___], [___]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to Employee Restricted Share Rights to receive [___________________] shares of the</w:t>
      </w:r>
    </w:p>
    <w:p>
      <w:pPr>
        <w:spacing w:after="0" w:line="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Company's Common Stock, par value $0.01 per share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subject to the terms and conditions contained in this Restricted Stock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subject to all the terms and conditions of the Plan, which are incorporated by reference herein. Employee agrees to the provisions set forth herein and in the Plan and acknowledges that each such provision is a material condition of the Company’s agreement to grant the Restricted Share Rights and issue the Shares to Employee. All capitalized terms used but not otherwise defined in this Agreement shall have the meanings ascribed to such terms in the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RECEIPT AND DELIVERY OF SHARES</w:t>
      </w:r>
    </w:p>
    <w:p>
      <w:pPr>
        <w:spacing w:after="0" w:line="26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Until such time as the Shares vest in accordance with Section II below, any stock certificate or certificates evidencing the Shares shall be registered in the name of Employee but held in escrow by the Company. As soon as practicable after the date upon which any Shares vest, the Company shall deliver to Employee a certificate or certificates representing such vested Shares, registered in the name of Employee.</w:t>
      </w:r>
    </w:p>
    <w:p>
      <w:pPr>
        <w:spacing w:after="0" w:line="195" w:lineRule="exact"/>
        <w:rPr>
          <w:sz w:val="20"/>
          <w:szCs w:val="20"/>
          <w:color w:val="auto"/>
        </w:rPr>
      </w:pPr>
    </w:p>
    <w:p>
      <w:pPr>
        <w:ind w:left="4700" w:hanging="255"/>
        <w:spacing w:after="0"/>
        <w:tabs>
          <w:tab w:leader="none" w:pos="47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p>
    <w:p>
      <w:pPr>
        <w:spacing w:after="0" w:line="273" w:lineRule="exact"/>
        <w:rPr>
          <w:rFonts w:ascii="Times New Roman" w:cs="Times New Roman" w:eastAsia="Times New Roman" w:hAnsi="Times New Roman"/>
          <w:sz w:val="22"/>
          <w:szCs w:val="22"/>
          <w:color w:val="auto"/>
        </w:rPr>
      </w:pPr>
    </w:p>
    <w:p>
      <w:pPr>
        <w:jc w:val="both"/>
        <w:ind w:firstLine="656"/>
        <w:spacing w:after="0" w:line="266" w:lineRule="auto"/>
        <w:tabs>
          <w:tab w:leader="none" w:pos="113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 Shares (the “</w:t>
      </w:r>
      <w:r>
        <w:rPr>
          <w:rFonts w:ascii="Times New Roman" w:cs="Times New Roman" w:eastAsia="Times New Roman" w:hAnsi="Times New Roman"/>
          <w:sz w:val="22"/>
          <w:szCs w:val="22"/>
          <w:u w:val="single" w:color="auto"/>
          <w:color w:val="auto"/>
        </w:rPr>
        <w:t>Time Vesting Shares</w:t>
      </w:r>
      <w:r>
        <w:rPr>
          <w:rFonts w:ascii="Times New Roman" w:cs="Times New Roman" w:eastAsia="Times New Roman" w:hAnsi="Times New Roman"/>
          <w:sz w:val="22"/>
          <w:szCs w:val="22"/>
          <w:color w:val="auto"/>
        </w:rPr>
        <w:t>”) shall be issued on the date hereof but shall be subject to vesting as set forth in Section II(b) below. The remaining [___________________] Shares (the “</w:t>
      </w:r>
      <w:r>
        <w:rPr>
          <w:rFonts w:ascii="Times New Roman" w:cs="Times New Roman" w:eastAsia="Times New Roman" w:hAnsi="Times New Roman"/>
          <w:sz w:val="22"/>
          <w:szCs w:val="22"/>
          <w:u w:val="single" w:color="auto"/>
          <w:color w:val="auto"/>
        </w:rPr>
        <w:t>Target Performance Vesting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until issued, shall be represented by performance vesting units (the “</w:t>
      </w:r>
      <w:r>
        <w:rPr>
          <w:rFonts w:ascii="Times New Roman" w:cs="Times New Roman" w:eastAsia="Times New Roman" w:hAnsi="Times New Roman"/>
          <w:sz w:val="22"/>
          <w:szCs w:val="22"/>
          <w:u w:val="single" w:color="auto"/>
          <w:color w:val="auto"/>
        </w:rPr>
        <w:t>Performance Vesting Units</w:t>
      </w:r>
      <w:r>
        <w:rPr>
          <w:rFonts w:ascii="Times New Roman" w:cs="Times New Roman" w:eastAsia="Times New Roman" w:hAnsi="Times New Roman"/>
          <w:sz w:val="22"/>
          <w:szCs w:val="22"/>
          <w:color w:val="auto"/>
        </w:rPr>
        <w:t xml:space="preserve">”) and shall be subject to vesting as set forth in Section II(c) below and the attached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In accordance with the attached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actual maximum number of Shares that may be issued in respect of the Performance Vesting Units (the “</w:t>
      </w:r>
      <w:r>
        <w:rPr>
          <w:rFonts w:ascii="Times New Roman" w:cs="Times New Roman" w:eastAsia="Times New Roman" w:hAnsi="Times New Roman"/>
          <w:sz w:val="22"/>
          <w:szCs w:val="22"/>
          <w:u w:val="single" w:color="auto"/>
          <w:color w:val="auto"/>
        </w:rPr>
        <w:t>Performance Vesting Shares</w:t>
      </w:r>
      <w:r>
        <w:rPr>
          <w:rFonts w:ascii="Times New Roman" w:cs="Times New Roman" w:eastAsia="Times New Roman" w:hAnsi="Times New Roman"/>
          <w:sz w:val="22"/>
          <w:szCs w:val="22"/>
          <w:color w:val="auto"/>
        </w:rPr>
        <w:t>”) is 200% of the Target Performance Vesting Shares.</w:t>
      </w:r>
    </w:p>
    <w:p>
      <w:pPr>
        <w:spacing w:after="0" w:line="207" w:lineRule="exact"/>
        <w:rPr>
          <w:rFonts w:ascii="Times New Roman" w:cs="Times New Roman" w:eastAsia="Times New Roman" w:hAnsi="Times New Roman"/>
          <w:sz w:val="22"/>
          <w:szCs w:val="22"/>
          <w:color w:val="auto"/>
        </w:rPr>
      </w:pPr>
    </w:p>
    <w:p>
      <w:pPr>
        <w:jc w:val="both"/>
        <w:ind w:firstLine="656"/>
        <w:spacing w:after="0" w:line="276" w:lineRule="auto"/>
        <w:tabs>
          <w:tab w:leader="none" w:pos="111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Time Vesting Shares shall vest as follows: (i) [___________________] of the Time Vesting Shares (representing one-third of the Time Vesting Shares) shall vest on the first anniversary of the Date of Grant; (ii) [___________________] of the Time Vesting Shares</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75" w:lineRule="auto"/>
        <w:rPr>
          <w:sz w:val="20"/>
          <w:szCs w:val="20"/>
          <w:color w:val="auto"/>
        </w:rPr>
      </w:pPr>
      <w:r>
        <w:rPr>
          <w:rFonts w:ascii="Times New Roman" w:cs="Times New Roman" w:eastAsia="Times New Roman" w:hAnsi="Times New Roman"/>
          <w:sz w:val="21"/>
          <w:szCs w:val="21"/>
          <w:color w:val="auto"/>
        </w:rPr>
        <w:t>(representing one-third of the Time Vesting Shares) shall vest on the second anniversary of the Date of Grant; and (iii) [___________________] of the Time Vesting Shares (representing one-third of the Time Vesting Shares) shall vest on the third</w:t>
      </w:r>
    </w:p>
    <w:p>
      <w:pPr>
        <w:spacing w:after="0"/>
        <w:rPr>
          <w:sz w:val="20"/>
          <w:szCs w:val="20"/>
          <w:color w:val="auto"/>
        </w:rPr>
      </w:pPr>
      <w:r>
        <w:rPr>
          <w:rFonts w:ascii="Times New Roman" w:cs="Times New Roman" w:eastAsia="Times New Roman" w:hAnsi="Times New Roman"/>
          <w:sz w:val="22"/>
          <w:szCs w:val="22"/>
          <w:color w:val="auto"/>
        </w:rPr>
        <w:t>anniversary of the Date of Grant, provided that Employee is employed by the Company or any of its affiliates on such dates.</w:t>
      </w:r>
    </w:p>
    <w:p>
      <w:pPr>
        <w:spacing w:after="0" w:line="274" w:lineRule="exact"/>
        <w:rPr>
          <w:sz w:val="20"/>
          <w:szCs w:val="20"/>
          <w:color w:val="auto"/>
        </w:rPr>
      </w:pPr>
    </w:p>
    <w:p>
      <w:pPr>
        <w:ind w:left="1160" w:hanging="504"/>
        <w:spacing w:after="0"/>
        <w:tabs>
          <w:tab w:leader="none" w:pos="116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Performance Criteria (as defined below) for the measurement period is satisfied, the Performance</w:t>
      </w:r>
    </w:p>
    <w:p>
      <w:pPr>
        <w:spacing w:after="0" w:line="69"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Vesting Units shall vest as set forth on the attached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provided that Employee is employed by the Company or any of its affiliates on the following vesting date:</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Measurement Period</w:t>
            </w:r>
          </w:p>
        </w:tc>
        <w:tc>
          <w:tcPr>
            <w:tcW w:w="2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Performance Vesting Date</w:t>
            </w:r>
          </w:p>
        </w:tc>
      </w:tr>
      <w:tr>
        <w:trPr>
          <w:trHeight w:val="546"/>
        </w:trPr>
        <w:tc>
          <w:tcPr>
            <w:tcW w:w="4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January 1, 20__ to December 31, 20__</w:t>
            </w:r>
          </w:p>
        </w:tc>
        <w:tc>
          <w:tcPr>
            <w:tcW w:w="2980" w:type="dxa"/>
            <w:vAlign w:val="bottom"/>
            <w:gridSpan w:val="2"/>
          </w:tcPr>
          <w:p>
            <w:pPr>
              <w:ind w:left="700"/>
              <w:spacing w:after="0"/>
              <w:rPr>
                <w:sz w:val="20"/>
                <w:szCs w:val="20"/>
                <w:color w:val="auto"/>
              </w:rPr>
            </w:pPr>
            <w:r>
              <w:rPr>
                <w:rFonts w:ascii="Times New Roman" w:cs="Times New Roman" w:eastAsia="Times New Roman" w:hAnsi="Times New Roman"/>
                <w:sz w:val="22"/>
                <w:szCs w:val="22"/>
                <w:color w:val="auto"/>
              </w:rPr>
              <w:t>January 1, 20__</w:t>
            </w:r>
          </w:p>
        </w:tc>
      </w:tr>
    </w:tbl>
    <w:p>
      <w:pPr>
        <w:spacing w:after="0" w:line="200" w:lineRule="exact"/>
        <w:rPr>
          <w:sz w:val="20"/>
          <w:szCs w:val="20"/>
          <w:color w:val="auto"/>
        </w:rPr>
      </w:pPr>
    </w:p>
    <w:p>
      <w:pPr>
        <w:spacing w:after="0" w:line="2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2"/>
          <w:szCs w:val="22"/>
          <w:color w:val="auto"/>
        </w:rPr>
        <w:t xml:space="preserve">For purposes hereof, “Performance Criteria” shall mean the performance criteria relative to the Company’s common stock and financial performance set forth on the attached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Notwithstanding anything to the contrary herein, in accordance with the attached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maximum number of Shares that may be issued in respect of the Performance Vesting Units is 200% of the Target Performance Vesting Shares. All Performance Vesting Shares in respect of vested Performance Vesting Units shall be issued to Employee as soon as practicable (and in all events within 60 days) after they vest.</w:t>
      </w:r>
    </w:p>
    <w:p>
      <w:pPr>
        <w:spacing w:after="0" w:line="202" w:lineRule="exact"/>
        <w:rPr>
          <w:sz w:val="20"/>
          <w:szCs w:val="20"/>
          <w:color w:val="auto"/>
        </w:rPr>
      </w:pPr>
    </w:p>
    <w:p>
      <w:pPr>
        <w:jc w:val="both"/>
        <w:ind w:firstLine="656"/>
        <w:spacing w:after="0" w:line="276" w:lineRule="auto"/>
        <w:tabs>
          <w:tab w:leader="none" w:pos="115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any Time Vesting Shares or Performance Vesting Shares that fail to vest in accordance with the applicable vesting conditions Section II shall, without payment of any consideration by the Company, automatically and without notice be forfeited and be and become null and void.</w:t>
      </w:r>
    </w:p>
    <w:p>
      <w:pPr>
        <w:spacing w:after="0" w:line="207" w:lineRule="exact"/>
        <w:rPr>
          <w:rFonts w:ascii="Times New Roman" w:cs="Times New Roman" w:eastAsia="Times New Roman" w:hAnsi="Times New Roman"/>
          <w:sz w:val="22"/>
          <w:szCs w:val="22"/>
          <w:color w:val="auto"/>
        </w:rPr>
      </w:pPr>
    </w:p>
    <w:p>
      <w:pPr>
        <w:jc w:val="both"/>
        <w:ind w:firstLine="656"/>
        <w:spacing w:after="0" w:line="269" w:lineRule="auto"/>
        <w:tabs>
          <w:tab w:leader="none" w:pos="110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in this Agreement, in the event of Employee’s Separation of Service at any time for any reason, the vesting, exercisability and forfeiture of the Shares shall be subject to that certain Employment Agreement by and among the Company, Sun Communities Operating Limited Partnership and Employee dated effective as of [_________, 202_] (including any amendments, restatements or replacements thereof) (the “Employment Agreement”).</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Except as expressly provided otherwise in the Employment Agreement, (i) upon a termination of the Employment Agreement by the Company without Cause (as defined in the Employment Agreement), (ii) upon Employee’s resignation or termination of the Employment Agreement for Good Reason (as defined in the Employment Agreement), (iii) upon Employee’s death, or permanent disability (as defined in the Employment Agreement), or (iv) if Employee becomes entitled to receive Change in Control Benefits (as defined in the Employment Agreement), then, subject to Employee’s execution of a general release of claims in a form satisfactory to the Company, (x) the Performance Vesting Units shall not automatically be</w:t>
      </w:r>
    </w:p>
    <w:p>
      <w:pPr>
        <w:sectPr>
          <w:pgSz w:w="11900" w:h="16838" w:orient="portrait"/>
          <w:cols w:equalWidth="0" w:num="1">
            <w:col w:w="11240"/>
          </w:cols>
          <w:pgMar w:left="320" w:top="1422" w:right="339" w:bottom="1440" w:gutter="0" w:footer="0" w:header="0"/>
        </w:sectPr>
      </w:pPr>
    </w:p>
    <w:bookmarkStart w:id="45" w:name="page46"/>
    <w:bookmarkEnd w:id="45"/>
    <w:p>
      <w:pPr>
        <w:jc w:val="both"/>
        <w:spacing w:after="0" w:line="267" w:lineRule="auto"/>
        <w:rPr>
          <w:sz w:val="20"/>
          <w:szCs w:val="20"/>
          <w:color w:val="auto"/>
        </w:rPr>
      </w:pPr>
      <w:r>
        <w:rPr>
          <w:rFonts w:ascii="Times New Roman" w:cs="Times New Roman" w:eastAsia="Times New Roman" w:hAnsi="Times New Roman"/>
          <w:sz w:val="22"/>
          <w:szCs w:val="22"/>
          <w:color w:val="auto"/>
        </w:rPr>
        <w:t>forfeited on the termination date and shall remain outstanding until it is determined if any Pro Rata Portion (as defined below) of the Performance Vesting Shares are issuable, and (y) to the extent not already vested, a Pro Rata Portion of the Performance Vesting Shares shall be issued on or after January 1, 20__. The “Pro Rata Portion” of the Performance Vesting Shares means (A) the total number of Performance Vesting Shares that would have been issued based on the Performance Criteria if Employee had remained employed by the Company for the entire Performance Criteria measurement period, multiplied by (B) the number of days between the Date of Grant and the termination date of Employee’s employment, divided by the number of days between the Date of Grant and December 31, 20__.</w:t>
      </w:r>
    </w:p>
    <w:p>
      <w:pPr>
        <w:spacing w:after="0" w:line="203" w:lineRule="exact"/>
        <w:rPr>
          <w:sz w:val="20"/>
          <w:szCs w:val="20"/>
          <w:color w:val="auto"/>
        </w:rPr>
      </w:pPr>
    </w:p>
    <w:p>
      <w:pPr>
        <w:ind w:left="3740" w:hanging="330"/>
        <w:spacing w:after="0"/>
        <w:tabs>
          <w:tab w:leader="none" w:pos="37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SHARES; CLAWBACK</w:t>
      </w:r>
    </w:p>
    <w:p>
      <w:pPr>
        <w:spacing w:after="0" w:line="2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Until a Share vests pursuant to Section II above, it shall not be liable for the debts, contracts or obligations of Employee nor be subject to disposition by assignment, transfer, sale, alienation, pledge, encumbrance or any other means, whether such disposition is voluntary or involuntary or by operation of law by judgment, levy, attachment, garnishment or other legal or equitable proceeding (including bankruptcy), and any attempted disposition thereof shall be null and void and of no force or effect; provided, however, that this Section III does not prevent transfers by will or by the applicable laws of descent and distribution.</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The Employee agrees that all of the Shares are subject to the Sun Communities, Inc. Executive Compensation Recovery (Clawback) Policy, as it may be amended, restated or supplemented from time to time (the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and any similar clawback or compensation recovery policy that is in effect from time to time. Further, the Employee agrees to abide by the terms of the Clawback Policy, including, without limitation, by returning any Erroneously Awarded Compensation (as defined in the Clawback Policy) to the Company to the extent required by, and in a manner permitted by, the Clawback Policy.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IV. </w:t>
      </w:r>
      <w:r>
        <w:rPr>
          <w:rFonts w:ascii="Times New Roman" w:cs="Times New Roman" w:eastAsia="Times New Roman" w:hAnsi="Times New Roman"/>
          <w:sz w:val="22"/>
          <w:szCs w:val="22"/>
          <w:u w:val="single" w:color="auto"/>
          <w:color w:val="auto"/>
        </w:rPr>
        <w:t>RIGHTS AS A STOCKHOLDER</w:t>
      </w:r>
    </w:p>
    <w:p>
      <w:pPr>
        <w:spacing w:after="0" w:line="260"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1"/>
          <w:szCs w:val="21"/>
          <w:color w:val="auto"/>
        </w:rPr>
        <w:t>Employee shall be entitled to vote unvested Time Vesting Shares and to receive dividends and other distributions payable with respect to unvested Time Vesting Shares from and after the Date of Grant as and when such dividends and distributions are paid on shares of the Company’s Common Stock; provided that any securities or other property (but not cash) received in any such distribution with respect to any Time Vesting Shares that are still subject to the restrictions of Section II and III of this Agreement shall be subject to all of the restrictions in this Agreement with respect to such Time Vesting Shares vest.</w:t>
      </w:r>
    </w:p>
    <w:p>
      <w:pPr>
        <w:spacing w:after="0" w:line="20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auto"/>
        </w:rPr>
        <w:t>Upon the payment by the Company of dividends and other distributions on shares of its Common Stock, Performance Vesting Shares underlying unvested Performance Vesting Units (including any Performance Vesting Shares that may be issued in excess of the Target Performance Vesting Shares) shall be entitled to be credited with dividend equivalent payments, which shall accrue in cash without interest and shall be delivered in cash. Accumulated dividend</w:t>
      </w:r>
    </w:p>
    <w:p>
      <w:pPr>
        <w:sectPr>
          <w:pgSz w:w="11900" w:h="16838" w:orient="portrait"/>
          <w:cols w:equalWidth="0" w:num="1">
            <w:col w:w="11240"/>
          </w:cols>
          <w:pgMar w:left="320" w:top="1422" w:right="339" w:bottom="1440" w:gutter="0" w:footer="0" w:header="0"/>
        </w:sectPr>
      </w:pPr>
    </w:p>
    <w:bookmarkStart w:id="46" w:name="page47"/>
    <w:bookmarkEnd w:id="46"/>
    <w:p>
      <w:pPr>
        <w:jc w:val="both"/>
        <w:spacing w:after="0" w:line="269" w:lineRule="auto"/>
        <w:rPr>
          <w:sz w:val="20"/>
          <w:szCs w:val="20"/>
          <w:color w:val="auto"/>
        </w:rPr>
      </w:pPr>
      <w:r>
        <w:rPr>
          <w:rFonts w:ascii="Times New Roman" w:cs="Times New Roman" w:eastAsia="Times New Roman" w:hAnsi="Times New Roman"/>
          <w:sz w:val="22"/>
          <w:szCs w:val="22"/>
          <w:color w:val="auto"/>
        </w:rPr>
        <w:t>equivalents shall be payable at such time the Performance Vesting Shares are issued. For the avoidance of doubt, dividends and other distributions accrued in respect of Performance Vesting Shares shall only be paid to the extent the underlying Performance Vesting Shares are issued, and to the extent any Performance Vesting Shares are forfeited and not earned, Employee shall have no right to such dividend equivalent payments.</w:t>
      </w:r>
    </w:p>
    <w:p>
      <w:pPr>
        <w:spacing w:after="0" w:line="216" w:lineRule="exact"/>
        <w:rPr>
          <w:sz w:val="20"/>
          <w:szCs w:val="20"/>
          <w:color w:val="auto"/>
        </w:rPr>
      </w:pPr>
    </w:p>
    <w:p>
      <w:pPr>
        <w:ind w:left="4960" w:hanging="228"/>
        <w:spacing w:after="0"/>
        <w:tabs>
          <w:tab w:leader="none" w:pos="49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w:t>
      </w:r>
    </w:p>
    <w:p>
      <w:pPr>
        <w:spacing w:after="0" w:line="2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auto"/>
        </w:rPr>
        <w:t>Subject to the other terms and conditions of this Agreement, the Shares may be offered and sold by Employee only if such stock is registered for resale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or if an exemption from registration under the Securities Act is available. Employee acknowledges and agrees: (a) that the Company has no obligation to effect such registration; (b) not to offer or sell the Shares unless and until such stock is registered for resale under the Securities Act or an exemption from registration is available; and (c) that the Shares were acquired for his own account for investment and not with a view to, or for sale in connection with, the distribution of any part thereof.</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VI. </w:t>
      </w:r>
      <w:r>
        <w:rPr>
          <w:rFonts w:ascii="Times New Roman" w:cs="Times New Roman" w:eastAsia="Times New Roman" w:hAnsi="Times New Roman"/>
          <w:sz w:val="22"/>
          <w:szCs w:val="22"/>
          <w:u w:val="single" w:color="auto"/>
          <w:color w:val="auto"/>
        </w:rPr>
        <w:t>NO RIGHT TO EMPLOYMENT CONFERRED</w:t>
      </w:r>
    </w:p>
    <w:p>
      <w:pPr>
        <w:spacing w:after="0" w:line="27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Nothing in this Agreement or the Plan changes the at-will nature of Employee’s employment with the Company or otherwise confers upon Employee any right to continue in employment with the Company or a subsidiary or interfere in any way with the right of the Company or any subsidiary to terminate such person's employment at any time.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VII. </w:t>
      </w:r>
      <w:r>
        <w:rPr>
          <w:rFonts w:ascii="Times New Roman" w:cs="Times New Roman" w:eastAsia="Times New Roman" w:hAnsi="Times New Roman"/>
          <w:sz w:val="22"/>
          <w:szCs w:val="22"/>
          <w:u w:val="single" w:color="auto"/>
          <w:color w:val="auto"/>
        </w:rPr>
        <w:t>MISCELLANEOUS</w:t>
      </w:r>
    </w:p>
    <w:p>
      <w:pPr>
        <w:spacing w:after="0" w:line="274" w:lineRule="exact"/>
        <w:rPr>
          <w:sz w:val="20"/>
          <w:szCs w:val="20"/>
          <w:color w:val="auto"/>
        </w:rPr>
      </w:pPr>
    </w:p>
    <w:p>
      <w:pPr>
        <w:jc w:val="both"/>
        <w:ind w:firstLine="656"/>
        <w:spacing w:after="0" w:line="265" w:lineRule="auto"/>
        <w:tabs>
          <w:tab w:leader="none" w:pos="11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terms of the Plan, the Company is entitled to withhold (or secure payment from Employee in lieu of withholding) the amount of any withholding or other tax required by law to be withheld or paid by the Company with respect to the award or issuance of the Shares. Employee understands that the taxable income recognized by Employee as a result of the award of the Time Vesting Shares would be affected by a decision by Employee to make an election under Section 83(b) of the Internal Revenue Code of 1986, as amended (the “</w:t>
      </w:r>
      <w:r>
        <w:rPr>
          <w:rFonts w:ascii="Times New Roman" w:cs="Times New Roman" w:eastAsia="Times New Roman" w:hAnsi="Times New Roman"/>
          <w:sz w:val="22"/>
          <w:szCs w:val="22"/>
          <w:u w:val="single" w:color="auto"/>
          <w:color w:val="auto"/>
        </w:rPr>
        <w:t>83(b) Election</w:t>
      </w:r>
      <w:r>
        <w:rPr>
          <w:rFonts w:ascii="Times New Roman" w:cs="Times New Roman" w:eastAsia="Times New Roman" w:hAnsi="Times New Roman"/>
          <w:sz w:val="22"/>
          <w:szCs w:val="22"/>
          <w:color w:val="auto"/>
        </w:rPr>
        <w:t>”), with respect to the Time Vesting Shares within thirty (30) days after the Date of Grant. Employee acknowledges and agrees that he will have the sole responsibility for determining whether to make an 83(b) Election with respect to the Time Vesting Shares and for properly making such election and filing such election with the relevant taxing authorities on a timely basis.</w:t>
      </w:r>
    </w:p>
    <w:p>
      <w:pPr>
        <w:spacing w:after="0" w:line="222" w:lineRule="exact"/>
        <w:rPr>
          <w:rFonts w:ascii="Times New Roman" w:cs="Times New Roman" w:eastAsia="Times New Roman" w:hAnsi="Times New Roman"/>
          <w:sz w:val="22"/>
          <w:szCs w:val="22"/>
          <w:color w:val="auto"/>
        </w:rPr>
      </w:pPr>
    </w:p>
    <w:p>
      <w:pPr>
        <w:jc w:val="both"/>
        <w:ind w:firstLine="656"/>
        <w:spacing w:after="0" w:line="288" w:lineRule="auto"/>
        <w:tabs>
          <w:tab w:leader="none" w:pos="113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Agreement is held invalid or unenforceable, the remaining provisions shall continue to be in full force and effect to the maximum extent permitted by law. If the implementation or presence of any provision of this</w:t>
      </w: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would or will cause the Plan and thereby the Shares purchased thereunder to not be in compliance with Rule 16b-3 under the Securities Exchange Act of 1934, as amended, or any other statutory provision, such</w:t>
      </w:r>
    </w:p>
    <w:p>
      <w:pPr>
        <w:sectPr>
          <w:pgSz w:w="11900" w:h="16838" w:orient="portrait"/>
          <w:cols w:equalWidth="0" w:num="1">
            <w:col w:w="11240"/>
          </w:cols>
          <w:pgMar w:left="320" w:top="1422" w:right="339" w:bottom="1440" w:gutter="0" w:footer="0" w:header="0"/>
        </w:sectPr>
      </w:pPr>
    </w:p>
    <w:bookmarkStart w:id="47" w:name="page48"/>
    <w:bookmarkEnd w:id="47"/>
    <w:p>
      <w:pPr>
        <w:jc w:val="both"/>
        <w:spacing w:after="0" w:line="295" w:lineRule="auto"/>
        <w:rPr>
          <w:sz w:val="20"/>
          <w:szCs w:val="20"/>
          <w:color w:val="auto"/>
        </w:rPr>
      </w:pPr>
      <w:r>
        <w:rPr>
          <w:rFonts w:ascii="Times New Roman" w:cs="Times New Roman" w:eastAsia="Times New Roman" w:hAnsi="Times New Roman"/>
          <w:sz w:val="22"/>
          <w:szCs w:val="22"/>
          <w:color w:val="auto"/>
        </w:rPr>
        <w:t>Agreement provision shall not be implemented or, at the Company's option following notice, such provision shall be severed from the Agreement as is appropriate or necessary to achieve statutory compliance; provided, however, that the parties hereby agree to negotiate in good faith as may be necessary to modify this Agreement to achieve statutory compliance or otherwise effectuate the intent of the parties following a severance permitted by this Section VII(b).</w:t>
      </w:r>
    </w:p>
    <w:p>
      <w:pPr>
        <w:spacing w:after="0" w:line="187" w:lineRule="exact"/>
        <w:rPr>
          <w:sz w:val="20"/>
          <w:szCs w:val="20"/>
          <w:color w:val="auto"/>
        </w:rPr>
      </w:pPr>
    </w:p>
    <w:p>
      <w:pPr>
        <w:jc w:val="both"/>
        <w:ind w:firstLine="656"/>
        <w:spacing w:after="0" w:line="276" w:lineRule="auto"/>
        <w:tabs>
          <w:tab w:leader="none" w:pos="110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and kind of Shares shall be appropriately adjusted to reflect any stock dividend, stock split, combination or exchange of shares, or other change in capitalization with a similar substantive effect upon such Shares. The Administrator shall have the power to determine the amount of the adjustment to be made in each case.</w:t>
      </w:r>
    </w:p>
    <w:p>
      <w:pPr>
        <w:spacing w:after="0" w:line="193" w:lineRule="exact"/>
        <w:rPr>
          <w:rFonts w:ascii="Times New Roman" w:cs="Times New Roman" w:eastAsia="Times New Roman" w:hAnsi="Times New Roman"/>
          <w:sz w:val="22"/>
          <w:szCs w:val="22"/>
          <w:color w:val="auto"/>
        </w:rPr>
      </w:pPr>
    </w:p>
    <w:p>
      <w:pPr>
        <w:jc w:val="both"/>
        <w:ind w:firstLine="656"/>
        <w:spacing w:after="0" w:line="322" w:lineRule="auto"/>
        <w:tabs>
          <w:tab w:leader="none" w:pos="1139"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acknowledges that the Performance Vesting Shares and dividends and other distributions accrued in respect of Performance Vesting Shares granted hereunder represent an unfunded, unsecured right to receive Shares and payments.</w:t>
      </w:r>
    </w:p>
    <w:p>
      <w:pPr>
        <w:spacing w:after="0" w:line="148" w:lineRule="exact"/>
        <w:rPr>
          <w:rFonts w:ascii="Times New Roman" w:cs="Times New Roman" w:eastAsia="Times New Roman" w:hAnsi="Times New Roman"/>
          <w:sz w:val="21"/>
          <w:szCs w:val="21"/>
          <w:color w:val="auto"/>
        </w:rPr>
      </w:pPr>
    </w:p>
    <w:p>
      <w:pPr>
        <w:jc w:val="both"/>
        <w:ind w:firstLine="656"/>
        <w:spacing w:after="0" w:line="276" w:lineRule="auto"/>
        <w:tabs>
          <w:tab w:leader="none" w:pos="114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required to be given hereunder to the Company shall be addressed to the Chief Administrative Officer, Sun Communities, Inc., 27777 Franklin Road, Suite 300, Southfield, Michigan 48034, and any notice required to be given to Employee shall be sent to Employee’s address as shown on the records of the Company.</w:t>
      </w:r>
    </w:p>
    <w:p>
      <w:pPr>
        <w:spacing w:after="0" w:line="207" w:lineRule="exact"/>
        <w:rPr>
          <w:rFonts w:ascii="Times New Roman" w:cs="Times New Roman" w:eastAsia="Times New Roman" w:hAnsi="Times New Roman"/>
          <w:sz w:val="22"/>
          <w:szCs w:val="22"/>
          <w:color w:val="auto"/>
        </w:rPr>
      </w:pPr>
    </w:p>
    <w:p>
      <w:pPr>
        <w:ind w:firstLine="656"/>
        <w:spacing w:after="0" w:line="284" w:lineRule="auto"/>
        <w:tabs>
          <w:tab w:leader="none" w:pos="122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instrument contains the entire Agreement of the parties and may only be amended by written agreement executed by the parties hereto.</w:t>
      </w:r>
    </w:p>
    <w:p>
      <w:pPr>
        <w:spacing w:after="0" w:line="197" w:lineRule="exact"/>
        <w:rPr>
          <w:rFonts w:ascii="Times New Roman" w:cs="Times New Roman" w:eastAsia="Times New Roman" w:hAnsi="Times New Roman"/>
          <w:sz w:val="22"/>
          <w:szCs w:val="22"/>
          <w:color w:val="auto"/>
        </w:rPr>
      </w:pPr>
    </w:p>
    <w:p>
      <w:pPr>
        <w:ind w:firstLine="656"/>
        <w:spacing w:after="0" w:line="284" w:lineRule="auto"/>
        <w:tabs>
          <w:tab w:leader="none" w:pos="112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made and entered into in, and shall be construed and enforced in accordance with the laws of, the State of Michigan.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following page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35" w:right="339" w:bottom="1440" w:gutter="0" w:footer="0" w:header="0"/>
        </w:sectPr>
      </w:pPr>
    </w:p>
    <w:bookmarkStart w:id="48" w:name="page49"/>
    <w:bookmarkEnd w:id="48"/>
    <w:p>
      <w:pPr>
        <w:ind w:left="3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Restricted Stock Award Agreement is hereby executed effective as of the Date of Grant.</w:t>
      </w:r>
    </w:p>
    <w:p>
      <w:pPr>
        <w:spacing w:after="0" w:line="27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7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SUN COMMUNITIES, INC., a Maryland corporation</w:t>
      </w:r>
    </w:p>
    <w:p>
      <w:pPr>
        <w:spacing w:after="0" w:line="200" w:lineRule="exact"/>
        <w:rPr>
          <w:sz w:val="20"/>
          <w:szCs w:val="20"/>
          <w:color w:val="auto"/>
        </w:rPr>
      </w:pPr>
    </w:p>
    <w:p>
      <w:pPr>
        <w:spacing w:after="0" w:line="30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-13970</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-13970</wp:posOffset>
            </wp:positionV>
            <wp:extent cx="9601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-21590</wp:posOffset>
            </wp:positionV>
            <wp:extent cx="8229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2296160</wp:posOffset>
            </wp:positionH>
            <wp:positionV relativeFrom="paragraph">
              <wp:posOffset>467995</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920"/>
          </w:cols>
          <w:pgMar w:left="600" w:top="1418" w:right="37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Performance-Based Vesting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019"/>
          </w:cols>
          <w:pgMar w:left="1440" w:top="1427"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List of Issuers of Guaranteed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2026, the debt instruments indicated below are fully and unconditionally guaranteed by Sun Communities, Inc.</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Debt Instrument</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 Senior Notes due 2028</w:t>
            </w:r>
          </w:p>
        </w:tc>
        <w:tc>
          <w:tcPr>
            <w:tcW w:w="8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2.7% Senior Notes due 2031</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 Senior Notes due 2032</w:t>
            </w: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r>
    </w:tbl>
    <w:p>
      <w:pPr>
        <w:sectPr>
          <w:pgSz w:w="11900" w:h="16838" w:orient="portrait"/>
          <w:cols w:equalWidth="0" w:num="1">
            <w:col w:w="11240"/>
          </w:cols>
          <w:pgMar w:left="320" w:top="140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Under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D. Young, certify that:</w:t>
      </w:r>
    </w:p>
    <w:p>
      <w:pPr>
        <w:spacing w:after="0" w:line="252"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Communities,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8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2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hanging="323"/>
        <w:spacing w:after="0" w:line="282" w:lineRule="auto"/>
        <w:tabs>
          <w:tab w:leader="none" w:pos="114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206"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157"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420"/>
        <w:spacing w:after="0"/>
        <w:tabs>
          <w:tab w:leader="none" w:pos="4800" w:val="left"/>
        </w:tabs>
        <w:rPr>
          <w:sz w:val="20"/>
          <w:szCs w:val="20"/>
          <w:color w:val="auto"/>
        </w:rPr>
      </w:pPr>
      <w:r>
        <w:rPr>
          <w:rFonts w:ascii="Times New Roman" w:cs="Times New Roman" w:eastAsia="Times New Roman" w:hAnsi="Times New Roman"/>
          <w:sz w:val="18"/>
          <w:szCs w:val="18"/>
          <w:color w:val="auto"/>
        </w:rPr>
        <w:t>Dated: April 28, 2026</w:t>
      </w:r>
      <w:r>
        <w:rPr>
          <w:sz w:val="20"/>
          <w:szCs w:val="20"/>
          <w:color w:val="auto"/>
        </w:rPr>
        <w:tab/>
      </w:r>
      <w:r>
        <w:rPr>
          <w:rFonts w:ascii="Times New Roman" w:cs="Times New Roman" w:eastAsia="Times New Roman" w:hAnsi="Times New Roman"/>
          <w:sz w:val="17"/>
          <w:szCs w:val="17"/>
          <w:color w:val="auto"/>
        </w:rPr>
        <w:t>/s/ Charles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17145</wp:posOffset>
            </wp:positionV>
            <wp:extent cx="36436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643630" cy="8890"/>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Charles D. Young, Chief Executive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Under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Fernando Castro-Caratini, certify that:</w:t>
      </w:r>
    </w:p>
    <w:p>
      <w:pPr>
        <w:spacing w:after="0" w:line="252"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Communities,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8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2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14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4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20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00" w:right="20" w:hanging="323"/>
        <w:spacing w:after="0" w:line="282" w:lineRule="auto"/>
        <w:tabs>
          <w:tab w:leader="none" w:pos="1152"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5300" w:val="left"/>
        </w:tabs>
        <w:rPr>
          <w:sz w:val="20"/>
          <w:szCs w:val="20"/>
          <w:color w:val="auto"/>
        </w:rPr>
      </w:pPr>
      <w:r>
        <w:rPr>
          <w:rFonts w:ascii="Times New Roman" w:cs="Times New Roman" w:eastAsia="Times New Roman" w:hAnsi="Times New Roman"/>
          <w:sz w:val="18"/>
          <w:szCs w:val="18"/>
          <w:color w:val="auto"/>
        </w:rPr>
        <w:t>Dated: April 28, 2026</w:t>
      </w:r>
      <w:r>
        <w:rPr>
          <w:sz w:val="20"/>
          <w:szCs w:val="20"/>
          <w:color w:val="auto"/>
        </w:rPr>
        <w:tab/>
      </w:r>
      <w:r>
        <w:rPr>
          <w:rFonts w:ascii="Times New Roman" w:cs="Times New Roman" w:eastAsia="Times New Roman" w:hAnsi="Times New Roman"/>
          <w:sz w:val="17"/>
          <w:szCs w:val="17"/>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5833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Fernando Castro-Caratini, Chief Financial Officer</w:t>
      </w:r>
    </w:p>
    <w:p>
      <w:pPr>
        <w:sectPr>
          <w:pgSz w:w="11900" w:h="16838" w:orient="portrait"/>
          <w:cols w:equalWidth="0" w:num="1">
            <w:col w:w="11240"/>
          </w:cols>
          <w:pgMar w:left="320" w:top="76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(Adopted Under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officers, Charles D. Young and Fernando Castro-Caratini, hereby certify that to the best of their knowledge: (a) this Quarterly Report on Form 10-Q of Sun Communities, Inc., for the period ended March 31, 2026,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6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Charles D. Young</w:t>
            </w:r>
          </w:p>
        </w:tc>
        <w:tc>
          <w:tcPr>
            <w:tcW w:w="2600" w:type="dxa"/>
            <w:vAlign w:val="bottom"/>
            <w:gridSpan w:val="3"/>
          </w:tcPr>
          <w:p>
            <w:pPr>
              <w:jc w:val="center"/>
              <w:ind w:left="1450"/>
              <w:spacing w:after="0"/>
              <w:rPr>
                <w:sz w:val="20"/>
                <w:szCs w:val="20"/>
                <w:color w:val="auto"/>
              </w:rPr>
            </w:pPr>
            <w:r>
              <w:rPr>
                <w:rFonts w:ascii="Times New Roman" w:cs="Times New Roman" w:eastAsia="Times New Roman" w:hAnsi="Times New Roman"/>
                <w:sz w:val="18"/>
                <w:szCs w:val="18"/>
                <w:color w:val="auto"/>
              </w:rPr>
              <w:t>April 28, 2026</w:t>
            </w:r>
          </w:p>
        </w:tc>
      </w:tr>
      <w:tr>
        <w:trPr>
          <w:trHeight w:val="228"/>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D. Young, Chief Executive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Fernando Castro-Caratini</w:t>
            </w:r>
          </w:p>
        </w:tc>
        <w:tc>
          <w:tcPr>
            <w:tcW w:w="2600" w:type="dxa"/>
            <w:vAlign w:val="bottom"/>
            <w:gridSpan w:val="3"/>
          </w:tcPr>
          <w:p>
            <w:pPr>
              <w:jc w:val="center"/>
              <w:ind w:left="1450"/>
              <w:spacing w:after="0"/>
              <w:rPr>
                <w:sz w:val="20"/>
                <w:szCs w:val="20"/>
                <w:color w:val="auto"/>
              </w:rPr>
            </w:pPr>
            <w:r>
              <w:rPr>
                <w:rFonts w:ascii="Times New Roman" w:cs="Times New Roman" w:eastAsia="Times New Roman" w:hAnsi="Times New Roman"/>
                <w:sz w:val="18"/>
                <w:szCs w:val="18"/>
                <w:color w:val="auto"/>
              </w:rPr>
              <w:t>April 28, 2026</w:t>
            </w:r>
          </w:p>
        </w:tc>
      </w:tr>
      <w:tr>
        <w:trPr>
          <w:trHeight w:val="228"/>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Fernando Castro-Caratini, Chief Financial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240"/>
      </w:cols>
      <w:pgMar w:left="320" w:top="6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2"/>
    </w:lvl>
  </w:abstractNum>
  <w:abstractNum w:abstractNumId="17">
    <w:nsid w:val="836C40E"/>
    <w:multiLevelType w:val="hybridMultilevel"/>
    <w:lvl w:ilvl="0">
      <w:lvlJc w:val="left"/>
      <w:lvlText w:val="(%1)"/>
      <w:numFmt w:val="decimal"/>
      <w:start w:val="3"/>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4"/>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lowerLetter"/>
      <w:start w:val="1"/>
    </w:lvl>
    <w:lvl w:ilvl="1">
      <w:lvlJc w:val="left"/>
      <w:lvlText w:val="%2."/>
      <w:numFmt w:val="upperLetter"/>
      <w:start w:val="35"/>
    </w:lvl>
  </w:abstractNum>
  <w:abstractNum w:abstractNumId="30">
    <w:nsid w:val="5577F8E1"/>
    <w:multiLevelType w:val="hybridMultilevel"/>
    <w:lvl w:ilvl="0">
      <w:lvlJc w:val="left"/>
      <w:lvlText w:val="(%1)"/>
      <w:numFmt w:val="lowerLetter"/>
      <w:start w:val="1"/>
    </w:lvl>
    <w:lvl w:ilvl="1">
      <w:lvlJc w:val="left"/>
      <w:lvlText w:val="%2"/>
      <w:numFmt w:val="upperLetter"/>
      <w:start w:val="1"/>
    </w:lvl>
  </w:abstractNum>
  <w:abstractNum w:abstractNumId="31">
    <w:nsid w:val="440BADFC"/>
    <w:multiLevelType w:val="hybridMultilevel"/>
    <w:lvl w:ilvl="0">
      <w:lvlJc w:val="left"/>
      <w:lvlText w:val="(%1)"/>
      <w:numFmt w:val="lowerLetter"/>
      <w:start w:val="3"/>
    </w:lvl>
  </w:abstractNum>
  <w:abstractNum w:abstractNumId="32">
    <w:nsid w:val="5072367"/>
    <w:multiLevelType w:val="hybridMultilevel"/>
    <w:lvl w:ilvl="0">
      <w:lvlJc w:val="left"/>
      <w:lvlText w:val="(%1)"/>
      <w:numFmt w:val="lowerLetter"/>
      <w:start w:val="4"/>
    </w:lvl>
  </w:abstractNum>
  <w:abstractNum w:abstractNumId="33">
    <w:nsid w:val="3804823E"/>
    <w:multiLevelType w:val="hybridMultilevel"/>
    <w:lvl w:ilvl="0">
      <w:lvlJc w:val="left"/>
      <w:lvlText w:val="%1."/>
      <w:numFmt w:val="upperLetter"/>
      <w:start w:val="61"/>
    </w:lvl>
  </w:abstractNum>
  <w:abstractNum w:abstractNumId="34">
    <w:nsid w:val="77465F01"/>
    <w:multiLevelType w:val="hybridMultilevel"/>
    <w:lvl w:ilvl="0">
      <w:lvlJc w:val="left"/>
      <w:lvlText w:val="%1."/>
      <w:numFmt w:val="upperLetter"/>
      <w:start w:val="22"/>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lowerLetter"/>
      <w:start w:val="3"/>
    </w:lvl>
  </w:abstractNum>
  <w:abstractNum w:abstractNumId="37">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54" Type="http://schemas.openxmlformats.org/officeDocument/2006/relationships/hyperlink" Target="https://www.sec.gov/Archives/edgar/data/912593/000091259318000049/exhibit31-suncommunitiesin.htm" TargetMode="External"/><Relationship Id="rId55" Type="http://schemas.openxmlformats.org/officeDocument/2006/relationships/hyperlink" Target="https://www.sec.gov/Archives/edgar/data/912593/000091259323000182/articlesofamendment-increa.htm" TargetMode="External"/><Relationship Id="rId56" Type="http://schemas.openxmlformats.org/officeDocument/2006/relationships/hyperlink" Target="https://www.sec.gov/Archives/edgar/data/912593/000091259325000176/suncommunitiesfifthamended.htm" TargetMode="External"/><Relationship Id="rId57" Type="http://schemas.openxmlformats.org/officeDocument/2006/relationships/hyperlink" Target="https://www.sec.gov/Archives/edgar/data/912593/000091259326000107/amendedandrestatedemployme.htm" TargetMode="External"/><Relationship Id="rId58" Type="http://schemas.openxmlformats.org/officeDocument/2006/relationships/hyperlink" Target="https://www.sec.gov/Archives/edgar/data/912593/000091259326000060/amendedandrestatedtransi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2026-04-28T16:50:47Z</dcterms:created>
  <dcterms:modified xsi:type="dcterms:W3CDTF">2026-04-28T16:50:47Z</dcterms:modified>
</cp:coreProperties>
</file>