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August 21,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before="0" w:after="0"/>
        <w:jc w:val="center"/>
        <w:rPr/>
      </w:pPr>
      <w:r>
        <w:rPr/>
        <w:drawing>
          <wp:inline distT="0" distB="0" distL="0" distR="0">
            <wp:extent cx="21907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747"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697"/>
        <w:gridCol w:w="697"/>
        <w:gridCol w:w="705"/>
        <w:gridCol w:w="884"/>
        <w:gridCol w:w="884"/>
        <w:gridCol w:w="126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1-12616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Aaron Weiss Amended and Restated Employment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2026, Sun Communities, Inc. (the “Company”) and Aaron Weiss, the Company’s Chief Investment Officer and Executive Vice President, entered into an Amended and Restated Employment Agreement (the “Weiss Agreement”), which amends and restates Mr. Weiss’ current employment agreement. The Weiss Agreement will become effective on October 19, 2026. Mr. Weiss’ current employment agreement will remain in effect in accordance with its terms through October 18,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 of the Weiss Agreement will be for five years beginning on October 19, 2026 and is automatically renewable thereafter for successive one-year terms unless either party timely terminates the agreement. If there is a change in control, the term will end on the later of the original expiration date of the term and the second anniversary of the change in control. Mr. Weiss’s annual base salary is $600,000. In addition to his base salary, Mr. Weiss is eligible to receive an annual cash bonus at a target amount of 100% of his base salary and the earned amount for each year will be determined by the Compensation Committee of the Company’s Board of Directors, based on individual goals and objectives for Mr. Weiss, the Company’s performance or other relevant criteria. Incentive compensation paid or payable to Mr. Weiss may be subject to the Company’s Executive Compensation Recovery (Clawback) Policy in accordance with its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Mr. Weiss is terminated by the Company without cause or resigns for good reason (each as defined in the Weiss Agreement) or if he dies or becomes disabled, (i) he will receive severance payments equal to 1.5 times the sum of his then-current base salary and then-current target bonus amount (or, in the case of death or disability, 1.5 times his then-current base salary, less the value of certain previously paid disability benefits); (ii) all his time-vesting equity awards granted by the Company will become fully vested; (iii) all his performance-vesting equity awards granted by the Company prior to October 19, 2026 will become fully vested (with performance-based vesting conditions deemed met at the maximum level of performance); (iv) the acceleration, forfeiture, or vesting of all his performance-vesting equity awards granted by the Company on or after October 19, 2026 will be governed by the terms of the applicable award agreement; and (v) the Company may be obligated to pay his healthcare premiums for up to 18 months. If the Company elects not to renew any term of the Weiss Agreement, (a) he will receive a pro-rated annual bonus for the year of termination; (b) he will receive severance payments equal to one times the sum of his then-current base salary and then-current target bonus amount; (c) all his time-vesting equity awards granted by the Company on or after October 19, 2026 will become fully vested; and (d) the acceleration, forfeiture, or vesting of all his performance-vesting equity awards granted by the Company on or after October 19, 2026 will be governed by the terms of the applicable award agreement. Mr. Weiss’s receipt of the payments and benefits described in this paragraph is subject to his execution of a release and compliance with his non-competition and confidentiality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there is a change in control (as defined in the Weiss Agreement) of the Company and within 60 days before or 24 months after the date of the change in control either the Company or its successor terminate the Weiss Agreement without cause or Mr. Weiss terminates his employment for good reason, (i) he will receive a change in control payment equal to two times the sum of his then-current base salary and then-current target bonus amount; (ii) all his time-vesting equity awards granted by the Company will become fully vested; (iii) all his performance-vesting equity awards granted by the Company prior to October 19, 2026 will become fully vested with performance-based vesting conditions deemed met at the maximum level of performance; (iv) the performance-based vesting conditions applicable to his performance-vesting equity awards granted by the Company on or after October 19, 2026 shall be deemed met at the greater of the target or actual level of performance and vest in accordance with such deemed level of performance; and (v) the Company may be obligated to pay his healthcare premiums for up to 24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non-competition provisions of the Weiss Agreement generally preclude Mr. Weiss, for a period of up to 18 months following his employment, from engaging, directly or indirectly, in the same business as the Company anywhere in the U.S. or in other countries in which the Company recently has actively conducted business; provided that such period is 12 months in the event of termination due to non-renewal of the Weiss Agreement by the Company.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Weiss Agreement does not purport to be complete and is subject to, and qualified in its entirety by, the full text of such agreement, a copy of which is attached hereto as Exhibit 10.1, and the terms of which are incorporated by reference herein.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96"/>
        <w:gridCol w:w="2671"/>
        <w:gridCol w:w="2671"/>
        <w:gridCol w:w="2697"/>
        <w:gridCol w:w="380"/>
        <w:gridCol w:w="353"/>
        <w:gridCol w:w="506"/>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80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Method of Filing</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ndedandrestatedemployme.htm">
              <w:r>
                <w:rPr>
                  <w:rStyle w:val="InternetLink"/>
                  <w:rFonts w:ascii="Times New Roman;serif" w:hAnsi="Times New Roman;serif"/>
                  <w:b w:val="false"/>
                  <w:color w:val="0000FF"/>
                  <w:sz w:val="20"/>
                </w:rPr>
                <w:t>Amended and Restated Employment Agreement dated August 21, 2026 among Sun Communities, Inc., Sun Communities Operating Limited Partnership and Aaron Weiss</w:t>
              </w:r>
            </w:hyperlink>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417" w:before="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665" w:type="dxa"/>
        <w:jc w:val="center"/>
        <w:tblInd w:w="0" w:type="dxa"/>
        <w:tblLayout w:type="fixed"/>
        <w:tblCellMar>
          <w:top w:w="28" w:type="dxa"/>
          <w:left w:w="28" w:type="dxa"/>
          <w:bottom w:w="28" w:type="dxa"/>
          <w:right w:w="28" w:type="dxa"/>
        </w:tblCellMar>
      </w:tblPr>
      <w:tblGrid>
        <w:gridCol w:w="743"/>
        <w:gridCol w:w="653"/>
        <w:gridCol w:w="659"/>
        <w:gridCol w:w="109"/>
        <w:gridCol w:w="109"/>
        <w:gridCol w:w="109"/>
        <w:gridCol w:w="373"/>
        <w:gridCol w:w="373"/>
        <w:gridCol w:w="373"/>
        <w:gridCol w:w="1798"/>
        <w:gridCol w:w="1798"/>
        <w:gridCol w:w="256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Da</w:t>
            </w:r>
            <w:r>
              <w:rPr>
                <w:rFonts w:ascii="Times New Roman;serif" w:hAnsi="Times New Roman;serif"/>
                <w:b w:val="false"/>
                <w:color w:val="000000"/>
                <w:sz w:val="20"/>
                <w:shd w:fill="FFFFFF" w:val="clear"/>
              </w:rPr>
              <w:t>ted: August 27</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Ileana McAlary</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Ileana McAlary, General Counsel, Executive Vice President,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pPr>
      <w:r>
        <w:rPr>
          <w:rFonts w:ascii="Times New Roman;serif" w:hAnsi="Times New Roman;serif"/>
          <w:b/>
          <w:color w:val="000000"/>
          <w:sz w:val="24"/>
          <w:u w:val="single"/>
        </w:rPr>
        <w:t>AMENDED</w:t>
      </w:r>
      <w:r>
        <w:rPr>
          <w:color w:val="000000"/>
          <w:u w:val="single"/>
        </w:rPr>
        <w:t xml:space="preserve"> </w:t>
      </w:r>
      <w:r>
        <w:rPr>
          <w:rFonts w:ascii="Times New Roman;serif" w:hAnsi="Times New Roman;serif"/>
          <w:b/>
          <w:color w:val="000000"/>
          <w:sz w:val="24"/>
          <w:u w:val="single"/>
        </w:rPr>
        <w:t>AND</w:t>
      </w:r>
      <w:r>
        <w:rPr>
          <w:color w:val="000000"/>
          <w:u w:val="single"/>
        </w:rPr>
        <w:t xml:space="preserve"> </w:t>
      </w:r>
      <w:r>
        <w:rPr>
          <w:rFonts w:ascii="Times New Roman;serif" w:hAnsi="Times New Roman;serif"/>
          <w:b/>
          <w:color w:val="000000"/>
          <w:sz w:val="24"/>
          <w:u w:val="single"/>
        </w:rPr>
        <w:t>RESTATED</w:t>
      </w:r>
      <w:r>
        <w:rPr>
          <w:color w:val="000000"/>
          <w:u w:val="single"/>
        </w:rPr>
        <w:t xml:space="preserve"> </w:t>
      </w:r>
      <w:r>
        <w:rPr>
          <w:rFonts w:ascii="Times New Roman;serif" w:hAnsi="Times New Roman;serif"/>
          <w:b/>
          <w:color w:val="000000"/>
          <w:sz w:val="24"/>
          <w:u w:val="single"/>
        </w:rPr>
        <w:t>EMPLOYMENT</w:t>
      </w:r>
      <w:r>
        <w:rPr>
          <w:color w:val="000000"/>
          <w:u w:val="single"/>
        </w:rPr>
        <w:t xml:space="preserve"> </w:t>
      </w:r>
      <w:r>
        <w:rPr>
          <w:rFonts w:ascii="Times New Roman;serif" w:hAnsi="Times New Roman;serif"/>
          <w:b/>
          <w:color w:val="000000"/>
          <w:sz w:val="24"/>
          <w:u w:val="single"/>
        </w:rPr>
        <w:t>AGREEMENT</w:t>
      </w:r>
    </w:p>
    <w:p>
      <w:pPr>
        <w:pStyle w:val="TextBody"/>
        <w:bidi w:val="0"/>
        <w:spacing w:lineRule="auto" w:line="288" w:before="240" w:after="283"/>
        <w:jc w:val="left"/>
        <w:rPr/>
      </w:pPr>
      <w:r>
        <w:rPr>
          <w:rFonts w:ascii="Times New Roman;serif" w:hAnsi="Times New Roman;serif"/>
          <w:b w:val="false"/>
          <w:color w:val="000000"/>
          <w:sz w:val="24"/>
        </w:rPr>
        <w:t>THIS</w:t>
      </w:r>
      <w:r>
        <w:rPr>
          <w:color w:val="000000"/>
        </w:rPr>
        <w:t>    </w:t>
      </w:r>
      <w:r>
        <w:rPr>
          <w:rFonts w:ascii="Times New Roman;serif" w:hAnsi="Times New Roman;serif"/>
          <w:b w:val="false"/>
          <w:color w:val="000000"/>
          <w:sz w:val="24"/>
        </w:rPr>
        <w:t>AMENDED</w:t>
      </w:r>
      <w:r>
        <w:rPr>
          <w:color w:val="000000"/>
        </w:rPr>
        <w:t>    </w:t>
      </w:r>
      <w:r>
        <w:rPr>
          <w:rFonts w:ascii="Times New Roman;serif" w:hAnsi="Times New Roman;serif"/>
          <w:b w:val="false"/>
          <w:color w:val="000000"/>
          <w:sz w:val="24"/>
        </w:rPr>
        <w:t>AND</w:t>
      </w:r>
      <w:r>
        <w:rPr>
          <w:color w:val="000000"/>
        </w:rPr>
        <w:t>    </w:t>
      </w:r>
      <w:r>
        <w:rPr>
          <w:rFonts w:ascii="Times New Roman;serif" w:hAnsi="Times New Roman;serif"/>
          <w:b w:val="false"/>
          <w:color w:val="000000"/>
          <w:sz w:val="24"/>
        </w:rPr>
        <w:t>RESTATED</w:t>
      </w:r>
      <w:r>
        <w:rPr>
          <w:color w:val="000000"/>
        </w:rPr>
        <w:t>    </w:t>
      </w:r>
      <w:r>
        <w:rPr>
          <w:rFonts w:ascii="Times New Roman;serif" w:hAnsi="Times New Roman;serif"/>
          <w:b w:val="false"/>
          <w:color w:val="000000"/>
          <w:sz w:val="24"/>
        </w:rPr>
        <w:t>EMPLOYMENT</w:t>
      </w:r>
      <w:r>
        <w:rPr>
          <w:color w:val="000000"/>
        </w:rPr>
        <w:t>    </w:t>
      </w:r>
      <w:r>
        <w:rPr>
          <w:rFonts w:ascii="Times New Roman;serif" w:hAnsi="Times New Roman;serif"/>
          <w:b w:val="false"/>
          <w:color w:val="000000"/>
          <w:sz w:val="24"/>
        </w:rPr>
        <w:t>AGREEMENT</w:t>
      </w:r>
      <w:r>
        <w:rPr>
          <w:color w:val="000000"/>
        </w:rPr>
        <w:t>    </w:t>
      </w:r>
      <w:r>
        <w:rPr>
          <w:rFonts w:ascii="Times New Roman;serif" w:hAnsi="Times New Roman;serif"/>
          <w:b w:val="false"/>
          <w:color w:val="000000"/>
          <w:sz w:val="24"/>
        </w:rPr>
        <w:t>(this</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on October 19,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among SUN COMMUNITIES, INC., a Maryland corporation (the “</w:t>
      </w:r>
      <w:r>
        <w:rPr>
          <w:rFonts w:ascii="Times New Roman;serif" w:hAnsi="Times New Roman;serif"/>
          <w:b w:val="false"/>
          <w:color w:val="000000"/>
          <w:sz w:val="24"/>
          <w:u w:val="single"/>
        </w:rPr>
        <w:t>REIT</w:t>
      </w:r>
      <w:r>
        <w:rPr>
          <w:color w:val="000000"/>
        </w:rPr>
        <w:t>”</w:t>
      </w:r>
      <w:r>
        <w:rPr>
          <w:rFonts w:ascii="Times New Roman;serif" w:hAnsi="Times New Roman;serif"/>
          <w:b w:val="false"/>
          <w:color w:val="000000"/>
          <w:sz w:val="24"/>
        </w:rPr>
        <w:t>), SUN COMMUNITIES OPERATING LIMITED PARTNERSHIP, a Michigan limited partnership (“</w:t>
      </w:r>
      <w:r>
        <w:rPr>
          <w:rFonts w:ascii="Times New Roman;serif" w:hAnsi="Times New Roman;serif"/>
          <w:b w:val="false"/>
          <w:color w:val="000000"/>
          <w:sz w:val="24"/>
          <w:u w:val="single"/>
        </w:rPr>
        <w:t>SCOLP</w:t>
      </w:r>
      <w:r>
        <w:rPr>
          <w:color w:val="000000"/>
        </w:rPr>
        <w:t>”</w:t>
      </w:r>
      <w:r>
        <w:rPr>
          <w:rFonts w:ascii="Times New Roman;serif" w:hAnsi="Times New Roman;serif"/>
          <w:b w:val="false"/>
          <w:color w:val="000000"/>
          <w:sz w:val="24"/>
        </w:rPr>
        <w:t>), and AARON WEISS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used herein,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shall refer to the REIT and SCOLP together.</w:t>
      </w:r>
    </w:p>
    <w:p>
      <w:pPr>
        <w:pStyle w:val="TextBody"/>
        <w:bidi w:val="0"/>
        <w:spacing w:lineRule="auto" w:line="288" w:before="240" w:after="283"/>
        <w:jc w:val="left"/>
        <w:rPr/>
      </w:pPr>
      <w:r>
        <w:rPr>
          <w:rFonts w:ascii="Times New Roman;serif" w:hAnsi="Times New Roman;serif"/>
          <w:b/>
          <w:color w:val="000000"/>
          <w:sz w:val="24"/>
        </w:rPr>
        <w:t>W I</w:t>
      </w:r>
      <w:r>
        <w:rPr>
          <w:color w:val="000000"/>
        </w:rPr>
        <w:t xml:space="preserve"> </w:t>
      </w:r>
      <w:r>
        <w:rPr>
          <w:rFonts w:ascii="Times New Roman;serif" w:hAnsi="Times New Roman;serif"/>
          <w:b/>
          <w:color w:val="000000"/>
          <w:sz w:val="24"/>
        </w:rPr>
        <w:t>T N</w:t>
      </w:r>
      <w:r>
        <w:rPr>
          <w:color w:val="000000"/>
        </w:rPr>
        <w:t xml:space="preserve"> </w:t>
      </w:r>
      <w:r>
        <w:rPr>
          <w:rFonts w:ascii="Times New Roman;serif" w:hAnsi="Times New Roman;serif"/>
          <w:b/>
          <w:color w:val="000000"/>
          <w:sz w:val="24"/>
        </w:rPr>
        <w:t>E S S E</w:t>
      </w:r>
      <w:r>
        <w:rPr>
          <w:color w:val="000000"/>
        </w:rPr>
        <w:t xml:space="preserve"> </w:t>
      </w:r>
      <w:r>
        <w:rPr>
          <w:rFonts w:ascii="Times New Roman;serif" w:hAnsi="Times New Roman;serif"/>
          <w:b/>
          <w:color w:val="000000"/>
          <w:sz w:val="24"/>
        </w:rPr>
        <w:t>T H:</w:t>
      </w:r>
    </w:p>
    <w:p>
      <w:pPr>
        <w:pStyle w:val="TextBody"/>
        <w:bidi w:val="0"/>
        <w:spacing w:lineRule="auto" w:line="520" w:before="240" w:after="283"/>
        <w:jc w:val="left"/>
        <w:rPr/>
      </w:pPr>
      <w:r>
        <w:rPr>
          <w:rFonts w:ascii="Times New Roman;serif" w:hAnsi="Times New Roman;serif"/>
          <w:b w:val="false"/>
          <w:color w:val="000000"/>
          <w:sz w:val="24"/>
        </w:rPr>
        <w:t>WHEREAS, SCOLP operates the business of the REIT; WHEREAS,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partner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SCOLP;</w:t>
      </w:r>
    </w:p>
    <w:p>
      <w:pPr>
        <w:pStyle w:val="TextBody"/>
        <w:bidi w:val="0"/>
        <w:spacing w:lineRule="auto" w:line="288" w:before="1" w:after="283"/>
        <w:ind w:left="0" w:right="0" w:firstLine="719"/>
        <w:jc w:val="both"/>
        <w:rPr/>
      </w:pPr>
      <w:r>
        <w:rPr>
          <w:rFonts w:ascii="Times New Roman;serif" w:hAnsi="Times New Roman;serif"/>
          <w:b w:val="false"/>
          <w:color w:val="000000"/>
          <w:sz w:val="24"/>
        </w:rPr>
        <w:t>WHEREAS, the Executive is currently an employee of the Company, providing services to the Company pursuant to the Employment Agreement dated October 18, 2021, as amended (the “</w:t>
      </w:r>
      <w:r>
        <w:rPr>
          <w:rFonts w:ascii="Times New Roman;serif" w:hAnsi="Times New Roman;serif"/>
          <w:b w:val="false"/>
          <w:color w:val="000000"/>
          <w:sz w:val="24"/>
          <w:u w:val="single"/>
        </w:rPr>
        <w:t>Prior Employment Agreement</w:t>
      </w:r>
      <w:r>
        <w:rPr>
          <w:color w:val="000000"/>
        </w:rPr>
        <w:t>”</w:t>
      </w:r>
      <w:r>
        <w:rPr>
          <w:rFonts w:ascii="Times New Roman;serif" w:hAnsi="Times New Roman;serif"/>
          <w:b w:val="false"/>
          <w:color w:val="000000"/>
          <w:sz w:val="24"/>
        </w:rPr>
        <w:t>) among the Executive, the REIT and SCOLP;</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WHEREAS, the Company desires to continue the employment of the Executive, under which he will provide services to the Company, and the Executive desires to be employed by the Company; and</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WHEREAS, the Company and the Executive desire to amend and restate the Prior Employment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entirety,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below.</w:t>
      </w:r>
    </w:p>
    <w:p>
      <w:pPr>
        <w:pStyle w:val="TextBody"/>
        <w:bidi w:val="0"/>
        <w:spacing w:before="0" w:after="0"/>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THEREFORE,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mutual</w:t>
      </w:r>
      <w:r>
        <w:rPr>
          <w:color w:val="000000"/>
        </w:rPr>
        <w:t xml:space="preserve"> </w:t>
      </w: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other good and valuable consideration, the receipt and adequacy of which are hereby acknowledged, the parties agree as follows:</w:t>
      </w:r>
    </w:p>
    <w:p>
      <w:pPr>
        <w:pStyle w:val="TextBody"/>
        <w:bidi w:val="0"/>
        <w:spacing w:lineRule="auto" w:line="288" w:before="240" w:after="283"/>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(a)The Company agrees to employ the Executive and the Executive accepts the employment, on the terms and subject to the conditions set forth below. During the Term (as defined below), the Executive shall serve as the Executive Vice President and Chief Investment Officer of the REIT, and shall do and perform diligently all such services, acts and things as are customarily done and performed by such officers of companies in similar business and in size to the REIT, together with such other duties as may reasonably be requested from time to time by the REIT’s Chief Executive Officer or the Board of Directors of the REIT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which duties shall be consistent with the Executive’s positions as set forth above. The Executive's primary work location shall be the Company’s headquarters in the Detroit, Michigan metropolitan area, subject to required business travel, holidays, vacation and other approved leaves consistent with this Agreement; provided, however, that during the Term, the Executive shall be permitted to continue performing certain of his duties from the Executive’s current working location outside of the Detroit, Michigan metropolitan area, subject to the Executive’s compliance with the other terms of this Agreement, and such agreement shall not be modified by the Company without the Executive’s prior written consent.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ind w:left="0" w:right="0" w:firstLine="720"/>
        <w:jc w:val="both"/>
        <w:rPr/>
      </w:pPr>
      <w:r>
        <w:rPr>
          <w:rFonts w:ascii="Times New Roman;serif" w:hAnsi="Times New Roman;serif"/>
          <w:b w:val="false"/>
          <w:color w:val="000000"/>
          <w:sz w:val="24"/>
        </w:rPr>
        <w:t>(b)For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entitled</w:t>
      </w:r>
      <w:r>
        <w:rPr>
          <w:color w:val="000000"/>
        </w:rPr>
        <w:t xml:space="preserve"> </w:t>
      </w:r>
      <w:r>
        <w:rPr>
          <w:rFonts w:ascii="Times New Roman;serif" w:hAnsi="Times New Roman;serif"/>
          <w:b w:val="false"/>
          <w:color w:val="000000"/>
          <w:sz w:val="24"/>
        </w:rPr>
        <w:t>to the full protection of the applicable indemnification provisions of the Articles of Incorporation and Bylaws of the REIT, any indemnification agreement between the Company and the Executive, as they may be amended from time to time, and applicable law.</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 of Employment</w:t>
      </w:r>
      <w:r>
        <w:rPr>
          <w:rFonts w:ascii="Times New Roman;serif" w:hAnsi="Times New Roman;serif"/>
          <w:b w:val="false"/>
          <w:color w:val="000000"/>
          <w:sz w:val="24"/>
        </w:rPr>
        <w:t>. Subject to the provisions for termination provided below, the term of the Executive’s employment under this Agreement shall commence on the Effective Date and shall continue through the fifth (5</w:t>
      </w:r>
      <w:r>
        <w:rPr>
          <w:rFonts w:ascii="Times New Roman;serif" w:hAnsi="Times New Roman;serif"/>
          <w:b w:val="false"/>
          <w:color w:val="000000"/>
          <w:sz w:val="16"/>
        </w:rPr>
        <w:t>th</w:t>
      </w:r>
      <w:r>
        <w:rPr>
          <w:rFonts w:ascii="Times New Roman;serif" w:hAnsi="Times New Roman;serif"/>
          <w:b w:val="false"/>
          <w:color w:val="000000"/>
          <w:sz w:val="24"/>
        </w:rPr>
        <w:t>) anniversary of the Effective Date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provided, however, that following the expiration of the Initial Term, the term of this Agreement shall be automatically extended for successive terms of one (1) year each thereafter (each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unless either party notifies the other party in writing of its desire to terminate this Agreement at least ninety (90) days before the end of the Initial Term or the Renewal Term then in effect. If, during the Term (as defined below) a Change in Control (as defined below) occurs, the Term shall be automatically extended, without regard to any prior notice of non-renewal, to the later of (i) the original expiration date of the Term and (ii) the twenty-four (24) month anniversary of the Change in Control. The Initial Term and each Renewal Term are collectively referred to as the “</w:t>
      </w:r>
      <w:r>
        <w:rPr>
          <w:rFonts w:ascii="Times New Roman;serif" w:hAnsi="Times New Roman;serif"/>
          <w:b w:val="false"/>
          <w:color w:val="000000"/>
          <w:sz w:val="24"/>
          <w:u w:val="single"/>
        </w:rPr>
        <w:t>Term</w:t>
      </w:r>
      <w:r>
        <w:rPr>
          <w:rFonts w:ascii="Times New Roman;serif" w:hAnsi="Times New Roman;serif"/>
          <w:b w:val="false"/>
          <w:color w:val="000000"/>
          <w:sz w:val="24"/>
        </w:rPr>
        <w:t>.” Nothing in this Agreement changes the at-will nature of the Executive’s employment, and the Executive understands that his employment may be terminated, at any time, with or without cause, at the option of the Executive or the 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Devotion to the Company’s Business</w:t>
      </w:r>
      <w:r>
        <w:rPr>
          <w:rFonts w:ascii="Times New Roman;serif" w:hAnsi="Times New Roman;serif"/>
          <w:b w:val="false"/>
          <w:color w:val="000000"/>
          <w:sz w:val="24"/>
        </w:rPr>
        <w:t>. The Executive shall devote his best efforts, knowledge, skill, and his entire productive time, ability and attention to the business of the Company during the term of this Agreement; provided, however, the Executive’s expenditure of reasonable</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of 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charitable and</w:t>
      </w:r>
      <w:r>
        <w:rPr>
          <w:color w:val="000000"/>
        </w:rPr>
        <w:t xml:space="preserve"> </w:t>
      </w:r>
      <w:r>
        <w:rPr>
          <w:rFonts w:ascii="Times New Roman;serif" w:hAnsi="Times New Roman;serif"/>
          <w:b w:val="false"/>
          <w:color w:val="000000"/>
          <w:sz w:val="24"/>
        </w:rPr>
        <w:t>other community</w:t>
      </w:r>
      <w:r>
        <w:rPr>
          <w:color w:val="000000"/>
        </w:rPr>
        <w:t xml:space="preserve"> </w:t>
      </w:r>
      <w:r>
        <w:rPr>
          <w:rFonts w:ascii="Times New Roman;serif" w:hAnsi="Times New Roman;serif"/>
          <w:b w:val="false"/>
          <w:color w:val="000000"/>
          <w:sz w:val="24"/>
        </w:rPr>
        <w:t>activities, unpaid</w:t>
      </w:r>
      <w:r>
        <w:rPr>
          <w:color w:val="000000"/>
        </w:rPr>
        <w:t xml:space="preserve"> </w:t>
      </w:r>
      <w:r>
        <w:rPr>
          <w:rFonts w:ascii="Times New Roman;serif" w:hAnsi="Times New Roman;serif"/>
          <w:b w:val="false"/>
          <w:color w:val="000000"/>
          <w:sz w:val="24"/>
        </w:rPr>
        <w:t>industry groups or associations, or to the Executive’s own personal investments and projects, shall not be deemed a breach of this</w:t>
      </w:r>
      <w:r>
        <w:rPr>
          <w:color w:val="000000"/>
        </w:rPr>
        <w:t xml:space="preserve"> </w:t>
      </w:r>
      <w:r>
        <w:rPr>
          <w:rFonts w:ascii="Times New Roman;serif" w:hAnsi="Times New Roman;serif"/>
          <w:b w:val="false"/>
          <w:color w:val="000000"/>
          <w:sz w:val="24"/>
        </w:rPr>
        <w:t>Agreement so long as the amount of time so devoted does not materially impair,</w:t>
      </w:r>
      <w:r>
        <w:rPr>
          <w:color w:val="000000"/>
        </w:rPr>
        <w:t xml:space="preserve"> </w:t>
      </w:r>
      <w:r>
        <w:rPr>
          <w:rFonts w:ascii="Times New Roman;serif" w:hAnsi="Times New Roman;serif"/>
          <w:b w:val="false"/>
          <w:color w:val="000000"/>
          <w:sz w:val="24"/>
        </w:rPr>
        <w:t>detract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adversely</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The Executive shall be permitted to serve on such boards of directors of such entities as are approved by the Board or a committee of the Board from time to time.</w:t>
      </w:r>
    </w:p>
    <w:p>
      <w:pPr>
        <w:pStyle w:val="TextBody"/>
        <w:bidi w:val="0"/>
        <w:spacing w:lineRule="auto" w:line="288" w:before="241" w:after="283"/>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Compensation</w:t>
      </w:r>
      <w:r>
        <w:rPr>
          <w:rFonts w:ascii="Times New Roman;serif" w:hAnsi="Times New Roman;serif"/>
          <w:b w:val="false"/>
          <w:color w:val="000000"/>
          <w:sz w:val="24"/>
        </w:rPr>
        <w:t>. As compensation for the services to be performed hereunder,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during 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an annual</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$600,000</w:t>
      </w:r>
      <w:r>
        <w:rPr>
          <w:color w:val="000000"/>
        </w:rPr>
        <w:t xml:space="preserve"> </w:t>
      </w:r>
      <w:r>
        <w:rPr>
          <w:rFonts w:ascii="Times New Roman;serif" w:hAnsi="Times New Roman;serif"/>
          <w:b w:val="false"/>
          <w:color w:val="000000"/>
          <w:sz w:val="24"/>
        </w:rPr>
        <w:t>(such annual</w:t>
      </w:r>
      <w:r>
        <w:rPr>
          <w:color w:val="000000"/>
        </w:rPr>
        <w:t xml:space="preserve"> </w:t>
      </w:r>
      <w:r>
        <w:rPr>
          <w:rFonts w:ascii="Times New Roman;serif" w:hAnsi="Times New Roman;serif"/>
          <w:b w:val="false"/>
          <w:color w:val="000000"/>
          <w:sz w:val="24"/>
        </w:rPr>
        <w:t>base salary,</w:t>
      </w:r>
      <w:r>
        <w:rPr>
          <w:color w:val="000000"/>
        </w:rPr>
        <w:t xml:space="preserve"> </w:t>
      </w:r>
      <w:r>
        <w:rPr>
          <w:rFonts w:ascii="Times New Roman;serif" w:hAnsi="Times New Roman;serif"/>
          <w:b w:val="false"/>
          <w:color w:val="000000"/>
          <w:sz w:val="24"/>
        </w:rPr>
        <w:t>as it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 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Base</w:t>
      </w:r>
      <w:r>
        <w:rPr>
          <w:color w:val="000000"/>
          <w:u w:val="single"/>
        </w:rPr>
        <w:t xml:space="preserve"> </w:t>
      </w:r>
      <w:r>
        <w:rPr>
          <w:rFonts w:ascii="Times New Roman;serif" w:hAnsi="Times New Roman;serif"/>
          <w:b w:val="false"/>
          <w:color w:val="000000"/>
          <w:sz w:val="24"/>
          <w:u w:val="single"/>
        </w:rPr>
        <w:t>Salary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reviewed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least</w:t>
      </w:r>
      <w:r>
        <w:rPr>
          <w:color w:val="000000"/>
        </w:rPr>
        <w:t xml:space="preserve"> </w:t>
      </w:r>
      <w:r>
        <w:rPr>
          <w:rFonts w:ascii="Times New Roman;serif" w:hAnsi="Times New Roman;serif"/>
          <w:b w:val="false"/>
          <w:color w:val="000000"/>
          <w:sz w:val="24"/>
        </w:rPr>
        <w:t>annually 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Compensation</w:t>
      </w:r>
      <w:r>
        <w:rPr>
          <w:color w:val="000000"/>
          <w:u w:val="single"/>
        </w:rPr>
        <w:t xml:space="preserv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pursuant to its normal performance review policies for senior executives. The Compensation Committee may, but shall not be required to, increase (but not decrease, unless the Executive otherwise agrees in writing) the Executive’s Base Salary at any time for any reason. The Base Salary shall be payable in accordance with the Company’s usual pay practices (including tax withholding), but in no event less frequently than monthly.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w:t>
      </w:r>
      <w:r>
        <w:rPr>
          <w:color w:val="000000"/>
          <w:u w:val="single"/>
        </w:rPr>
        <w:t xml:space="preserve"> </w:t>
      </w:r>
      <w:r>
        <w:rPr>
          <w:rFonts w:ascii="Times New Roman;serif" w:hAnsi="Times New Roman;serif"/>
          <w:b w:val="false"/>
          <w:color w:val="000000"/>
          <w:sz w:val="24"/>
          <w:u w:val="single"/>
        </w:rPr>
        <w:t>Bonus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each calendar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 Term, the Executive will be</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bonus 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program applicable</w:t>
      </w:r>
      <w:r>
        <w:rPr>
          <w:color w:val="000000"/>
        </w:rPr>
        <w:t xml:space="preserve"> </w:t>
      </w:r>
      <w:r>
        <w:rPr>
          <w:rFonts w:ascii="Times New Roman;serif" w:hAnsi="Times New Roman;serif"/>
          <w:b w:val="false"/>
          <w:color w:val="000000"/>
          <w:sz w:val="24"/>
        </w:rPr>
        <w:t>to senior executives, targeted at 100% of the</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 paid 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Target</w:t>
      </w:r>
      <w:r>
        <w:rPr>
          <w:color w:val="000000"/>
          <w:u w:val="single"/>
        </w:rPr>
        <w:t xml:space="preserv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earned</w:t>
      </w:r>
      <w:r>
        <w:rPr>
          <w:color w:val="000000"/>
        </w:rPr>
        <w:t xml:space="preserve"> </w:t>
      </w:r>
      <w:r>
        <w:rPr>
          <w:rFonts w:ascii="Times New Roman;serif" w:hAnsi="Times New Roman;serif"/>
          <w:b w:val="false"/>
          <w:color w:val="000000"/>
          <w:sz w:val="24"/>
        </w:rPr>
        <w:t>for any year shall be determined by the Compensation Committee. In determining the Bonus 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sole</w:t>
      </w:r>
      <w:r>
        <w:rPr>
          <w:color w:val="000000"/>
        </w:rPr>
        <w:t xml:space="preserve"> </w:t>
      </w:r>
      <w:r>
        <w:rPr>
          <w:rFonts w:ascii="Times New Roman;serif" w:hAnsi="Times New Roman;serif"/>
          <w:b w:val="false"/>
          <w:color w:val="000000"/>
          <w:sz w:val="24"/>
        </w:rPr>
        <w:t>discretion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into</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such criteria as it deems relevant or necessary in its discretion, including, without limitation, whether the Executive fulfills any individual goals and objectives for such year set by the Board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industry</w:t>
      </w:r>
      <w:r>
        <w:rPr>
          <w:color w:val="000000"/>
        </w:rPr>
        <w:t xml:space="preserve"> </w:t>
      </w:r>
      <w:r>
        <w:rPr>
          <w:rFonts w:ascii="Times New Roman;serif" w:hAnsi="Times New Roman;serif"/>
          <w:b w:val="false"/>
          <w:color w:val="000000"/>
          <w:sz w:val="24"/>
        </w:rPr>
        <w:t>factors.</w:t>
      </w:r>
      <w:r>
        <w:rPr>
          <w:color w:val="000000"/>
        </w:rPr>
        <w:t xml:space="preserve"> </w:t>
      </w:r>
      <w:r>
        <w:rPr>
          <w:rFonts w:ascii="Times New Roman;serif" w:hAnsi="Times New Roman;serif"/>
          <w:b w:val="false"/>
          <w:color w:val="000000"/>
          <w:sz w:val="24"/>
        </w:rPr>
        <w:t>Any such individual goals and objectives may be, but need not be, set forth in a written plan approved by the Compensation Committee before or during the applicable year, after consultation with the Executive. The payment of any Bonus, to the extent any Bonus becomes payable, will be made promptly in the calendar year following that to which the payment relates, on the date on which annual bonuses are paid generally to the Company’s senior executives, but in no event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calendar year following the calendar year with respect to which such Bonus relates.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Annual Equity Award</w:t>
      </w:r>
      <w:r>
        <w:rPr>
          <w:rFonts w:ascii="Times New Roman;serif" w:hAnsi="Times New Roman;serif"/>
          <w:b w:val="false"/>
          <w:color w:val="000000"/>
          <w:sz w:val="24"/>
        </w:rPr>
        <w:t>. The Executive will be eligible to receive annual equity awards in amounts commensurate with the Executive’s position as Executive Vice President and Chief Investment Officer of the REIT and otherwise on terms no less favorable</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senior</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 the</w:t>
      </w:r>
      <w:r>
        <w:rPr>
          <w:color w:val="000000"/>
        </w:rPr>
        <w:t xml:space="preserve"> </w:t>
      </w:r>
      <w:r>
        <w:rPr>
          <w:rFonts w:ascii="Times New Roman;serif" w:hAnsi="Times New Roman;serif"/>
          <w:b w:val="false"/>
          <w:color w:val="000000"/>
          <w:sz w:val="24"/>
        </w:rPr>
        <w:t>Chief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agreed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 and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Disability</w:t>
      </w:r>
      <w:r>
        <w:rPr>
          <w:rFonts w:ascii="Times New Roman;serif" w:hAnsi="Times New Roman;serif"/>
          <w:b w:val="false"/>
          <w:color w:val="000000"/>
          <w:sz w:val="24"/>
        </w:rPr>
        <w:t>. During any period that the Executive fails to perform his duties hereunder as a result of incapacity due to physical or mental illness, and is eligible to receive benefits under any Company-sponsored disability benefit plans or programs (the “</w:t>
      </w:r>
      <w:r>
        <w:rPr>
          <w:rFonts w:ascii="Times New Roman;serif" w:hAnsi="Times New Roman;serif"/>
          <w:b w:val="false"/>
          <w:color w:val="000000"/>
          <w:sz w:val="24"/>
          <w:u w:val="single"/>
        </w:rPr>
        <w:t>Disability Period</w:t>
      </w:r>
      <w:r>
        <w:rPr>
          <w:color w:val="000000"/>
        </w:rPr>
        <w:t>”</w:t>
      </w:r>
      <w:r>
        <w:rPr>
          <w:rFonts w:ascii="Times New Roman;serif" w:hAnsi="Times New Roman;serif"/>
          <w:b w:val="false"/>
          <w:color w:val="000000"/>
          <w:sz w:val="24"/>
        </w:rPr>
        <w:t>), the Executive shall be entitled to receive any amount that the Executive is eligible to receive under any Company-sponsored disability benefit plans or programs (the</w:t>
      </w:r>
      <w:r>
        <w:rPr>
          <w:color w:val="000000"/>
        </w:rPr>
        <w:t xml:space="preserve"> “</w:t>
      </w:r>
      <w:r>
        <w:rPr>
          <w:rFonts w:ascii="Times New Roman;serif" w:hAnsi="Times New Roman;serif"/>
          <w:b w:val="false"/>
          <w:color w:val="000000"/>
          <w:sz w:val="24"/>
          <w:u w:val="single"/>
        </w:rPr>
        <w:t>Program</w:t>
      </w:r>
      <w:r>
        <w:rPr>
          <w:color w:val="000000"/>
          <w:u w:val="single"/>
        </w:rPr>
        <w:t xml:space="preserve"> </w:t>
      </w:r>
      <w:r>
        <w:rPr>
          <w:rFonts w:ascii="Times New Roman;serif" w:hAnsi="Times New Roman;serif"/>
          <w:b w:val="false"/>
          <w:color w:val="000000"/>
          <w:sz w:val="24"/>
          <w:u w:val="single"/>
        </w:rPr>
        <w:t>Benefits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his employment is terminated by the Company pursuant to Section 6(a)(iii) below, the Company shall pay to the Executive, for each applicable payroll period, the difference, if any, between the Program Benefits received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for such payroll period 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full</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Salary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benefits at the rate in effect for such period. Any payments to the Executive under the preceding sentences shall be paid in accordance with the Company’s regular payroll practices. In addition, if, during the Disability Period, the date on which the Company otherwise pays Bonuses to active senior executives of the Company for a fiscal year occurs, the Executive will receive a payment equal to the Executive’s Target Bonus for such fiscal year (without duplication of any Bonus for the same period of service).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Clawback</w:t>
      </w:r>
      <w:r>
        <w:rPr>
          <w:rFonts w:ascii="Times New Roman;serif" w:hAnsi="Times New Roman;serif"/>
          <w:b w:val="false"/>
          <w:color w:val="000000"/>
          <w:sz w:val="24"/>
        </w:rPr>
        <w:t>. Notwithstanding anything to the contrary herein, the Executive acknowledges and agrees that the Bonus and any other incentive compensation paid or payable to the Executive hereunder is subject to the Sun Communities, Inc. Executive Compensation Recovery (Clawback) Policy (the “</w:t>
      </w:r>
      <w:r>
        <w:rPr>
          <w:rFonts w:ascii="Times New Roman;serif" w:hAnsi="Times New Roman;serif"/>
          <w:b w:val="false"/>
          <w:color w:val="000000"/>
          <w:sz w:val="24"/>
          <w:u w:val="single"/>
        </w:rPr>
        <w:t>Clawback Policy</w:t>
      </w:r>
      <w:r>
        <w:rPr>
          <w:color w:val="000000"/>
        </w:rPr>
        <w:t>”</w:t>
      </w:r>
      <w:r>
        <w:rPr>
          <w:rFonts w:ascii="Times New Roman;serif" w:hAnsi="Times New Roman;serif"/>
          <w:b w:val="false"/>
          <w:color w:val="000000"/>
          <w:sz w:val="24"/>
        </w:rPr>
        <w:t xml:space="preserve">), and any similar or successor clawback or compensation recovery policy that may be in effect from time to time to the extent required by applicable law. The Executive acknowledges and confirms that he (i) has received and reviewed a copy of the Clawback Policy, (ii) is, and will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continue to be, subject to the Clawback Policy, and that the Clawback Policy will apply both during and after his employment with the Company. Further, the Executive agrees to abide by the 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Clawback</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returning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Erroneously Awarded</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Clawback</w:t>
      </w:r>
      <w:r>
        <w:rPr>
          <w:color w:val="000000"/>
        </w:rPr>
        <w:t xml:space="preserve"> </w:t>
      </w:r>
      <w:r>
        <w:rPr>
          <w:rFonts w:ascii="Times New Roman;serif" w:hAnsi="Times New Roman;serif"/>
          <w:b w:val="false"/>
          <w:color w:val="000000"/>
          <w:sz w:val="24"/>
        </w:rPr>
        <w:t>Policy)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required by, and in a manner permitted by, the Clawback Policy.</w:t>
      </w:r>
    </w:p>
    <w:p>
      <w:pPr>
        <w:pStyle w:val="TextBody"/>
        <w:bidi w:val="0"/>
        <w:spacing w:lineRule="auto" w:line="288" w:before="241"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Benefits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The Executive shall be eligible for life, medical, dental, optometry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hospitalization</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himself,</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spouse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family members commensurate with similarly situated executive employees of the Company and in accordance with plan documents and the Company’s policies and procedures. The Executive must satisfy all plan requirements in order to enroll or continue in any insurance benefit plans. At the discretion of the Compensation Committee, the Executive may also be entitled to participate in any other employee benefit plan that is generally available to senior executives of the Company, in accordance with, and subject to, the terms and conditions of such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Savings Plans</w:t>
      </w:r>
      <w:r>
        <w:rPr>
          <w:rFonts w:ascii="Times New Roman;serif" w:hAnsi="Times New Roman;serif"/>
          <w:b w:val="false"/>
          <w:color w:val="000000"/>
          <w:sz w:val="24"/>
        </w:rPr>
        <w:t>. The Executive, at his election, may participate, during his employment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retirement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401(k)</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savings</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generally available from time to time to other executive employees of the Company</w:t>
      </w:r>
      <w:r>
        <w:rPr>
          <w:color w:val="000000"/>
        </w:rPr>
        <w:t xml:space="preserve"> </w:t>
      </w:r>
      <w:r>
        <w:rPr>
          <w:rFonts w:ascii="Times New Roman;serif" w:hAnsi="Times New Roman;serif"/>
          <w:b w:val="false"/>
          <w:color w:val="000000"/>
          <w:sz w:val="24"/>
        </w:rPr>
        <w:t>and for which the</w:t>
      </w:r>
      <w:r>
        <w:rPr>
          <w:color w:val="000000"/>
        </w:rPr>
        <w:t xml:space="preserve"> </w:t>
      </w:r>
      <w:r>
        <w:rPr>
          <w:rFonts w:ascii="Times New Roman;serif" w:hAnsi="Times New Roman;serif"/>
          <w:b w:val="false"/>
          <w:color w:val="000000"/>
          <w:sz w:val="24"/>
        </w:rPr>
        <w:t>Executive qualifies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plans (and nothing in this Agreement shall or shall be deemed to in any way affect the Executive’s right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herein), in accordance with, and subject to, the terms and conditions of such plan. Nothing contained in this Agreement shall be construed to create any obligation on the part of the Company to establish any such plan or to maintain the existence of any such plan which may be in effect from time to time.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Annual Paid Vacation</w:t>
      </w:r>
      <w:r>
        <w:rPr>
          <w:rFonts w:ascii="Times New Roman;serif" w:hAnsi="Times New Roman;serif"/>
          <w:b w:val="false"/>
          <w:color w:val="000000"/>
          <w:sz w:val="24"/>
        </w:rPr>
        <w:t>. The Executive shall be entitled to four (4) weeks’ paid vacation time each year, pro-rated for partial years, which may be used for any purpose including vacation, sick or personal time. The Executive shall not take more than fourteen (14) consecutive calendar days of vacation without the prior approval of the REIT’s Chief Executive Officer. Unless otherwise approved by the REIT’s Chief Executive Officer in writing, vacation time does not roll over from one year to the next. Unused vacation time shall not be paid out at the end of the year or upon termination of employment for any reason.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During the term of this Agreement, the Company shall reimburse the Executive for reasonable and properly documented out-of-pocket business and/or entertainment expenses incurred by the Executive in connection with his duties under this Agreement in accordance with the Company’s policies and procedures.</w:t>
      </w:r>
    </w:p>
    <w:p>
      <w:pPr>
        <w:pStyle w:val="TextBody"/>
        <w:bidi w:val="0"/>
        <w:spacing w:lineRule="auto" w:line="288" w:before="240" w:after="283"/>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terminated:</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rPr>
        <w:t>(i)by</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 below)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 than sixty (60) days written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(ii)by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 any 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Cause, without prior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(iii)by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(as 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thirty (30) days</w:t>
      </w:r>
      <w:r>
        <w:rPr>
          <w:color w:val="000000"/>
        </w:rPr>
        <w:t xml:space="preserve"> </w:t>
      </w:r>
      <w:r>
        <w:rPr>
          <w:rFonts w:ascii="Times New Roman;serif" w:hAnsi="Times New Roman;serif"/>
          <w:b w:val="false"/>
          <w:color w:val="000000"/>
          <w:sz w:val="24"/>
        </w:rPr>
        <w:t>written notice;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(iv)upon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and</w:t>
      </w:r>
    </w:p>
    <w:p>
      <w:pPr>
        <w:pStyle w:val="TextBody"/>
        <w:bidi w:val="0"/>
        <w:spacing w:lineRule="auto" w:line="288" w:before="240" w:after="283"/>
        <w:ind w:left="0" w:right="0" w:hanging="720"/>
        <w:jc w:val="both"/>
        <w:rPr/>
      </w:pPr>
      <w:r>
        <w:rPr>
          <w:rFonts w:ascii="Times New Roman;serif" w:hAnsi="Times New Roman;serif"/>
          <w:b w:val="false"/>
          <w:color w:val="000000"/>
          <w:sz w:val="24"/>
        </w:rPr>
        <w:t>(v)by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(b)Any termination of the Executive’s employment by the Company or by the Executive under this Section 6 (other than pursuant to Section 6(a)(iv) (Death)) shall be communicated by a written notice to the other party hereto, indicating the specific termination provision in this Agreement relied upon, setting forth in reasonable detail any facts and circumstances claimed to provide a basis for termination of the Executive’s employment under the provision so indicated, and specifying an effective date of termination, which notice shall be delivered within the applicable time periods set forth in Sections 6(a)(i) or (iii) (the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provided that the Company may earlier terminate the Executive’s employment during such Notice Period and pay to the Executive all Base Salary, benefits and other rights due to the Executive under this Agreement during such Notice Period (as if the Executive continued employment) instead of employing the Executive during such Notice Period and any amounts calculated pursuant to Sections 7(a)(iii) and 9(a)(iii) shall assume that the effective date of termination occurred on the last day of the full notice period.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(c)For</w:t>
      </w:r>
      <w:r>
        <w:rPr>
          <w:color w:val="000000"/>
        </w:rPr>
        <w:t xml:space="preserve"> </w:t>
      </w:r>
      <w:r>
        <w:rPr>
          <w:rFonts w:ascii="Times New Roman;serif" w:hAnsi="Times New Roman;serif"/>
          <w:b w:val="false"/>
          <w:color w:val="000000"/>
          <w:sz w:val="24"/>
        </w:rPr>
        <w:t>purposes hereof,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a material breach of this Agreement by the Executive that remains uncured for a period of twenty (20) days after the Executive’s</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 failure or refusal, in any material manner, to perform all lawful services required of him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refusal</w:t>
      </w:r>
      <w:r>
        <w:rPr>
          <w:color w:val="000000"/>
        </w:rPr>
        <w:t xml:space="preserve"> </w:t>
      </w:r>
      <w:r>
        <w:rPr>
          <w:rFonts w:ascii="Times New Roman;serif" w:hAnsi="Times New Roman;serif"/>
          <w:b w:val="false"/>
          <w:color w:val="000000"/>
          <w:sz w:val="24"/>
        </w:rPr>
        <w:t>continues</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than thirty</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after the Executive’s receipt of written notice of such deficiency; (iii) the Executive’s commission of fraud, embezzlement or theft, or a crime involving dishonesty or fraud, in any case, whether or not involving the Company, that in the reasonable good faith judgment of the Company, renders the Executive’s continued employment materially harmful to the Company’s reputation or business; (iv) the Executive’s misappropriation of material Company assets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property;</w:t>
      </w:r>
      <w:r>
        <w:rPr>
          <w:color w:val="000000"/>
        </w:rPr>
        <w:t xml:space="preserve"> </w:t>
      </w:r>
      <w:r>
        <w:rPr>
          <w:rFonts w:ascii="Times New Roman;serif" w:hAnsi="Times New Roman;serif"/>
          <w:b w:val="false"/>
          <w:color w:val="000000"/>
          <w:sz w:val="24"/>
        </w:rPr>
        <w:t>(v)</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conviction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plea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guilty or no contest by the Executive with respect to any felony that adversely affects the Company’s reputation or business in any material respect; (vi) any material violation by the Executive of the Company’s (or any of its subsidiaries’) code of conduct or other material written policy pursuant to which the Executive would be subject to immediate dismissal; or (vii) any act of personal dishonesty by the Executive that involves personal profit in a material amount in connection with his employment by the Company. Cause shall be determined by the Company in its sole discretion.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Any act, or failure to act, by the Executive shall be conclusively presumed to have been done in good faith and in the best interests of the Company and its Affiliates if it was based upon: (i) authority given pursuant to a resolution duly adopted by the Board (or, if the REIT is not the ultimate parent entity of the Company and is not publicly traded, the board of directors or equivalent governing body of the Company’s ultimate parent (the “</w:t>
      </w:r>
      <w:r>
        <w:rPr>
          <w:rFonts w:ascii="Times New Roman;serif" w:hAnsi="Times New Roman;serif"/>
          <w:b w:val="false"/>
          <w:color w:val="000000"/>
          <w:sz w:val="24"/>
          <w:u w:val="single"/>
        </w:rPr>
        <w:t>Applicable Board</w:t>
      </w:r>
      <w:r>
        <w:rPr>
          <w:color w:val="000000"/>
        </w:rPr>
        <w:t>”</w:t>
      </w:r>
      <w:r>
        <w:rPr>
          <w:rFonts w:ascii="Times New Roman;serif" w:hAnsi="Times New Roman;serif"/>
          <w:b w:val="false"/>
          <w:color w:val="000000"/>
          <w:sz w:val="24"/>
        </w:rPr>
        <w:t>)); (ii) the instructions of the Chief Executive Officer or a senior officer of the Company and its Affiliates; or (iii) the advice of counsel for the Company and its Affiliates. Furthermore, following a Change in Control (as defined below), the Executive’s termination shall not be deemed to be for Cause unless the Applicable Board has: (A) called a meeting for such purpose after providing reasonable notice to the Executive; (B) given the Executive an opportunity, together with the Executive’s counsel, to be heard before the Applicable Board; and (C) adopted a resolution by the affirmative vote of not less than a majority of the entire membership of the Applicable Board finding that, in its good faith opinion, the Executive is guilty of conduct constituting Cause. A copy of such resolution shall be delivered to the Executive.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(d)For purposes hereof, the Executive’s “</w:t>
      </w:r>
      <w:r>
        <w:rPr>
          <w:rFonts w:ascii="Times New Roman;serif" w:hAnsi="Times New Roman;serif"/>
          <w:b w:val="false"/>
          <w:color w:val="000000"/>
          <w:sz w:val="24"/>
          <w:u w:val="single"/>
        </w:rPr>
        <w:t>permanent disability</w:t>
      </w:r>
      <w:r>
        <w:rPr>
          <w:color w:val="000000"/>
        </w:rPr>
        <w:t xml:space="preserve">” </w:t>
      </w:r>
      <w:r>
        <w:rPr>
          <w:rFonts w:ascii="Times New Roman;serif" w:hAnsi="Times New Roman;serif"/>
          <w:b w:val="false"/>
          <w:color w:val="000000"/>
          <w:sz w:val="24"/>
        </w:rPr>
        <w:t>shall be deemed to have occurred if the Executive is unable to engage in any substantial gainful activity by reason of any medically determinable physical or mental impairment that can 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can</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last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continuous</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less than twelve (12) months, as determined by a physician selected by the Company or its insurers and reasonably acceptable to the Executive or the Executive’s legal representatives.</w:t>
      </w:r>
    </w:p>
    <w:p>
      <w:pPr>
        <w:pStyle w:val="TextBody"/>
        <w:bidi w:val="0"/>
        <w:spacing w:lineRule="auto" w:line="288" w:before="241" w:after="240"/>
        <w:ind w:left="0" w:right="0" w:firstLine="720"/>
        <w:jc w:val="both"/>
        <w:rPr/>
      </w:pPr>
      <w:r>
        <w:rPr>
          <w:rFonts w:ascii="Times New Roman;serif" w:hAnsi="Times New Roman;serif"/>
          <w:b w:val="false"/>
          <w:color w:val="000000"/>
          <w:sz w:val="24"/>
        </w:rPr>
        <w:t>(e)For purposes hereof,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mean: (i) a material breach of this Agreement by the Company; (ii) a material diminution of, or material reduction or adverse alteration of, the Executive’s duties, authority or responsibilities without the consent of the Executive, or the Company’s assignment of duties, responsibilities or reporting requirements that are materially inconsistent with his positions or that materially expand his duties, responsibilities, or reporting requirements beyond the scope of the Executive’s role without the consent of the Executive; (iii) any requirement by the Company that the Executive relocate the Executive’s primary work location to a headquarters location outside of the Detroit, Michigan metropolitan area; (iv) a material reduction in the Executive’s Base Salary or Target Bonus; or (v) upon a Change in Control, the failure of the Company or any successor to expressly assume this Agreement pursuant to Section 16(b). Written notice of an event constituting Good Reason must be provided to the Company by the Executive within ninety (90) days of its occurrence. The Company will have thirty (30) days to cure such occurrence, and the Executive may not terminate this Agreement due to Good Reason more than thirty (30) days following the last day of such cure period (and only if the Company has failed to cure).</w:t>
      </w:r>
    </w:p>
    <w:p>
      <w:pPr>
        <w:pStyle w:val="TextBody"/>
        <w:bidi w:val="0"/>
        <w:spacing w:lineRule="auto" w:line="288" w:before="79" w:after="283"/>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Compensation Upon Termination or Disability</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Without Cause or For Good Reason</w:t>
      </w:r>
      <w:r>
        <w:rPr>
          <w:rFonts w:ascii="Times New Roman;serif" w:hAnsi="Times New Roman;serif"/>
          <w:b w:val="false"/>
          <w:color w:val="000000"/>
          <w:sz w:val="24"/>
        </w:rPr>
        <w:t>. If the Company terminates the Executive’s employment under this Agreement without Cause pursuant to Section 6(a)(i) or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terminates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Reason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 xml:space="preserve">6(a)(v),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 each case not within the sixty (60) days prior to or twenty-four (24) months following a Change in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(i)the Executive shall be entitled to receive a lump sum in cash as soon as reasonably practicable (and no later than thirty (30) days after the effective date of such termination) equal to the sum of the following amounts: (A) Base Salary through the effective date of such termination to the extent not theretofore paid, (B) any business expenses that are reimbursable pursuant to Section 5(d) but have not been reimbursed by the Company as of the date of termination, and (C) any Bonus accrued by the Company and earned by the Executive but unpaid as of the termination date (the sum of the amounts described in subclauses (A), (B) and (C), the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provided, that notwithstanding the foregoing, if the Executive has made an irrevocable election under any deferred compensation arrangement subject to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to defer any portion of the Base Salary or the Bonus described in clause (A) or (C), then for all purposes of this Section 7, such deferral election, and the terms of the applicable arrangement shall apply to the same portion of the amount described in such clause (A) or (C), and such portion shall not be considered as part of the “Accrued Obligations” but shall instead be an “Other Benefit” (as defined below);</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which he</w:t>
      </w:r>
      <w:r>
        <w:rPr>
          <w:color w:val="000000"/>
        </w:rPr>
        <w:t xml:space="preserve"> </w:t>
      </w:r>
      <w:r>
        <w:rPr>
          <w:rFonts w:ascii="Times New Roman;serif" w:hAnsi="Times New Roman;serif"/>
          <w:b w:val="false"/>
          <w:color w:val="000000"/>
          <w:sz w:val="24"/>
        </w:rPr>
        <w:t>is entitled under this Agreement through the effective date of such termination and any other vested benefits under the Company's employee compensation and benefit plans (the “</w:t>
      </w:r>
      <w:r>
        <w:rPr>
          <w:rFonts w:ascii="Times New Roman;serif" w:hAnsi="Times New Roman;serif"/>
          <w:b w:val="false"/>
          <w:color w:val="000000"/>
          <w:sz w:val="24"/>
          <w:u w:val="single"/>
        </w:rPr>
        <w:t>Other Benefits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(iii)the Executive shall be entitled to receive a pro-rated Bonus for the fiscal year in which the date of termination occurs equal to the actual Bonus the Executive otherwise would have earned for the year in which the date of termination occurs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in the current fiscal year through the date of termination, and the denominator of which is 365, which Bonus shall be paid by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on the date on which the Company otherwise pays Bonuses to senior executives of the Company for such fiscal year;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(iv)the Executive shall be entitled to receive an amount equal to one and one-half (1.5) times the sum of (A) the Executive’s then-current Base Salary and (B) the Executive’s then-current Target Bonus (in each case disregarding any reduction giving rise to a claim for Good Reason),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eighteen (18) equal</w:t>
      </w:r>
      <w:r>
        <w:rPr>
          <w:color w:val="000000"/>
        </w:rPr>
        <w:t xml:space="preserve"> </w:t>
      </w:r>
      <w:r>
        <w:rPr>
          <w:rFonts w:ascii="Times New Roman;serif" w:hAnsi="Times New Roman;serif"/>
          <w:b w:val="false"/>
          <w:color w:val="000000"/>
          <w:sz w:val="24"/>
        </w:rPr>
        <w:t>monthly</w:t>
      </w:r>
      <w:r>
        <w:rPr>
          <w:color w:val="000000"/>
        </w:rPr>
        <w:t xml:space="preserve"> </w:t>
      </w:r>
      <w:r>
        <w:rPr>
          <w:rFonts w:ascii="Times New Roman;serif" w:hAnsi="Times New Roman;serif"/>
          <w:b w:val="false"/>
          <w:color w:val="000000"/>
          <w:sz w:val="24"/>
        </w:rPr>
        <w:t>installments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 Company's normal payroll policy;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(v)all of</w:t>
      </w:r>
      <w:r>
        <w:rPr>
          <w:color w:val="000000"/>
        </w:rPr>
        <w:t xml:space="preserve"> </w:t>
      </w:r>
      <w:r>
        <w:rPr>
          <w:rFonts w:ascii="Times New Roman;serif" w:hAnsi="Times New Roman;serif"/>
          <w:b w:val="false"/>
          <w:color w:val="000000"/>
          <w:sz w:val="24"/>
        </w:rPr>
        <w:t>the Executive’s equity awards, whether</w:t>
      </w:r>
      <w:r>
        <w:rPr>
          <w:color w:val="000000"/>
        </w:rPr>
        <w:t xml:space="preserve"> </w:t>
      </w:r>
      <w:r>
        <w:rPr>
          <w:rFonts w:ascii="Times New Roman;serif" w:hAnsi="Times New Roman;serif"/>
          <w:b w:val="false"/>
          <w:color w:val="000000"/>
          <w:sz w:val="24"/>
        </w:rPr>
        <w:t>subject to time-based or performance-based vesting, granted under the Sun Communities, Inc. 2015 Incentive Plan, as amended (the “</w:t>
      </w:r>
      <w:r>
        <w:rPr>
          <w:rFonts w:ascii="Times New Roman;serif" w:hAnsi="Times New Roman;serif"/>
          <w:b w:val="false"/>
          <w:color w:val="000000"/>
          <w:sz w:val="24"/>
          <w:u w:val="single"/>
        </w:rPr>
        <w:t>2015 Incentive Plan</w:t>
      </w:r>
      <w:r>
        <w:rPr>
          <w:color w:val="000000"/>
        </w:rPr>
        <w:t xml:space="preserve">” </w:t>
      </w:r>
      <w:r>
        <w:rPr>
          <w:rFonts w:ascii="Times New Roman;serif" w:hAnsi="Times New Roman;serif"/>
          <w:b w:val="false"/>
          <w:color w:val="000000"/>
          <w:sz w:val="24"/>
        </w:rPr>
        <w:t>and together with any successor equity incentive plans of the Company, the “</w:t>
      </w:r>
      <w:r>
        <w:rPr>
          <w:rFonts w:ascii="Times New Roman;serif" w:hAnsi="Times New Roman;serif"/>
          <w:b w:val="false"/>
          <w:color w:val="000000"/>
          <w:sz w:val="24"/>
          <w:u w:val="single"/>
        </w:rPr>
        <w:t>Incentive Plans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Effective Date shall become fully vested (with any performance-based vesting conditions deemed met at the maximum level of performance);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(vi)all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 Effective Date shall</w:t>
      </w:r>
      <w:r>
        <w:rPr>
          <w:color w:val="000000"/>
        </w:rPr>
        <w:t xml:space="preserve"> </w:t>
      </w:r>
      <w:r>
        <w:rPr>
          <w:rFonts w:ascii="Times New Roman;serif" w:hAnsi="Times New Roman;serif"/>
          <w:b w:val="false"/>
          <w:color w:val="000000"/>
          <w:sz w:val="24"/>
        </w:rPr>
        <w:t>become fully vested;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(vii)the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on or after the Effective Date shall be governed by the applicable award agreement;</w:t>
      </w:r>
    </w:p>
    <w:p>
      <w:pPr>
        <w:pStyle w:val="TextBody"/>
        <w:bidi w:val="0"/>
        <w:spacing w:lineRule="auto" w:line="288" w:before="7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(viii)any stock options granted under the Incentive Plans shall be immediately exercisable and may be exercised by the Executive until the first anniversary of the termination date; and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(ix)if the Executive elects continuation coverage under the Consolidated Omnibus Budget Reconciliation Act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 all premiums for such COBRA coverage on the Executive’s behalf until the earlier of (A) eighteen (18) months following the termination date or (B) the commencement of comparable coverage from another employer (the “</w:t>
      </w:r>
      <w:r>
        <w:rPr>
          <w:rFonts w:ascii="Times New Roman;serif" w:hAnsi="Times New Roman;serif"/>
          <w:b w:val="false"/>
          <w:color w:val="000000"/>
          <w:sz w:val="24"/>
          <w:u w:val="single"/>
        </w:rPr>
        <w:t>Continued Health Benefits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7(a)(iii) through (ix)</w:t>
      </w:r>
      <w:r>
        <w:rPr>
          <w:color w:val="000000"/>
        </w:rPr>
        <w:t xml:space="preserve"> </w:t>
      </w:r>
      <w:r>
        <w:rPr>
          <w:rFonts w:ascii="Times New Roman;serif" w:hAnsi="Times New Roman;serif"/>
          <w:b w:val="false"/>
          <w:color w:val="000000"/>
          <w:sz w:val="24"/>
        </w:rPr>
        <w:t>is subject to</w:t>
      </w:r>
      <w:r>
        <w:rPr>
          <w:color w:val="000000"/>
        </w:rPr>
        <w:t xml:space="preserve"> </w:t>
      </w:r>
      <w:r>
        <w:rPr>
          <w:rFonts w:ascii="Times New Roman;serif" w:hAnsi="Times New Roman;serif"/>
          <w:b w:val="false"/>
          <w:color w:val="000000"/>
          <w:sz w:val="24"/>
        </w:rPr>
        <w:t>the Executive’s continued compliance with the 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For Cause Termination or Resignation without Good Reason</w:t>
      </w:r>
      <w:r>
        <w:rPr>
          <w:rFonts w:ascii="Times New Roman;serif" w:hAnsi="Times New Roman;serif"/>
          <w:b w:val="false"/>
          <w:color w:val="000000"/>
          <w:sz w:val="24"/>
        </w:rPr>
        <w:t>. If the Company terminates the Executive’s employment under this Agreement for Cause or the Executive resigns his employment hereunder without Good Reason: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1" w:after="283"/>
        <w:ind w:left="0" w:right="0" w:firstLine="630"/>
        <w:jc w:val="both"/>
        <w:rPr/>
      </w:pPr>
      <w:r>
        <w:rPr>
          <w:rFonts w:ascii="Times New Roman;serif" w:hAnsi="Times New Roman;serif"/>
          <w:b w:val="false"/>
          <w:color w:val="000000"/>
          <w:sz w:val="24"/>
        </w:rPr>
        <w:t>(ii)all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unvested</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forfeited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date of</w:t>
      </w:r>
      <w:r>
        <w:rPr>
          <w:color w:val="000000"/>
        </w:rPr>
        <w:t xml:space="preserve"> </w:t>
      </w:r>
      <w:r>
        <w:rPr>
          <w:rFonts w:ascii="Times New Roman;serif" w:hAnsi="Times New Roman;serif"/>
          <w:b w:val="false"/>
          <w:color w:val="000000"/>
          <w:sz w:val="24"/>
        </w:rPr>
        <w:t>termination;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(iii)all of the Executive’s vested stock options will be governed by the applicable award agreement;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Executive shall be entitled to no further compensation or other benefits under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If the Executive’s employment under this Agreement is terminated due to the Executive’s death or permanent disability:</w:t>
      </w:r>
    </w:p>
    <w:p>
      <w:pPr>
        <w:pStyle w:val="TextBody"/>
        <w:bidi w:val="0"/>
        <w:spacing w:lineRule="auto" w:line="288" w:before="79" w:after="283"/>
        <w:ind w:left="0" w:right="0" w:firstLine="720"/>
        <w:jc w:val="both"/>
        <w:rPr/>
      </w:pPr>
      <w:r>
        <w:rPr>
          <w:rFonts w:ascii="Times New Roman;serif" w:hAnsi="Times New Roman;serif"/>
          <w:b w:val="false"/>
          <w:color w:val="000000"/>
          <w:sz w:val="24"/>
        </w:rPr>
        <w:t>(i)the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heirs or estate in the event of his death) shall be entitled to receive the Accrued Obligations and the Other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(ii)the Executive (or his heirs or estate in the event of his death) shall be entitled to receive a payment (the “</w:t>
      </w:r>
      <w:r>
        <w:rPr>
          <w:rFonts w:ascii="Times New Roman;serif" w:hAnsi="Times New Roman;serif"/>
          <w:b w:val="false"/>
          <w:color w:val="000000"/>
          <w:sz w:val="24"/>
          <w:u w:val="single"/>
        </w:rPr>
        <w:t>Disability Payment</w:t>
      </w:r>
      <w:r>
        <w:rPr>
          <w:color w:val="000000"/>
        </w:rPr>
        <w:t>”</w:t>
      </w:r>
      <w:r>
        <w:rPr>
          <w:rFonts w:ascii="Times New Roman;serif" w:hAnsi="Times New Roman;serif"/>
          <w:b w:val="false"/>
          <w:color w:val="000000"/>
          <w:sz w:val="24"/>
        </w:rPr>
        <w:t>) in an amount equal to (A)</w:t>
      </w:r>
      <w:r>
        <w:rPr>
          <w:color w:val="000000"/>
        </w:rPr>
        <w:t xml:space="preserve"> </w:t>
      </w:r>
      <w:r>
        <w:rPr>
          <w:rFonts w:ascii="Times New Roman;serif" w:hAnsi="Times New Roman;serif"/>
          <w:b w:val="false"/>
          <w:color w:val="000000"/>
          <w:sz w:val="24"/>
        </w:rPr>
        <w:t>one and one-half (1.5) times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 then-current Base Salary minus (B) the</w:t>
      </w:r>
      <w:r>
        <w:rPr>
          <w:color w:val="000000"/>
        </w:rPr>
        <w:t xml:space="preserve"> </w:t>
      </w:r>
      <w:r>
        <w:rPr>
          <w:rFonts w:ascii="Times New Roman;serif" w:hAnsi="Times New Roman;serif"/>
          <w:b w:val="false"/>
          <w:color w:val="000000"/>
          <w:sz w:val="24"/>
        </w:rPr>
        <w:t>value of</w:t>
      </w:r>
      <w:r>
        <w:rPr>
          <w:color w:val="000000"/>
        </w:rPr>
        <w:t xml:space="preserve"> </w:t>
      </w:r>
      <w:r>
        <w:rPr>
          <w:rFonts w:ascii="Times New Roman;serif" w:hAnsi="Times New Roman;serif"/>
          <w:b w:val="false"/>
          <w:color w:val="000000"/>
          <w:sz w:val="24"/>
        </w:rPr>
        <w:t>any Program Benefits actually received by the Executive (or his heirs or estate in the event of his death) during the eighteen (18)-month period after the termination date, which shall be paid in eighteen (18) equal monthly installments in accordance with the Company’s normal payroll policy, and any such offset shall be applied against remaining installments of the Disability Payment;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(iii)all of</w:t>
      </w:r>
      <w:r>
        <w:rPr>
          <w:color w:val="000000"/>
        </w:rPr>
        <w:t xml:space="preserve"> </w:t>
      </w:r>
      <w:r>
        <w:rPr>
          <w:rFonts w:ascii="Times New Roman;serif" w:hAnsi="Times New Roman;serif"/>
          <w:b w:val="false"/>
          <w:color w:val="000000"/>
          <w:sz w:val="24"/>
        </w:rPr>
        <w:t>the Executive’s equity awards, whether</w:t>
      </w:r>
      <w:r>
        <w:rPr>
          <w:color w:val="000000"/>
        </w:rPr>
        <w:t xml:space="preserve"> </w:t>
      </w:r>
      <w:r>
        <w:rPr>
          <w:rFonts w:ascii="Times New Roman;serif" w:hAnsi="Times New Roman;serif"/>
          <w:b w:val="false"/>
          <w:color w:val="000000"/>
          <w:sz w:val="24"/>
        </w:rPr>
        <w:t>subject to time-based or performance-based vesting, granted under the Incentive Plans prior to the Effective Date shall become fully vested (with any performance-based vesting conditions deemed met at the maximum level of performance);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 Effective Date 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on or after the Effective Date shall be governed by the applicable award agreement; and</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stock options granted under the Incentive Plans shall be immediately exercisable and may be exercised by the Executive (or his heirs or estate in the event of his death) until the first anniversary of the termination date.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Executive agrees to cooperate in any reasonable requirement to undertake a medical physical examination as may be reasonably requested by an insurance carrier in 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decides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obtain</w:t>
      </w:r>
      <w:r>
        <w:rPr>
          <w:color w:val="000000"/>
        </w:rPr>
        <w:t xml:space="preserve"> </w:t>
      </w:r>
      <w:r>
        <w:rPr>
          <w:rFonts w:ascii="Times New Roman;serif" w:hAnsi="Times New Roman;serif"/>
          <w:b w:val="false"/>
          <w:color w:val="000000"/>
          <w:sz w:val="24"/>
        </w:rPr>
        <w:t>death</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insurance</w:t>
      </w:r>
      <w:r>
        <w:rPr>
          <w:color w:val="000000"/>
        </w:rPr>
        <w:t xml:space="preserve"> </w:t>
      </w:r>
      <w:r>
        <w:rPr>
          <w:rFonts w:ascii="Times New Roman;serif" w:hAnsi="Times New Roman;serif"/>
          <w:b w:val="false"/>
          <w:color w:val="000000"/>
          <w:sz w:val="24"/>
        </w:rPr>
        <w:t>coverage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 Executive.</w:t>
      </w:r>
    </w:p>
    <w:p>
      <w:pPr>
        <w:pStyle w:val="TextBody"/>
        <w:bidi w:val="0"/>
        <w:spacing w:lineRule="auto" w:line="288" w:before="79"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7(c)(ii) through (vi)</w:t>
      </w:r>
      <w:r>
        <w:rPr>
          <w:color w:val="000000"/>
        </w:rPr>
        <w:t xml:space="preserve"> </w:t>
      </w:r>
      <w:r>
        <w:rPr>
          <w:rFonts w:ascii="Times New Roman;serif" w:hAnsi="Times New Roman;serif"/>
          <w:b w:val="false"/>
          <w:color w:val="000000"/>
          <w:sz w:val="24"/>
        </w:rPr>
        <w:t>is subject to</w:t>
      </w:r>
      <w:r>
        <w:rPr>
          <w:color w:val="000000"/>
        </w:rPr>
        <w:t xml:space="preserve"> </w:t>
      </w:r>
      <w:r>
        <w:rPr>
          <w:rFonts w:ascii="Times New Roman;serif" w:hAnsi="Times New Roman;serif"/>
          <w:b w:val="false"/>
          <w:color w:val="000000"/>
          <w:sz w:val="24"/>
        </w:rPr>
        <w:t>the Executive’s continued compliance with the 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Non-Renewal</w:t>
      </w:r>
      <w:r>
        <w:rPr>
          <w:rFonts w:ascii="Times New Roman;serif" w:hAnsi="Times New Roman;serif"/>
          <w:b w:val="false"/>
          <w:color w:val="000000"/>
          <w:sz w:val="24"/>
        </w:rPr>
        <w:t>. If</w:t>
      </w:r>
      <w:r>
        <w:rPr>
          <w:color w:val="000000"/>
        </w:rPr>
        <w:t xml:space="preserve"> </w:t>
      </w:r>
      <w:r>
        <w:rPr>
          <w:rFonts w:ascii="Times New Roman;serif" w:hAnsi="Times New Roman;serif"/>
          <w:b w:val="false"/>
          <w:color w:val="000000"/>
          <w:sz w:val="24"/>
        </w:rPr>
        <w:t>the Company provides the Executive with a notice of</w:t>
      </w:r>
      <w:r>
        <w:rPr>
          <w:color w:val="000000"/>
        </w:rPr>
        <w:t xml:space="preserve"> </w:t>
      </w:r>
      <w:r>
        <w:rPr>
          <w:rFonts w:ascii="Times New Roman;serif" w:hAnsi="Times New Roman;serif"/>
          <w:b w:val="false"/>
          <w:color w:val="000000"/>
          <w:sz w:val="24"/>
        </w:rPr>
        <w:t>non-renewal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 as provided in Section 2 above:</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(ii)the Executive shall be entitled to receive a pro-rated Bonus for the fiscal year in which the date of termination occurs equal to the actual Bonus the Executive otherwise would have earned for the year in which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 xml:space="preserve">termination occurs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a fraction, the numerator of which is the number of days in the current fiscal year through the date of termination, and the denominator of which is 365, which Bonus shall be paid by the 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on the date on which the Company otherwise pays Bonuses to senior executives of the Company for such fiscal year;</w:t>
      </w:r>
    </w:p>
    <w:p>
      <w:pPr>
        <w:pStyle w:val="TextBody"/>
        <w:bidi w:val="0"/>
        <w:spacing w:lineRule="auto" w:line="288" w:before="241"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Executive shall be entitled to receive an amount equal to one (1) times the sum of (A) the Executive’s then-current Base Salary and (B) the Executive’s then-current Target Bonus (in each case disregarding any reduction giving rise to a claim for Good Reason), which shall be paid in twelve (12) equal monthly installments in accordance with the Company’s payroll policy;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 the Effective Date 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(v)the</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forfeiture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equity awards</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performance-based</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Plans on or after the Effective Date shall be governed by the applicable award agreement; and</w:t>
      </w:r>
    </w:p>
    <w:p>
      <w:pPr>
        <w:pStyle w:val="TextBody"/>
        <w:bidi w:val="0"/>
        <w:spacing w:lineRule="auto" w:line="288" w:before="241"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stock options granted under the Incentive Plans shall be immediately exercisable and may be exercised by the Executive (or his heirs or estate in the event of his death) until the first anniversary of the termination date.</w:t>
      </w:r>
    </w:p>
    <w:p>
      <w:pPr>
        <w:pStyle w:val="TextBody"/>
        <w:bidi w:val="0"/>
        <w:spacing w:lineRule="auto" w:line="288" w:before="79" w:after="283"/>
        <w:ind w:left="0" w:right="0" w:firstLine="720"/>
        <w:jc w:val="both"/>
        <w:rPr/>
      </w:pPr>
      <w:r>
        <w:rPr>
          <w:rFonts w:ascii="Times New Roman;serif" w:hAnsi="Times New Roman;serif"/>
          <w:b w:val="false"/>
          <w:color w:val="000000"/>
          <w:sz w:val="24"/>
        </w:rPr>
        <w:t>The Company’s obligation to pay or provide the payments and 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7(d)(ii) through (vi)</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Executive’s continued compliance with the restrictive covenants and confidentiality obligations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the Executive’s execution, delivery to the Company and non-revocation of a release of claims in a form reasonably acceptable to the Company.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Coordination with Non-Renewal</w:t>
      </w:r>
      <w:r>
        <w:rPr>
          <w:rFonts w:ascii="Times New Roman;serif" w:hAnsi="Times New Roman;serif"/>
          <w:b w:val="false"/>
          <w:color w:val="000000"/>
          <w:sz w:val="24"/>
        </w:rPr>
        <w:t>. If either party notifies the other party of the</w:t>
      </w:r>
      <w:r>
        <w:rPr>
          <w:color w:val="000000"/>
        </w:rPr>
        <w:t xml:space="preserve"> </w:t>
      </w:r>
      <w:r>
        <w:rPr>
          <w:rFonts w:ascii="Times New Roman;serif" w:hAnsi="Times New Roman;serif"/>
          <w:b w:val="false"/>
          <w:color w:val="000000"/>
          <w:sz w:val="24"/>
        </w:rPr>
        <w:t>non-renewal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Initial</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Renewal</w:t>
      </w:r>
      <w:r>
        <w:rPr>
          <w:color w:val="000000"/>
        </w:rPr>
        <w:t xml:space="preserve"> </w:t>
      </w:r>
      <w:r>
        <w:rPr>
          <w:rFonts w:ascii="Times New Roman;serif" w:hAnsi="Times New Roman;serif"/>
          <w:b w:val="false"/>
          <w:color w:val="000000"/>
          <w:sz w:val="24"/>
        </w:rPr>
        <w:t>Term 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 Section</w:t>
      </w:r>
      <w:r>
        <w:rPr>
          <w:color w:val="000000"/>
        </w:rPr>
        <w:t xml:space="preserve"> </w:t>
      </w:r>
      <w:r>
        <w:rPr>
          <w:rFonts w:ascii="Times New Roman;serif" w:hAnsi="Times New Roman;serif"/>
          <w:b w:val="false"/>
          <w:color w:val="000000"/>
          <w:sz w:val="24"/>
        </w:rPr>
        <w:t>2 above, 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as applicable, the Company shall continue to pay the Base Salary and provide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 continues to faithfully and diligently perform his duties under this Agreement and in accordance with the Company's policies.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Compliance with Covenants</w:t>
      </w:r>
      <w:r>
        <w:rPr>
          <w:rFonts w:ascii="Times New Roman;serif" w:hAnsi="Times New Roman;serif"/>
          <w:b w:val="false"/>
          <w:color w:val="000000"/>
          <w:sz w:val="24"/>
        </w:rPr>
        <w:t>. Notwithstanding anything to the contrary in this Section 7, the Company’s obligation to pay, and the Executive’s right to receive, any compensation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continuation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Accrued Obligations and Other Benefits) under this Section 7, shall terminate upon the Executive’s breach of any provision of Sections 10 or 11 hereof.</w:t>
      </w:r>
    </w:p>
    <w:p>
      <w:pPr>
        <w:pStyle w:val="TextBody"/>
        <w:bidi w:val="0"/>
        <w:spacing w:lineRule="auto" w:line="288" w:before="240" w:after="283"/>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Offices</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Directorships;</w:t>
      </w:r>
      <w:r>
        <w:rPr>
          <w:color w:val="000000"/>
          <w:u w:val="single"/>
        </w:rPr>
        <w:t xml:space="preserve"> </w:t>
      </w:r>
      <w:r>
        <w:rPr>
          <w:rFonts w:ascii="Times New Roman;serif" w:hAnsi="Times New Roman;serif"/>
          <w:b w:val="false"/>
          <w:color w:val="000000"/>
          <w:sz w:val="24"/>
          <w:u w:val="single"/>
        </w:rPr>
        <w:t>Return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Property and Information</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41" w:after="283"/>
        <w:ind w:left="0" w:right="0" w:firstLine="630"/>
        <w:jc w:val="both"/>
        <w:rPr/>
      </w:pPr>
      <w:r>
        <w:rPr>
          <w:rFonts w:ascii="Times New Roman;serif" w:hAnsi="Times New Roman;serif"/>
          <w:b w:val="false"/>
          <w:color w:val="000000"/>
          <w:sz w:val="24"/>
        </w:rPr>
        <w:t>(a)Upon termination of the Executive’s employment for any reason, unless otherwise specified in a written agreement between the Executive and the Company, the Executive shall be deemed to have resigned from all offices, directorships, and other employment positions if any, then held with the Company and any corporation or other entity controlled by the Company, or under common control with the Company (collectively, the “</w:t>
      </w:r>
      <w:r>
        <w:rPr>
          <w:rFonts w:ascii="Times New Roman;serif" w:hAnsi="Times New Roman;serif"/>
          <w:b w:val="false"/>
          <w:color w:val="000000"/>
          <w:sz w:val="24"/>
          <w:u w:val="single"/>
        </w:rPr>
        <w:t>Affiliates</w:t>
      </w:r>
      <w:r>
        <w:rPr>
          <w:color w:val="000000"/>
        </w:rPr>
        <w:t>”</w:t>
      </w:r>
      <w:r>
        <w:rPr>
          <w:rFonts w:ascii="Times New Roman;serif" w:hAnsi="Times New Roman;serif"/>
          <w:b w:val="false"/>
          <w:color w:val="000000"/>
          <w:sz w:val="24"/>
        </w:rPr>
        <w:t>), and shall take all actions reasonably requested by the Company to effectuate the foregoing.</w:t>
      </w:r>
    </w:p>
    <w:p>
      <w:pPr>
        <w:pStyle w:val="TextBody"/>
        <w:bidi w:val="0"/>
        <w:spacing w:lineRule="auto" w:line="288" w:before="241"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(b)In addition, upon the termination of the Executive’s employment for any reason or upon the Company’s request at any time, the Executive (or in the event of the Executive’s death, his executor or personal representative) shall (i) return to the Company all documents of the Company and its Affiliates (and all copies thereof) and all other property of the Company and its Affiliates, including, but not limited to, devices, company keys, passwords, security badges, hardware, software, letters, handbooks, manuals, customer lists, corporate credit cards, originals and all copies of all documents, books, binders, records, materials, memoranda and other data, in each case, constituting or containing Confidential Information (as defined below), in any form, within the Executive’s possession, custody or control, including all copies of documents sent by electronic mail or otherwise to any personal computer owned or accessed by the Executive, and (ii) provide the Company with a list of websites, access codes, safe codes, user names, logins, and passwords for all security systems, internal accounts, information technology systems or other accounts or systems the Executive used to perform the Executive’s job, and external service providers, financial institutions, or any other organizations that the Executive used to support the Executive’s position or for which the Executive had access to said information.</w:t>
      </w:r>
    </w:p>
    <w:p>
      <w:pPr>
        <w:pStyle w:val="TextBody"/>
        <w:bidi w:val="0"/>
        <w:spacing w:lineRule="auto" w:line="288" w:before="240" w:after="283"/>
        <w:ind w:left="0" w:right="0" w:firstLine="630"/>
        <w:jc w:val="both"/>
        <w:rPr/>
      </w:pPr>
      <w:r>
        <w:rPr>
          <w:rFonts w:ascii="Times New Roman;serif" w:hAnsi="Times New Roman;serif"/>
          <w:b w:val="false"/>
          <w:color w:val="000000"/>
          <w:sz w:val="24"/>
        </w:rPr>
        <w:t>(c)To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 such documents, papers</w:t>
      </w:r>
      <w:r>
        <w:rPr>
          <w:color w:val="000000"/>
        </w:rPr>
        <w:t xml:space="preserve"> </w:t>
      </w:r>
      <w:r>
        <w:rPr>
          <w:rFonts w:ascii="Times New Roman;serif" w:hAnsi="Times New Roman;serif"/>
          <w:b w:val="false"/>
          <w:color w:val="000000"/>
          <w:sz w:val="24"/>
        </w:rPr>
        <w:t>and records are</w:t>
      </w:r>
      <w:r>
        <w:rPr>
          <w:color w:val="000000"/>
        </w:rPr>
        <w:t xml:space="preserve"> </w:t>
      </w:r>
      <w:r>
        <w:rPr>
          <w:rFonts w:ascii="Times New Roman;serif" w:hAnsi="Times New Roman;serif"/>
          <w:b w:val="false"/>
          <w:color w:val="000000"/>
          <w:sz w:val="24"/>
        </w:rPr>
        <w:t>stored or</w:t>
      </w:r>
      <w:r>
        <w:rPr>
          <w:color w:val="000000"/>
        </w:rPr>
        <w:t xml:space="preserve"> </w:t>
      </w:r>
      <w:r>
        <w:rPr>
          <w:rFonts w:ascii="Times New Roman;serif" w:hAnsi="Times New Roman;serif"/>
          <w:b w:val="false"/>
          <w:color w:val="000000"/>
          <w:sz w:val="24"/>
        </w:rPr>
        <w:t>maintained on any personal computer, email, cloud account, or other storage device and cannot be returned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entirety,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permanently</w:t>
      </w:r>
      <w:r>
        <w:rPr>
          <w:color w:val="000000"/>
        </w:rPr>
        <w:t xml:space="preserve"> </w:t>
      </w:r>
      <w:r>
        <w:rPr>
          <w:rFonts w:ascii="Times New Roman;serif" w:hAnsi="Times New Roman;serif"/>
          <w:b w:val="false"/>
          <w:color w:val="000000"/>
          <w:sz w:val="24"/>
        </w:rPr>
        <w:t>delete</w:t>
      </w:r>
      <w:r>
        <w:rPr>
          <w:color w:val="000000"/>
        </w:rPr>
        <w:t xml:space="preserve"> </w:t>
      </w:r>
      <w:r>
        <w:rPr>
          <w:rFonts w:ascii="Times New Roman;serif" w:hAnsi="Times New Roman;serif"/>
          <w:b w:val="false"/>
          <w:color w:val="000000"/>
          <w:sz w:val="24"/>
        </w:rPr>
        <w:t>such materials upon the instruction of the Company. Notwithstanding the foregoing, the 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retain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copy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compensatory agreement between the Executive and the Company or any of its Affiliates, and any tax information returns and payroll stubs related thereto.</w:t>
      </w:r>
    </w:p>
    <w:p>
      <w:pPr>
        <w:pStyle w:val="TextBody"/>
        <w:bidi w:val="0"/>
        <w:spacing w:lineRule="auto" w:line="288" w:before="241" w:after="283"/>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Effect</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in Control</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(a)If, within sixty (60) days before or within twenty-four (24) months after a Change in Control, the</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by the Company or its successor without Cause or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terminates 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for Good Reason: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Executive shall be entitled to receive the Accrued Obligations and the Other Benefits;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(ii)the Executive shall be entitled to receive a pro-rated Bonus for the fiscal year in which the date of termination occurs equal to the Target Bonus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a fraction, the numerator of which is the number of days in the current fiscal year through the date of termination, and the denominator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is 365,</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Executive in a lump sum within thirty (30) days of the date of termination;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(iii)the Company or its successor shall pay the Executive a lump sum payment in an amount equal to two (2) times the sum of (A) the Executive’s then-current Base Salary and (B) the Executive’s</w:t>
      </w:r>
      <w:r>
        <w:rPr>
          <w:color w:val="000000"/>
        </w:rPr>
        <w:t xml:space="preserve"> </w:t>
      </w:r>
      <w:r>
        <w:rPr>
          <w:rFonts w:ascii="Times New Roman;serif" w:hAnsi="Times New Roman;serif"/>
          <w:b w:val="false"/>
          <w:color w:val="000000"/>
          <w:sz w:val="24"/>
        </w:rPr>
        <w:t>then-current</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Bonus (in each case disregarding any reduction giving rise to a claim for Good Reason),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Executive in a lump sum within thirty (30) days of the date of termination; provided, however, that if such Change in Control does not qualify either as a “change in the ownership or effective control” of the Company or a “change in the ownership of a substantial portion of the assets” of the Company within the meaning of Section 409A of the Code, any amounts payable to the Executive hereunder shall be paid in twenty-four (24) equal monthly installments in accordance with the Company’s payroll policy;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(iv)all of</w:t>
      </w:r>
      <w:r>
        <w:rPr>
          <w:color w:val="000000"/>
        </w:rPr>
        <w:t xml:space="preserve"> </w:t>
      </w:r>
      <w:r>
        <w:rPr>
          <w:rFonts w:ascii="Times New Roman;serif" w:hAnsi="Times New Roman;serif"/>
          <w:b w:val="false"/>
          <w:color w:val="000000"/>
          <w:sz w:val="24"/>
        </w:rPr>
        <w:t>the Executive’s equity awards, whether</w:t>
      </w:r>
      <w:r>
        <w:rPr>
          <w:color w:val="000000"/>
        </w:rPr>
        <w:t xml:space="preserve"> </w:t>
      </w:r>
      <w:r>
        <w:rPr>
          <w:rFonts w:ascii="Times New Roman;serif" w:hAnsi="Times New Roman;serif"/>
          <w:b w:val="false"/>
          <w:color w:val="000000"/>
          <w:sz w:val="24"/>
        </w:rPr>
        <w:t>subject to time-based or performance-based vesting, granted under the Incentive Plans prior to the Effective Date shall become fully vested (with any performance-based vesting conditions deemed met at the maximum level of performance);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(v)all of the Executive’s equity awards subject to time-based vesting granted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 Incentive</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 shall</w:t>
      </w:r>
      <w:r>
        <w:rPr>
          <w:color w:val="000000"/>
        </w:rPr>
        <w:t xml:space="preserve"> </w:t>
      </w:r>
      <w:r>
        <w:rPr>
          <w:rFonts w:ascii="Times New Roman;serif" w:hAnsi="Times New Roman;serif"/>
          <w:b w:val="false"/>
          <w:color w:val="000000"/>
          <w:sz w:val="24"/>
        </w:rPr>
        <w:t>become</w:t>
      </w:r>
      <w:r>
        <w:rPr>
          <w:color w:val="000000"/>
        </w:rPr>
        <w:t xml:space="preserve"> </w:t>
      </w:r>
      <w:r>
        <w:rPr>
          <w:rFonts w:ascii="Times New Roman;serif" w:hAnsi="Times New Roman;serif"/>
          <w:b w:val="false"/>
          <w:color w:val="000000"/>
          <w:sz w:val="24"/>
        </w:rPr>
        <w:t>fully vested;</w:t>
      </w:r>
    </w:p>
    <w:p>
      <w:pPr>
        <w:pStyle w:val="TextBody"/>
        <w:bidi w:val="0"/>
        <w:spacing w:lineRule="auto" w:line="288" w:before="7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(vi)any performance-based vesting conditions applicable to the Executive’s equity awards granted under the Incentive Plans on or after the Effective Date shall be deemed met, as of the Change in Control, at the greater of (x) the target level of performance and (y) the actual level of performance through the latest practicable date prior to the Change in Control, as determined by the Compensation Committee in its sole discretion, and vest in full based on such deemed level of performance;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(vii)any stock options granted under the Incentive Plans shall be immediately exercisable and may be exercised by the Executive until the first anniversary of the termination date; and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(viii)the Company shall continue to provide the Executive with Continued</w:t>
      </w:r>
      <w:r>
        <w:rPr>
          <w:color w:val="000000"/>
        </w:rPr>
        <w:t xml:space="preserve"> </w:t>
      </w:r>
      <w:r>
        <w:rPr>
          <w:rFonts w:ascii="Times New Roman;serif" w:hAnsi="Times New Roman;serif"/>
          <w:b w:val="false"/>
          <w:color w:val="000000"/>
          <w:sz w:val="24"/>
        </w:rPr>
        <w:t>Health</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earlier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twenty-four (24) months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termination (which period shall run concurrently with the Executive’s COBRA period) or (B) the commencement of comparable coverage from another employer.</w:t>
      </w:r>
    </w:p>
    <w:p>
      <w:pPr>
        <w:pStyle w:val="TextBody"/>
        <w:bidi w:val="0"/>
        <w:spacing w:lineRule="auto" w:line="288" w:before="241" w:after="283"/>
        <w:ind w:left="0" w:right="0" w:firstLine="810"/>
        <w:jc w:val="both"/>
        <w:rPr/>
      </w:pPr>
      <w:r>
        <w:rPr>
          <w:rFonts w:ascii="Times New Roman;serif" w:hAnsi="Times New Roman;serif"/>
          <w:b w:val="false"/>
          <w:color w:val="000000"/>
          <w:sz w:val="24"/>
        </w:rPr>
        <w:t>(b)A</w:t>
      </w:r>
      <w:r>
        <w:rPr>
          <w:color w:val="000000"/>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in</w:t>
      </w:r>
      <w:r>
        <w:rPr>
          <w:color w:val="000000"/>
          <w:u w:val="single"/>
        </w:rPr>
        <w:t xml:space="preserve">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occurred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closing of</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the following transactions: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acting</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the Company or any person (A) who as of the date hereof was a director or officer of the REIT, or (B) whose shares of Common Stock of the REIT are treated as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40" w:after="283"/>
        <w:jc w:val="both"/>
        <w:rPr/>
      </w:pPr>
      <w:r>
        <w:rPr>
          <w:color w:val="000000"/>
        </w:rPr>
        <w:t>“</w:t>
      </w:r>
      <w:r>
        <w:rPr>
          <w:rFonts w:ascii="Times New Roman;serif" w:hAnsi="Times New Roman;serif"/>
          <w:b w:val="false"/>
          <w:color w:val="000000"/>
          <w:sz w:val="24"/>
        </w:rPr>
        <w:t>beneficially owned” by any such director or officer, or (b) any institutional investor (filing reports under Section 13(g) rather than 13(d) of the Securities Exchange Act of 1934, as amended, including any employee benefit plan or employee benefit trust sponsored by the Company)), becomes a beneficial owner, 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 representing</w:t>
      </w:r>
      <w:r>
        <w:rPr>
          <w:color w:val="000000"/>
        </w:rPr>
        <w:t xml:space="preserve"> </w:t>
      </w:r>
      <w:r>
        <w:rPr>
          <w:rFonts w:ascii="Times New Roman;serif" w:hAnsi="Times New Roman;serif"/>
          <w:b w:val="false"/>
          <w:color w:val="000000"/>
          <w:sz w:val="24"/>
        </w:rPr>
        <w:t>fifty percent (50%) 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either the</w:t>
      </w:r>
      <w:r>
        <w:rPr>
          <w:color w:val="000000"/>
        </w:rPr>
        <w:t xml:space="preserve"> </w:t>
      </w:r>
      <w:r>
        <w:rPr>
          <w:rFonts w:ascii="Times New Roman;serif" w:hAnsi="Times New Roman;serif"/>
          <w:b w:val="false"/>
          <w:color w:val="000000"/>
          <w:sz w:val="24"/>
        </w:rPr>
        <w:t>then-outstanding</w:t>
      </w:r>
      <w:r>
        <w:rPr>
          <w:color w:val="000000"/>
        </w:rPr>
        <w:t xml:space="preserve"> </w:t>
      </w:r>
      <w:r>
        <w:rPr>
          <w:rFonts w:ascii="Times New Roman;serif" w:hAnsi="Times New Roman;serif"/>
          <w:b w:val="false"/>
          <w:color w:val="000000"/>
          <w:sz w:val="24"/>
        </w:rPr>
        <w:t>Common</w:t>
      </w:r>
      <w:r>
        <w:rPr>
          <w:color w:val="000000"/>
        </w:rPr>
        <w:t xml:space="preserve"> </w:t>
      </w:r>
      <w:r>
        <w:rPr>
          <w:rFonts w:ascii="Times New Roman;serif" w:hAnsi="Times New Roman;serif"/>
          <w:b w:val="false"/>
          <w:color w:val="000000"/>
          <w:sz w:val="24"/>
        </w:rPr>
        <w:t>Stock</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combined</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power</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then-outstanding</w:t>
      </w:r>
      <w:r>
        <w:rPr>
          <w:color w:val="000000"/>
        </w:rPr>
        <w:t xml:space="preserve"> </w:t>
      </w:r>
      <w:r>
        <w:rPr>
          <w:rFonts w:ascii="Times New Roman;serif" w:hAnsi="Times New Roman;serif"/>
          <w:b w:val="false"/>
          <w:color w:val="000000"/>
          <w:sz w:val="24"/>
        </w:rPr>
        <w:t>voting</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result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acquisition of securities directly from the REIT);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sells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assets to any person (other than a wholly-owned subsidiary of the Company formed for the purpose of changing the Company’s corporate domicile);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(iii)if the Company merges or consolidates with another person as a result of which the shareholders of the REIT immediately prior to such merger or consolidation would beneficially own (directly or indirectly), immediately after such merger or consolidation, securities of the surviving entity representing less than fifty percent (50%) of the then outstanding voting securities of the surviving entity; 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directors</w:t>
      </w:r>
      <w:r>
        <w:rPr>
          <w:color w:val="000000"/>
        </w:rPr>
        <w:t xml:space="preserve"> </w:t>
      </w:r>
      <w:r>
        <w:rPr>
          <w:rFonts w:ascii="Times New Roman;serif" w:hAnsi="Times New Roman;serif"/>
          <w:b w:val="false"/>
          <w:color w:val="000000"/>
          <w:sz w:val="24"/>
        </w:rPr>
        <w:t>appointed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twelve (12)-month period constitute a majority of the members of the Board, unless (A) the directors who were in office for at least twelve (12) months prior to such twelve (12)-month period (the “</w:t>
      </w:r>
      <w:r>
        <w:rPr>
          <w:rFonts w:ascii="Times New Roman;serif" w:hAnsi="Times New Roman;serif"/>
          <w:b w:val="false"/>
          <w:color w:val="000000"/>
          <w:sz w:val="24"/>
          <w:u w:val="single"/>
        </w:rPr>
        <w:t>Incumbent Directors</w:t>
      </w:r>
      <w:r>
        <w:rPr>
          <w:color w:val="000000"/>
        </w:rPr>
        <w:t>”</w:t>
      </w:r>
      <w:r>
        <w:rPr>
          <w:rFonts w:ascii="Times New Roman;serif" w:hAnsi="Times New Roman;serif"/>
          <w:b w:val="false"/>
          <w:color w:val="000000"/>
          <w:sz w:val="24"/>
        </w:rPr>
        <w:t>) plus (B) the new directors who were recommended or appointed by a majority of the Incumbent Directors constitutes a majority of the members of the Board.</w:t>
      </w:r>
    </w:p>
    <w:p>
      <w:pPr>
        <w:pStyle w:val="TextBody"/>
        <w:bidi w:val="0"/>
        <w:spacing w:lineRule="auto" w:line="288" w:before="240" w:after="283"/>
        <w:jc w:val="both"/>
        <w:rPr/>
      </w:pP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individual,</w:t>
      </w:r>
      <w:r>
        <w:rPr>
          <w:color w:val="000000"/>
        </w:rPr>
        <w:t xml:space="preserve"> </w:t>
      </w:r>
      <w:r>
        <w:rPr>
          <w:rFonts w:ascii="Times New Roman;serif" w:hAnsi="Times New Roman;serif"/>
          <w:b w:val="false"/>
          <w:color w:val="000000"/>
          <w:sz w:val="24"/>
        </w:rPr>
        <w:t>a partnership,</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corporation,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association,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unincorporated</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Treatment of Certain Payments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(i)Notwithstanding anything to the contrary contained herein, in the event the Accounting Firm (as defined below) determines that any compensation payment or distribution by the Company to or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excise</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imposed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4999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payments and benefits paid or payable to the Executive under this Agreement and any other agreement or plan of the Company (collectively, the “</w:t>
      </w:r>
      <w:r>
        <w:rPr>
          <w:rFonts w:ascii="Times New Roman;serif" w:hAnsi="Times New Roman;serif"/>
          <w:b w:val="false"/>
          <w:color w:val="000000"/>
          <w:sz w:val="24"/>
          <w:u w:val="single"/>
        </w:rPr>
        <w:t>Payments”</w:t>
      </w:r>
      <w:r>
        <w:rPr>
          <w:rFonts w:ascii="Times New Roman;serif" w:hAnsi="Times New Roman;serif"/>
          <w:b w:val="false"/>
          <w:color w:val="000000"/>
          <w:sz w:val="24"/>
        </w:rPr>
        <w:t>), including the Payments paid or payable pursuant to this Agreement (the “</w:t>
      </w:r>
      <w:r>
        <w:rPr>
          <w:rFonts w:ascii="Times New Roman;serif" w:hAnsi="Times New Roman;serif"/>
          <w:b w:val="false"/>
          <w:color w:val="000000"/>
          <w:sz w:val="24"/>
          <w:u w:val="single"/>
        </w:rPr>
        <w:t>Agreement Payments</w:t>
      </w:r>
      <w:r>
        <w:rPr>
          <w:color w:val="000000"/>
        </w:rPr>
        <w:t>”</w:t>
      </w:r>
      <w:r>
        <w:rPr>
          <w:rFonts w:ascii="Times New Roman;serif" w:hAnsi="Times New Roman;serif"/>
          <w:b w:val="false"/>
          <w:color w:val="000000"/>
          <w:sz w:val="24"/>
        </w:rPr>
        <w:t>), 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reduced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that no excise tax will be imposed, but only if</w:t>
      </w:r>
      <w:r>
        <w:rPr>
          <w:color w:val="000000"/>
        </w:rPr>
        <w:t xml:space="preserve"> </w:t>
      </w:r>
      <w:r>
        <w:rPr>
          <w:rFonts w:ascii="Times New Roman;serif" w:hAnsi="Times New Roman;serif"/>
          <w:b w:val="false"/>
          <w:color w:val="000000"/>
          <w:sz w:val="24"/>
        </w:rPr>
        <w:t>to do so would result in the Executive retaining a larger amount, on an after-tax basis, taking into account the excise and income taxes imposed on all payments made</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 xml:space="preserve">If the Accounting Firm determines that the Agreement Payments should be reduced so that the Parachute Value of all Payments, in the aggregate, equals the Safe Harbor Amount, the Company shall promptly give the Executive notice to that effect and a copy of the detailed calculation thereof. All determinations made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Accounting Firm under this Section 9(c) shall be binding upon the Company. For purposes of reducing the Agreement Payments so that the Parachute Value of all Payments, in the aggregate, equals the Safe Harbor Amount, only amounts payable under the Agreement (and no other Payments) shall be reduced. The reduction of the amounts payable hereunder, if applicable, shall be made by reducing the payments and benefits under the following sections in the following order: (i) cash payments that may not be valued under Treas. Reg. § 1.280G-1, Q&amp;A-24(c) (“</w:t>
      </w:r>
      <w:r>
        <w:rPr>
          <w:rFonts w:ascii="Times New Roman;serif" w:hAnsi="Times New Roman;serif"/>
          <w:b w:val="false"/>
          <w:color w:val="000000"/>
          <w:sz w:val="24"/>
          <w:u w:val="single"/>
        </w:rPr>
        <w:t>24(c)</w:t>
      </w:r>
      <w:r>
        <w:rPr>
          <w:color w:val="000000"/>
        </w:rPr>
        <w:t>”</w:t>
      </w:r>
      <w:r>
        <w:rPr>
          <w:rFonts w:ascii="Times New Roman;serif" w:hAnsi="Times New Roman;serif"/>
          <w:b w:val="false"/>
          <w:color w:val="000000"/>
          <w:sz w:val="24"/>
        </w:rPr>
        <w:t>), (ii) equity-based payments that may not be valued under 24(c), (iii) cash payments that may be valued under 24(c), (iv) equity-based payments that may be valued under 24(c) and (v) other types of benefits. With respect to each category of the foregoing, such reduction shall occur first with respect to amounts that are not “deferred compensation” within the meaning of Section 409A of the Code and next with respect to payments that are deferred compensation, in each case, beginning with payments or benefits that are to be paid the farthest in time from the Accounting Firm’s determination. All fees and expenses of the Accounting Firm shall be borne solely by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(ii)To the extent requested by the Executive, the Company shall cooperate with the Executive in good faith in valuing, and the Accounting Firm shall take into account the value of, services provided or to be provided by the Executive (including the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Section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Accounting Firm</w:t>
      </w:r>
      <w:r>
        <w:rPr>
          <w:color w:val="000000"/>
        </w:rPr>
        <w:t xml:space="preserve">” </w:t>
      </w:r>
      <w:r>
        <w:rPr>
          <w:rFonts w:ascii="Times New Roman;serif" w:hAnsi="Times New Roman;serif"/>
          <w:b w:val="false"/>
          <w:color w:val="000000"/>
          <w:sz w:val="24"/>
        </w:rPr>
        <w:t>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and is reasonably acceptable to the Executive, which firm shall not, without the Executive’s consent, be a firm serving as accountant or auditor for the individual, entity or group effecting the Change in Control.</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Net After-Tax Receipt</w:t>
      </w:r>
      <w:r>
        <w:rPr>
          <w:color w:val="000000"/>
        </w:rPr>
        <w:t xml:space="preserve">” </w:t>
      </w:r>
      <w:r>
        <w:rPr>
          <w:rFonts w:ascii="Times New Roman;serif" w:hAnsi="Times New Roman;serif"/>
          <w:b w:val="false"/>
          <w:color w:val="000000"/>
          <w:sz w:val="24"/>
        </w:rPr>
        <w:t xml:space="preserve">shall mean the present value (as determined in accordance with Sections 280G(b)(2)(A)(ii) and 280G(d)(4) of the Code) of a Payment net of all taxes imposed on the Executive with respect thereto under Sections 1 and 4999 of the Code and under applicable state and local laws, determined by applying the highest marginal rate under Section 1 of the Code and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under state and local laws which applied to the Executive’s taxable income for the immediately preceding taxable year, or such other rate(s) as the Accounting Firm determines to be likely to apply to the Executive in the relevant tax year(s).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Parachute Value</w:t>
      </w:r>
      <w:r>
        <w:rPr>
          <w:color w:val="000000"/>
        </w:rPr>
        <w:t xml:space="preserve">” </w:t>
      </w:r>
      <w:r>
        <w:rPr>
          <w:rFonts w:ascii="Times New Roman;serif" w:hAnsi="Times New Roman;serif"/>
          <w:b w:val="false"/>
          <w:color w:val="000000"/>
          <w:sz w:val="24"/>
        </w:rPr>
        <w:t>of a Payment shall mean the present value as of the date of the change of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Safe Harbor Amount</w:t>
      </w:r>
      <w:r>
        <w:rPr>
          <w:color w:val="000000"/>
        </w:rPr>
        <w:t xml:space="preserve">” </w:t>
      </w:r>
      <w:r>
        <w:rPr>
          <w:rFonts w:ascii="Times New Roman;serif" w:hAnsi="Times New Roman;serif"/>
          <w:b w:val="false"/>
          <w:color w:val="000000"/>
          <w:sz w:val="24"/>
        </w:rPr>
        <w:t xml:space="preserve">shall mean 2.99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the Executive’s “base amount,” within the meaning of Section 280G(b)(3) of the Code.</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(e)Following a Change in Control, the Company agrees to pay as incurred (within 10 days following the Company’s receipt of an invoice from the Executive), to the full extent permitted by law, all legal fees and expenses that the Executive may reasonably incur as a result of any contest (regardless of the outcome thereof) by the Company, the Executive or others of the validity or enforceability of, or liability under, any provision of this Agreement or any guarantee of performance thereof whether such contest is between the Company and the Executive or between either of them and any third party (including as a result of any contest by the Executive about the amount of any payment pursuant to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Confidential</w:t>
      </w:r>
      <w:r>
        <w:rPr>
          <w:color w:val="000000"/>
          <w:u w:val="single"/>
        </w:rPr>
        <w:t xml:space="preserve"> </w:t>
      </w:r>
      <w:r>
        <w:rPr>
          <w:rFonts w:ascii="Times New Roman;serif" w:hAnsi="Times New Roman;serif"/>
          <w:b w:val="false"/>
          <w:color w:val="000000"/>
          <w:sz w:val="24"/>
          <w:u w:val="single"/>
        </w:rPr>
        <w:t>Information</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reliance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expectation</w:t>
      </w:r>
      <w:r>
        <w:rPr>
          <w:color w:val="000000"/>
        </w:rPr>
        <w:t xml:space="preserve"> </w:t>
      </w:r>
      <w:r>
        <w:rPr>
          <w:rFonts w:ascii="Times New Roman;serif" w:hAnsi="Times New Roman;serif"/>
          <w:b w:val="false"/>
          <w:color w:val="000000"/>
          <w:sz w:val="24"/>
        </w:rPr>
        <w:t>of the Executive’s continued commitment to performance of his duties and responsibilities related to the protection of the Company’s Confidential Information (defined below) and competitive business interests both during and after the term of this Agreement. The Executive</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 his position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considerable</w:t>
      </w:r>
      <w:r>
        <w:rPr>
          <w:color w:val="000000"/>
        </w:rPr>
        <w:t xml:space="preserve"> </w:t>
      </w:r>
      <w:r>
        <w:rPr>
          <w:rFonts w:ascii="Times New Roman;serif" w:hAnsi="Times New Roman;serif"/>
          <w:b w:val="false"/>
          <w:color w:val="000000"/>
          <w:sz w:val="24"/>
        </w:rPr>
        <w:t>responsibility</w:t>
      </w:r>
      <w:r>
        <w:rPr>
          <w:color w:val="000000"/>
        </w:rPr>
        <w:t xml:space="preserve"> </w:t>
      </w:r>
      <w:r>
        <w:rPr>
          <w:rFonts w:ascii="Times New Roman;serif" w:hAnsi="Times New Roman;serif"/>
          <w:b w:val="false"/>
          <w:color w:val="000000"/>
          <w:sz w:val="24"/>
        </w:rPr>
        <w:t>and requires that the Company expend time and resources to provide him the tools and Confidential Information necessary to perform his duties under this Agreement. It is the Company’s intent to protect its Confidential Information, in whatever form, whether written, electronic, spoken, or transmitted by facsimile, from and against unauthorized use, disclosure, destruction or modification. Maintaining its Confidential Information in the strictest confidence is essential for the Company’s continued success. The Company must also protect its reasonable competitive business interests by preventing employees and competitors from using its Confidential Information.</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(b)Throughout</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 the 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privy</w:t>
      </w:r>
      <w:r>
        <w:rPr>
          <w:color w:val="000000"/>
        </w:rPr>
        <w:t xml:space="preserve"> </w:t>
      </w:r>
      <w:r>
        <w:rPr>
          <w:rFonts w:ascii="Times New Roman;serif" w:hAnsi="Times New Roman;serif"/>
          <w:b w:val="false"/>
          <w:color w:val="000000"/>
          <w:sz w:val="24"/>
        </w:rPr>
        <w:t>to confidential information belonging to the Company in any form, whether in writing, orally, electronically,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u w:val="single"/>
        </w:rPr>
        <w:t>Confidential</w:t>
      </w:r>
      <w:r>
        <w:rPr>
          <w:color w:val="000000"/>
          <w:u w:val="single"/>
        </w:rPr>
        <w:t xml:space="preserve">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but is not limited to, any information that is or relates to:</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(i)information that is a trade secret under applicable trade secret or other law;</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241" w:after="240"/>
        <w:ind w:left="0" w:right="0" w:firstLine="720"/>
        <w:jc w:val="both"/>
        <w:rPr/>
      </w:pPr>
      <w:r>
        <w:rPr>
          <w:rFonts w:ascii="Times New Roman;serif" w:hAnsi="Times New Roman;serif"/>
          <w:b w:val="false"/>
          <w:color w:val="000000"/>
          <w:sz w:val="24"/>
        </w:rPr>
        <w:t>(ii)information</w:t>
      </w:r>
      <w:r>
        <w:rPr>
          <w:color w:val="000000"/>
        </w:rPr>
        <w:t xml:space="preserve"> </w:t>
      </w:r>
      <w:r>
        <w:rPr>
          <w:rFonts w:ascii="Times New Roman;serif" w:hAnsi="Times New Roman;serif"/>
          <w:b w:val="false"/>
          <w:color w:val="000000"/>
          <w:sz w:val="24"/>
        </w:rPr>
        <w:t>concerning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present</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affairs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historical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current financial statements, general ledgers, balance sheets and income statements; financial</w:t>
      </w:r>
      <w:r>
        <w:rPr>
          <w:color w:val="000000"/>
        </w:rPr>
        <w:t xml:space="preserve"> </w:t>
      </w:r>
      <w:r>
        <w:rPr>
          <w:rFonts w:ascii="Times New Roman;serif" w:hAnsi="Times New Roman;serif"/>
          <w:b w:val="false"/>
          <w:color w:val="000000"/>
          <w:sz w:val="24"/>
        </w:rPr>
        <w:t>projections,</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policies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budgets;</w:t>
      </w:r>
      <w:r>
        <w:rPr>
          <w:color w:val="000000"/>
        </w:rPr>
        <w:t xml:space="preserve"> </w:t>
      </w:r>
      <w:r>
        <w:rPr>
          <w:rFonts w:ascii="Times New Roman;serif" w:hAnsi="Times New Roman;serif"/>
          <w:b w:val="false"/>
          <w:color w:val="000000"/>
          <w:sz w:val="24"/>
        </w:rPr>
        <w:t>accounting</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tax</w:t>
      </w:r>
      <w:r>
        <w:rPr>
          <w:color w:val="000000"/>
        </w:rPr>
        <w:t xml:space="preserve"> </w:t>
      </w:r>
      <w:r>
        <w:rPr>
          <w:rFonts w:ascii="Times New Roman;serif" w:hAnsi="Times New Roman;serif"/>
          <w:b w:val="false"/>
          <w:color w:val="000000"/>
          <w:sz w:val="24"/>
        </w:rPr>
        <w:t>returns and accountants’ materials; information pertaining to accounting, financial reporting and auditing; bank statements; notes; accounts payable and receivable; historical,</w:t>
      </w:r>
      <w:r>
        <w:rPr>
          <w:color w:val="000000"/>
        </w:rPr>
        <w:t xml:space="preserve"> </w:t>
      </w:r>
      <w:r>
        <w:rPr>
          <w:rFonts w:ascii="Times New Roman;serif" w:hAnsi="Times New Roman;serif"/>
          <w:b w:val="false"/>
          <w:color w:val="000000"/>
          <w:sz w:val="24"/>
        </w:rPr>
        <w:t>current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projected</w:t>
      </w:r>
      <w:r>
        <w:rPr>
          <w:color w:val="000000"/>
        </w:rPr>
        <w:t xml:space="preserve"> </w:t>
      </w:r>
      <w:r>
        <w:rPr>
          <w:rFonts w:ascii="Times New Roman;serif" w:hAnsi="Times New Roman;serif"/>
          <w:b w:val="false"/>
          <w:color w:val="000000"/>
          <w:sz w:val="24"/>
        </w:rPr>
        <w:t>sales;</w:t>
      </w:r>
      <w:r>
        <w:rPr>
          <w:color w:val="000000"/>
        </w:rPr>
        <w:t xml:space="preserve"> </w:t>
      </w:r>
      <w:r>
        <w:rPr>
          <w:rFonts w:ascii="Times New Roman;serif" w:hAnsi="Times New Roman;serif"/>
          <w:b w:val="false"/>
          <w:color w:val="000000"/>
          <w:sz w:val="24"/>
        </w:rPr>
        <w:t>capital</w:t>
      </w:r>
      <w:r>
        <w:rPr>
          <w:color w:val="000000"/>
        </w:rPr>
        <w:t xml:space="preserve"> </w:t>
      </w:r>
      <w:r>
        <w:rPr>
          <w:rFonts w:ascii="Times New Roman;serif" w:hAnsi="Times New Roman;serif"/>
          <w:b w:val="false"/>
          <w:color w:val="000000"/>
          <w:sz w:val="24"/>
        </w:rPr>
        <w:t>spending</w:t>
      </w:r>
      <w:r>
        <w:rPr>
          <w:color w:val="000000"/>
        </w:rPr>
        <w:t xml:space="preserve"> </w:t>
      </w:r>
      <w:r>
        <w:rPr>
          <w:rFonts w:ascii="Times New Roman;serif" w:hAnsi="Times New Roman;serif"/>
          <w:b w:val="false"/>
          <w:color w:val="000000"/>
          <w:sz w:val="24"/>
        </w:rPr>
        <w:t>budgets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business plans and strategic methods; marketing techniques and advertising plans; legal matters, including but not limited to litigation strategy and attorney-client privileged information; publications; information pertaining to prospective customers, customers, customer lists and files, vendors, contractors, business partners; joint ventures or</w:t>
      </w:r>
      <w:r>
        <w:rPr>
          <w:color w:val="000000"/>
        </w:rPr>
        <w:t xml:space="preserve"> </w:t>
      </w:r>
      <w:r>
        <w:rPr>
          <w:rFonts w:ascii="Times New Roman;serif" w:hAnsi="Times New Roman;serif"/>
          <w:b w:val="false"/>
          <w:color w:val="000000"/>
          <w:sz w:val="24"/>
        </w:rPr>
        <w:t>acquisitions; pricing information; contracts; operational and/or administrative protocols, plans, or rules; human resource information including the names and backgrounds of</w:t>
      </w:r>
      <w:r>
        <w:rPr>
          <w:color w:val="000000"/>
        </w:rPr>
        <w:t xml:space="preserve"> </w:t>
      </w:r>
      <w:r>
        <w:rPr>
          <w:rFonts w:ascii="Times New Roman;serif" w:hAnsi="Times New Roman;serif"/>
          <w:b w:val="false"/>
          <w:color w:val="000000"/>
          <w:sz w:val="24"/>
        </w:rPr>
        <w:t>key personnel, personnel issues, salaries, bonuses, and incentive plans; all other information regarding the operation and administration</w:t>
      </w:r>
      <w:r>
        <w:rPr>
          <w:color w:val="000000"/>
        </w:rPr>
        <w:t xml:space="preserve"> </w:t>
      </w:r>
      <w:r>
        <w:rPr>
          <w:rFonts w:ascii="Times New Roman;serif" w:hAnsi="Times New Roman;serif"/>
          <w:b w:val="false"/>
          <w:color w:val="000000"/>
          <w:sz w:val="24"/>
        </w:rPr>
        <w:t>of the 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obtained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review of the Company’s or Affiliate’s documents or property or discussions with the Company or Affiliates regardless of the form of the communication;</w:t>
      </w:r>
    </w:p>
    <w:p>
      <w:pPr>
        <w:pStyle w:val="TextBody"/>
        <w:bidi w:val="0"/>
        <w:spacing w:lineRule="auto" w:line="288" w:before="79" w:after="283"/>
        <w:ind w:left="0" w:right="0" w:firstLine="720"/>
        <w:jc w:val="both"/>
        <w:rPr/>
      </w:pPr>
      <w:r>
        <w:rPr>
          <w:rFonts w:ascii="Times New Roman;serif" w:hAnsi="Times New Roman;serif"/>
          <w:b w:val="false"/>
          <w:color w:val="000000"/>
          <w:sz w:val="24"/>
        </w:rPr>
        <w:t>(iii)information not available to competitors of the Company or Affiliates, the use or disclosure of which might reasonably be construed to be contrary to the interests of the Company or Affiliates or give other persons or entities to whom such information is</w:t>
      </w:r>
      <w:r>
        <w:rPr>
          <w:color w:val="000000"/>
        </w:rPr>
        <w:t xml:space="preserve"> </w:t>
      </w:r>
      <w:r>
        <w:rPr>
          <w:rFonts w:ascii="Times New Roman;serif" w:hAnsi="Times New Roman;serif"/>
          <w:b w:val="false"/>
          <w:color w:val="000000"/>
          <w:sz w:val="24"/>
        </w:rPr>
        <w:t>disclosed a</w:t>
      </w:r>
      <w:r>
        <w:rPr>
          <w:color w:val="000000"/>
        </w:rPr>
        <w:t xml:space="preserve"> </w:t>
      </w:r>
      <w:r>
        <w:rPr>
          <w:rFonts w:ascii="Times New Roman;serif" w:hAnsi="Times New Roman;serif"/>
          <w:b w:val="false"/>
          <w:color w:val="000000"/>
          <w:sz w:val="24"/>
        </w:rPr>
        <w:t>competitive advantage over the Company or</w:t>
      </w:r>
      <w:r>
        <w:rPr>
          <w:color w:val="000000"/>
        </w:rPr>
        <w:t xml:space="preserve"> </w:t>
      </w:r>
      <w:r>
        <w:rPr>
          <w:rFonts w:ascii="Times New Roman;serif" w:hAnsi="Times New Roman;serif"/>
          <w:b w:val="false"/>
          <w:color w:val="000000"/>
          <w:sz w:val="24"/>
        </w:rPr>
        <w:t>Affiliates;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(iv)all notes, analyses, compilations, studies, summaries and other material prepared by the Company or Affiliates containing or based, in whole or in part, upon any information included in the above.</w:t>
      </w:r>
    </w:p>
    <w:p>
      <w:pPr>
        <w:pStyle w:val="TextBody"/>
        <w:bidi w:val="0"/>
        <w:spacing w:lineRule="auto" w:line="288" w:before="0" w:after="240"/>
        <w:jc w:val="both"/>
        <w:rPr/>
      </w:pPr>
      <w:r>
        <w:rPr>
          <w:rFonts w:ascii="Times New Roman;serif" w:hAnsi="Times New Roman;serif"/>
          <w:b w:val="false"/>
          <w:color w:val="000000"/>
          <w:sz w:val="24"/>
        </w:rPr>
        <w:t>Notwithstanding the foregoing, Confidential Information does not include information which (i) was disclosed to the public by the Company or becomes generally available to the public other than as a result of an unauthorized disclosure by the Executive or his representatives, or (ii) was or becomes available to the Executive on a non-confidential basis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source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advisors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source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 known</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to be</w:t>
      </w:r>
      <w:r>
        <w:rPr>
          <w:color w:val="000000"/>
        </w:rPr>
        <w:t xml:space="preserve"> </w:t>
      </w:r>
      <w:r>
        <w:rPr>
          <w:rFonts w:ascii="Times New Roman;serif" w:hAnsi="Times New Roman;serif"/>
          <w:b w:val="false"/>
          <w:color w:val="000000"/>
          <w:sz w:val="24"/>
        </w:rPr>
        <w:t>bound by a</w:t>
      </w:r>
      <w:r>
        <w:rPr>
          <w:color w:val="000000"/>
        </w:rPr>
        <w:t xml:space="preserve"> </w:t>
      </w:r>
      <w:r>
        <w:rPr>
          <w:rFonts w:ascii="Times New Roman;serif" w:hAnsi="Times New Roman;serif"/>
          <w:b w:val="false"/>
          <w:color w:val="000000"/>
          <w:sz w:val="24"/>
        </w:rPr>
        <w:t>confidentiality agreement with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 otherwise prohibited from transmitting the information to the Executive by a contractual, legal or fiduciary obligation.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(c)The Executive will not at any time, for so long as any Confidential Information</w:t>
      </w:r>
      <w:r>
        <w:rPr>
          <w:color w:val="000000"/>
        </w:rPr>
        <w:t xml:space="preserve"> </w:t>
      </w:r>
      <w:r>
        <w:rPr>
          <w:rFonts w:ascii="Times New Roman;serif" w:hAnsi="Times New Roman;serif"/>
          <w:b w:val="false"/>
          <w:color w:val="000000"/>
          <w:sz w:val="24"/>
        </w:rPr>
        <w:t>remains</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use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disclose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 indirectly, to any person outside of the Company and its Affiliates, unless compelled by judicial process. Upon receipt of judicial process or governmental request for such information,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notify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with the Company in efforts to limit such disclosure and shall not make such disclosure unless compelled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(d)Notwithstanding the above,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violated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criminally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civilly</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 law for the disclosure of a trade secret that is made in confidence to a Federal, State, or local government official or to an attorney solely for the purpose of reporting or investigating a suspected violation of law. In addition, the Executive shall not be deemed 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violated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criminally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civilly</w:t>
      </w:r>
      <w:r>
        <w:rPr>
          <w:color w:val="000000"/>
        </w:rPr>
        <w:t xml:space="preserve"> </w:t>
      </w:r>
      <w:r>
        <w:rPr>
          <w:rFonts w:ascii="Times New Roman;serif" w:hAnsi="Times New Roman;serif"/>
          <w:b w:val="false"/>
          <w:color w:val="000000"/>
          <w:sz w:val="24"/>
        </w:rPr>
        <w:t>liable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or State</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disclosure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complaint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 document filed in a lawsuit, arbitration or other proceeding, if such filing is made under seal. If the Executive files a lawsuit for retaliation by the Company for reporting a suspected violation of law, he may disclose the trade secret to his attorney and use the trade secret information in the court or arbitration proceeding, so long as the Executive files any document containing the trade secret under seal and does not further disclose the trade secret,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arbitral</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Nothing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to conflict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18</w:t>
      </w:r>
      <w:r>
        <w:rPr>
          <w:color w:val="000000"/>
        </w:rPr>
        <w:t xml:space="preserve"> </w:t>
      </w:r>
      <w:r>
        <w:rPr>
          <w:rFonts w:ascii="Times New Roman;serif" w:hAnsi="Times New Roman;serif"/>
          <w:b w:val="false"/>
          <w:color w:val="000000"/>
          <w:sz w:val="24"/>
        </w:rPr>
        <w:t>U.S.C.</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1833(b)</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create</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disclosures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trade</w:t>
      </w:r>
      <w:r>
        <w:rPr>
          <w:color w:val="000000"/>
        </w:rPr>
        <w:t xml:space="preserve"> </w:t>
      </w:r>
      <w:r>
        <w:rPr>
          <w:rFonts w:ascii="Times New Roman;serif" w:hAnsi="Times New Roman;serif"/>
          <w:b w:val="false"/>
          <w:color w:val="000000"/>
          <w:sz w:val="24"/>
        </w:rPr>
        <w:t>secrets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 expressly allowed by 18 U.S.C. § 1833(b).</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(e)Further, nothing in this Agreement or any other agreement that the Executive has with the Company or any of its Affiliates shall prohibit or restrict the Executive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voluntarily</w:t>
      </w:r>
      <w:r>
        <w:rPr>
          <w:color w:val="000000"/>
        </w:rPr>
        <w:t xml:space="preserve"> </w:t>
      </w:r>
      <w:r>
        <w:rPr>
          <w:rFonts w:ascii="Times New Roman;serif" w:hAnsi="Times New Roman;serif"/>
          <w:b w:val="false"/>
          <w:color w:val="000000"/>
          <w:sz w:val="24"/>
        </w:rPr>
        <w:t>communicating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attorney</w:t>
      </w:r>
      <w:r>
        <w:rPr>
          <w:color w:val="000000"/>
        </w:rPr>
        <w:t xml:space="preserve"> </w:t>
      </w:r>
      <w:r>
        <w:rPr>
          <w:rFonts w:ascii="Times New Roman;serif" w:hAnsi="Times New Roman;serif"/>
          <w:b w:val="false"/>
          <w:color w:val="000000"/>
          <w:sz w:val="24"/>
        </w:rPr>
        <w:t>retained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 (B)</w:t>
      </w:r>
      <w:r>
        <w:rPr>
          <w:color w:val="000000"/>
        </w:rPr>
        <w:t xml:space="preserve"> </w:t>
      </w:r>
      <w:r>
        <w:rPr>
          <w:rFonts w:ascii="Times New Roman;serif" w:hAnsi="Times New Roman;serif"/>
          <w:b w:val="false"/>
          <w:color w:val="000000"/>
          <w:sz w:val="24"/>
        </w:rPr>
        <w:t>voluntarily</w:t>
      </w:r>
      <w:r>
        <w:rPr>
          <w:color w:val="000000"/>
        </w:rPr>
        <w:t xml:space="preserve"> </w:t>
      </w:r>
      <w:r>
        <w:rPr>
          <w:rFonts w:ascii="Times New Roman;serif" w:hAnsi="Times New Roman;serif"/>
          <w:b w:val="false"/>
          <w:color w:val="000000"/>
          <w:sz w:val="24"/>
        </w:rPr>
        <w:t>communicating</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government</w:t>
      </w:r>
      <w:r>
        <w:rPr>
          <w:color w:val="000000"/>
        </w:rPr>
        <w:t xml:space="preserve"> </w:t>
      </w:r>
      <w:r>
        <w:rPr>
          <w:rFonts w:ascii="Times New Roman;serif" w:hAnsi="Times New Roman;serif"/>
          <w:b w:val="false"/>
          <w:color w:val="000000"/>
          <w:sz w:val="24"/>
        </w:rPr>
        <w:t>agency,</w:t>
      </w:r>
      <w:r>
        <w:rPr>
          <w:color w:val="000000"/>
        </w:rPr>
        <w:t xml:space="preserve"> </w:t>
      </w:r>
      <w:r>
        <w:rPr>
          <w:rFonts w:ascii="Times New Roman;serif" w:hAnsi="Times New Roman;serif"/>
          <w:b w:val="false"/>
          <w:color w:val="000000"/>
          <w:sz w:val="24"/>
        </w:rPr>
        <w:t>including 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Commission</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Opportunity Commission,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Attorney</w:t>
      </w:r>
      <w:r>
        <w:rPr>
          <w:color w:val="000000"/>
        </w:rPr>
        <w:t xml:space="preserve"> </w:t>
      </w:r>
      <w:r>
        <w:rPr>
          <w:rFonts w:ascii="Times New Roman;serif" w:hAnsi="Times New Roman;serif"/>
          <w:b w:val="false"/>
          <w:color w:val="000000"/>
          <w:sz w:val="24"/>
        </w:rPr>
        <w:t>General,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commission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human</w:t>
      </w:r>
      <w:r>
        <w:rPr>
          <w:color w:val="000000"/>
        </w:rPr>
        <w:t xml:space="preserve"> </w:t>
      </w:r>
      <w:r>
        <w:rPr>
          <w:rFonts w:ascii="Times New Roman;serif" w:hAnsi="Times New Roman;serif"/>
          <w:b w:val="false"/>
          <w:color w:val="000000"/>
          <w:sz w:val="24"/>
        </w:rPr>
        <w:t>rights, 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self-regulatory</w:t>
      </w:r>
      <w:r>
        <w:rPr>
          <w:color w:val="000000"/>
        </w:rPr>
        <w:t xml:space="preserve"> </w:t>
      </w:r>
      <w:r>
        <w:rPr>
          <w:rFonts w:ascii="Times New Roman;serif" w:hAnsi="Times New Roman;serif"/>
          <w:b w:val="false"/>
          <w:color w:val="000000"/>
          <w:sz w:val="24"/>
        </w:rPr>
        <w:t>organization</w:t>
      </w:r>
      <w:r>
        <w:rPr>
          <w:color w:val="000000"/>
        </w:rPr>
        <w:t xml:space="preserve"> </w:t>
      </w:r>
      <w:r>
        <w:rPr>
          <w:rFonts w:ascii="Times New Roman;serif" w:hAnsi="Times New Roman;serif"/>
          <w:b w:val="false"/>
          <w:color w:val="000000"/>
          <w:sz w:val="24"/>
        </w:rPr>
        <w:t>regarding</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violations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alleged criminal</w:t>
      </w:r>
      <w:r>
        <w:rPr>
          <w:color w:val="000000"/>
        </w:rPr>
        <w:t xml:space="preserve"> </w:t>
      </w:r>
      <w:r>
        <w:rPr>
          <w:rFonts w:ascii="Times New Roman;serif" w:hAnsi="Times New Roman;serif"/>
          <w:b w:val="false"/>
          <w:color w:val="000000"/>
          <w:sz w:val="24"/>
        </w:rPr>
        <w:t>conduct</w:t>
      </w:r>
      <w:r>
        <w:rPr>
          <w:color w:val="000000"/>
        </w:rPr>
        <w:t xml:space="preserve"> </w:t>
      </w:r>
      <w:r>
        <w:rPr>
          <w:rFonts w:ascii="Times New Roman;serif" w:hAnsi="Times New Roman;serif"/>
          <w:b w:val="false"/>
          <w:color w:val="000000"/>
          <w:sz w:val="24"/>
        </w:rPr>
        <w:t>or unlawful</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without advance</w:t>
      </w:r>
      <w:r>
        <w:rPr>
          <w:color w:val="000000"/>
        </w:rPr>
        <w:t xml:space="preserve"> </w:t>
      </w:r>
      <w:r>
        <w:rPr>
          <w:rFonts w:ascii="Times New Roman;serif" w:hAnsi="Times New Roman;serif"/>
          <w:b w:val="false"/>
          <w:color w:val="000000"/>
          <w:sz w:val="24"/>
        </w:rPr>
        <w:t>notice to the Company, or otherwise initiating, testifying, assisting, complying with a subpoena from,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participating</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investigation</w:t>
      </w:r>
      <w:r>
        <w:rPr>
          <w:color w:val="000000"/>
        </w:rPr>
        <w:t xml:space="preserve"> </w:t>
      </w:r>
      <w:r>
        <w:rPr>
          <w:rFonts w:ascii="Times New Roman;serif" w:hAnsi="Times New Roman;serif"/>
          <w:b w:val="false"/>
          <w:color w:val="000000"/>
          <w:sz w:val="24"/>
        </w:rPr>
        <w:t>conducted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government agency, (C) recovering an SEC whistleblower award as provided under Section 21F of the Securities Exchange Act of 1934, (D) disclosing any Confidential Information to a court or other administrative or legislative body in response to a subpoena from said court or administrative or legislative body, court order or written request (with advance notice to the Company or any of its Affiliates prior to any such disclosure to the extent legally permitted), (E) disclosing the underlying facts or circumstances relating to claims of discrimination,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prohibiting</w:t>
      </w:r>
      <w:r>
        <w:rPr>
          <w:color w:val="000000"/>
        </w:rPr>
        <w:t xml:space="preserve"> </w:t>
      </w:r>
      <w:r>
        <w:rPr>
          <w:rFonts w:ascii="Times New Roman;serif" w:hAnsi="Times New Roman;serif"/>
          <w:b w:val="false"/>
          <w:color w:val="000000"/>
          <w:sz w:val="24"/>
        </w:rPr>
        <w:t>discrimination,</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disclosing</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sexual</w:t>
      </w:r>
      <w:r>
        <w:rPr>
          <w:color w:val="000000"/>
        </w:rPr>
        <w:t xml:space="preserve"> </w:t>
      </w:r>
      <w:r>
        <w:rPr>
          <w:rFonts w:ascii="Times New Roman;serif" w:hAnsi="Times New Roman;serif"/>
          <w:b w:val="false"/>
          <w:color w:val="000000"/>
          <w:sz w:val="24"/>
        </w:rPr>
        <w:t>misconduct,</w:t>
      </w:r>
      <w:r>
        <w:rPr>
          <w:color w:val="000000"/>
        </w:rPr>
        <w:t xml:space="preserve"> </w:t>
      </w:r>
      <w:r>
        <w:rPr>
          <w:rFonts w:ascii="Times New Roman;serif" w:hAnsi="Times New Roman;serif"/>
          <w:b w:val="false"/>
          <w:color w:val="000000"/>
          <w:sz w:val="24"/>
        </w:rPr>
        <w:t>sexual harassment, sexual assault or other unlawful employment practices, or (F) disclosing any Confidential Information to the Executive’s personal attorneys for purposes of enforcing or interpreting this Agreement or any other material written agreement between the Executive and the Company or any of its Affiliates (or in the case of any other litigation 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arbitrator for the purpose of enforcing or interpreting this Agreement (or in the case of any other litigation</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Affiliates),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each case</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informed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Confidential</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and, as to the Executive’s attorneys, their obligation (contractual or otherwise) to keep such Confidential Information confidential.</w:t>
      </w:r>
    </w:p>
    <w:p>
      <w:pPr>
        <w:pStyle w:val="TextBody"/>
        <w:bidi w:val="0"/>
        <w:spacing w:lineRule="auto" w:line="288" w:before="241" w:after="283"/>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Covenant</w:t>
      </w:r>
      <w:r>
        <w:rPr>
          <w:color w:val="000000"/>
          <w:u w:val="single"/>
        </w:rPr>
        <w:t xml:space="preserve"> </w:t>
      </w:r>
      <w:r>
        <w:rPr>
          <w:rFonts w:ascii="Times New Roman;serif" w:hAnsi="Times New Roman;serif"/>
          <w:b w:val="false"/>
          <w:color w:val="000000"/>
          <w:sz w:val="24"/>
          <w:u w:val="single"/>
        </w:rPr>
        <w:t>Not</w:t>
      </w:r>
      <w:r>
        <w:rPr>
          <w:color w:val="000000"/>
          <w:u w:val="single"/>
        </w:rPr>
        <w:t xml:space="preserve"> </w:t>
      </w:r>
      <w:r>
        <w:rPr>
          <w:rFonts w:ascii="Times New Roman;serif" w:hAnsi="Times New Roman;serif"/>
          <w:b w:val="false"/>
          <w:color w:val="000000"/>
          <w:sz w:val="24"/>
          <w:u w:val="single"/>
        </w:rPr>
        <w:t>to</w:t>
      </w:r>
      <w:r>
        <w:rPr>
          <w:color w:val="000000"/>
          <w:u w:val="single"/>
        </w:rPr>
        <w:t xml:space="preserve"> </w:t>
      </w:r>
      <w:r>
        <w:rPr>
          <w:rFonts w:ascii="Times New Roman;serif" w:hAnsi="Times New Roman;serif"/>
          <w:b w:val="false"/>
          <w:color w:val="000000"/>
          <w:sz w:val="24"/>
          <w:u w:val="single"/>
        </w:rPr>
        <w:t>Compete;</w:t>
      </w:r>
      <w:r>
        <w:rPr>
          <w:color w:val="000000"/>
          <w:u w:val="single"/>
        </w:rPr>
        <w:t xml:space="preserve"> </w:t>
      </w:r>
      <w:r>
        <w:rPr>
          <w:rFonts w:ascii="Times New Roman;serif" w:hAnsi="Times New Roman;serif"/>
          <w:b w:val="false"/>
          <w:color w:val="000000"/>
          <w:sz w:val="24"/>
          <w:u w:val="single"/>
        </w:rPr>
        <w:t>Non-Solicitation; Non-Disparagement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241" w:after="283"/>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commencing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 ending upon the expiration of eighteen (18) months following the termination of the Executive’s employment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reason (other than if Term is not renewed pursuant to Section 2, in which case the period shall commence on the Effective Date and end upon the expiration of twelve (12) months following the termination of the Executive’s employment pursuant to the expiration of the Term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u w:val="single"/>
        </w:rPr>
        <w:t>Non-competition</w:t>
      </w:r>
      <w:r>
        <w:rPr>
          <w:color w:val="000000"/>
          <w:u w:val="single"/>
        </w:rPr>
        <w:t xml:space="preserve"> </w:t>
      </w:r>
      <w:r>
        <w:rPr>
          <w:rFonts w:ascii="Times New Roman;serif" w:hAnsi="Times New Roman;serif"/>
          <w:b w:val="false"/>
          <w:color w:val="000000"/>
          <w:sz w:val="24"/>
          <w:u w:val="single"/>
        </w:rPr>
        <w:t>Period</w:t>
      </w:r>
      <w:r>
        <w:rPr>
          <w:color w:val="000000"/>
        </w:rPr>
        <w:t>”</w:t>
      </w:r>
      <w:r>
        <w:rPr>
          <w:rFonts w:ascii="Times New Roman;serif" w:hAnsi="Times New Roman;serif"/>
          <w:b w:val="false"/>
          <w:color w:val="000000"/>
          <w:sz w:val="24"/>
        </w:rPr>
        <w:t>)); either</w:t>
      </w:r>
      <w:r>
        <w:rPr>
          <w:color w:val="000000"/>
        </w:rPr>
        <w:t xml:space="preserve"> </w:t>
      </w:r>
      <w:r>
        <w:rPr>
          <w:rFonts w:ascii="Times New Roman;serif" w:hAnsi="Times New Roman;serif"/>
          <w:b w:val="false"/>
          <w:color w:val="000000"/>
          <w:sz w:val="24"/>
        </w:rPr>
        <w:t>directly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indirectly,</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have an interest in or be associated with (whether as an officer, director, stockholder, partner, associate, employee, consultant, owner,</w:t>
      </w:r>
      <w:r>
        <w:rPr>
          <w:color w:val="000000"/>
        </w:rPr>
        <w:t xml:space="preserve"> </w:t>
      </w:r>
      <w:r>
        <w:rPr>
          <w:rFonts w:ascii="Times New Roman;serif" w:hAnsi="Times New Roman;serif"/>
          <w:b w:val="false"/>
          <w:color w:val="000000"/>
          <w:sz w:val="24"/>
        </w:rPr>
        <w:t>contractor,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any corporation, firm or enterprise</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businesses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including, without limitation, the development, ownership, leasing, management, financing or sales of</w:t>
      </w:r>
      <w:r>
        <w:rPr>
          <w:color w:val="000000"/>
        </w:rPr>
        <w:t xml:space="preserve"> </w:t>
      </w:r>
      <w:r>
        <w:rPr>
          <w:rFonts w:ascii="Times New Roman;serif" w:hAnsi="Times New Roman;serif"/>
          <w:b w:val="false"/>
          <w:color w:val="000000"/>
          <w:sz w:val="24"/>
        </w:rPr>
        <w:t>manufactured</w:t>
      </w:r>
      <w:r>
        <w:rPr>
          <w:color w:val="000000"/>
        </w:rPr>
        <w:t xml:space="preserve"> </w:t>
      </w:r>
      <w:r>
        <w:rPr>
          <w:rFonts w:ascii="Times New Roman;serif" w:hAnsi="Times New Roman;serif"/>
          <w:b w:val="false"/>
          <w:color w:val="000000"/>
          <w:sz w:val="24"/>
        </w:rPr>
        <w:t>housing</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recreational</w:t>
      </w:r>
      <w:r>
        <w:rPr>
          <w:color w:val="000000"/>
        </w:rPr>
        <w:t xml:space="preserve"> </w:t>
      </w:r>
      <w:r>
        <w:rPr>
          <w:rFonts w:ascii="Times New Roman;serif" w:hAnsi="Times New Roman;serif"/>
          <w:b w:val="false"/>
          <w:color w:val="000000"/>
          <w:sz w:val="24"/>
        </w:rPr>
        <w:t>vehicle</w:t>
      </w:r>
      <w:r>
        <w:rPr>
          <w:color w:val="000000"/>
        </w:rPr>
        <w:t xml:space="preserve"> </w:t>
      </w:r>
      <w:r>
        <w:rPr>
          <w:rFonts w:ascii="Times New Roman;serif" w:hAnsi="Times New Roman;serif"/>
          <w:b w:val="false"/>
          <w:color w:val="000000"/>
          <w:sz w:val="24"/>
        </w:rPr>
        <w:t>resorts or</w:t>
      </w:r>
      <w:r>
        <w:rPr>
          <w:color w:val="000000"/>
        </w:rPr>
        <w:t xml:space="preserve"> </w:t>
      </w:r>
      <w:r>
        <w:rPr>
          <w:rFonts w:ascii="Times New Roman;serif" w:hAnsi="Times New Roman;serif"/>
          <w:b w:val="false"/>
          <w:color w:val="000000"/>
          <w:sz w:val="24"/>
        </w:rPr>
        <w:t>camping or glamping resorts with detached dwellings, anywhere within the United States or any other country or territory in which the Company or its subsidiaries actively conducted any such business in the twelve (12) months preceding the Executive’s separation from employment; provided, however, that notwithstanding anything to the contrary herein, the Executive may invest in any publicly held corporation, if such investment does not exceed one percent (1.0%) in value of the issued and outstanding capital stock of such corporation, and the Executive does not directly or indirectly provide any services to such corporation; and provided, further, that the Executive may invest in any entity engaged in the business of development, ownership, leasing, sales, management or financing of single family or multi-family housing, condominiums, townhome communities or other forms of housing (in each case, other than manufactured</w:t>
      </w:r>
      <w:r>
        <w:rPr>
          <w:color w:val="000000"/>
        </w:rPr>
        <w:t xml:space="preserve"> </w:t>
      </w:r>
      <w:r>
        <w:rPr>
          <w:rFonts w:ascii="Times New Roman;serif" w:hAnsi="Times New Roman;serif"/>
          <w:b w:val="false"/>
          <w:color w:val="000000"/>
          <w:sz w:val="24"/>
        </w:rPr>
        <w:t>housing</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recreational</w:t>
      </w:r>
      <w:r>
        <w:rPr>
          <w:color w:val="000000"/>
        </w:rPr>
        <w:t xml:space="preserve"> </w:t>
      </w:r>
      <w:r>
        <w:rPr>
          <w:rFonts w:ascii="Times New Roman;serif" w:hAnsi="Times New Roman;serif"/>
          <w:b w:val="false"/>
          <w:color w:val="000000"/>
          <w:sz w:val="24"/>
        </w:rPr>
        <w:t>vehicle</w:t>
      </w:r>
      <w:r>
        <w:rPr>
          <w:color w:val="000000"/>
        </w:rPr>
        <w:t xml:space="preserve"> </w:t>
      </w:r>
      <w:r>
        <w:rPr>
          <w:rFonts w:ascii="Times New Roman;serif" w:hAnsi="Times New Roman;serif"/>
          <w:b w:val="false"/>
          <w:color w:val="000000"/>
          <w:sz w:val="24"/>
        </w:rPr>
        <w:t>resorts or</w:t>
      </w:r>
      <w:r>
        <w:rPr>
          <w:color w:val="000000"/>
        </w:rPr>
        <w:t xml:space="preserve"> </w:t>
      </w:r>
      <w:r>
        <w:rPr>
          <w:rFonts w:ascii="Times New Roman;serif" w:hAnsi="Times New Roman;serif"/>
          <w:b w:val="false"/>
          <w:color w:val="000000"/>
          <w:sz w:val="24"/>
        </w:rPr>
        <w:t>camping or glamping resorts with detached dwellings) if the Executive does not directly or indirectly provide any services to such entity (other than services incidental to the oversight of the Executive’s investment).</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(b)For a period commencing on the date of this Agreement and ending upon the expiration of the Non-competition Period, the Executive shall not, either directly or indirectly, divert, or by aid to others, do anything which would tend to divert, from the Company or any Affiliate any trade or business with any customer or supplier with whom the Executive had a direct, substantive business relationship, or for whom the Executive had direct responsibility, during the final twelve (12) months of the Executive’s employment with the Company or with any party whose identity or potential as a customer or supplier was confidential or learned by the Executive during his employment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(c)For a period commencing on the date of this Agreement and ending upon the expiration of the Non-competition</w:t>
      </w:r>
      <w:r>
        <w:rPr>
          <w:color w:val="000000"/>
        </w:rPr>
        <w:t xml:space="preserve"> </w:t>
      </w:r>
      <w:r>
        <w:rPr>
          <w:rFonts w:ascii="Times New Roman;serif" w:hAnsi="Times New Roman;serif"/>
          <w:b w:val="false"/>
          <w:color w:val="000000"/>
          <w:sz w:val="24"/>
        </w:rPr>
        <w:t xml:space="preserve">Period, the Executive shall not, directly or indirectly, (i) employ, hire, or enter into any contractual or business relationship with any employee, former employee, or independent contractor of the Company with whom the Executive worked directly or had a reporting relationship during the final twelve (12) months of the Executive's employment, or (ii) offer employment to, solicit, induce, or attempt to induce any employee, former employee or independent contractor of the Company to leave the employment of or terminate his, her, or its contractual relationship with the Company, unless such former employee or independent contractor has not been employed by or done business with the Company for more than twelve (12) months.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Notwithstanding the foregoing, this</w:t>
      </w:r>
      <w:r>
        <w:rPr>
          <w:color w:val="000000"/>
        </w:rPr>
        <w:t xml:space="preserve"> </w:t>
      </w:r>
      <w:r>
        <w:rPr>
          <w:rFonts w:ascii="Times New Roman;serif" w:hAnsi="Times New Roman;serif"/>
          <w:b w:val="false"/>
          <w:color w:val="000000"/>
          <w:sz w:val="24"/>
        </w:rPr>
        <w:t>Section 11(c) shall not apply to and shall not prohibit any general solicitation or general advertisements, the use of search firms (in each case not directed at, or targeted to, any person with whom the Executive was acquainted while employed by the Company), or the hiring of any person as a result thereof. Notwithstanding anything contained in this Agreement to the contrary, and for the avoidance of doubt, the obligations of the Executive pursuant to this Section 11(c) shall survive the termination of this Agreement until the expiration of the Non-competition Period.</w:t>
      </w:r>
    </w:p>
    <w:p>
      <w:pPr>
        <w:pStyle w:val="TextBody"/>
        <w:bidi w:val="0"/>
        <w:spacing w:lineRule="auto" w:line="288"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(d)During the Term and thereafter, the Executive shall refrain from making any false, negative, critical, or disparaging statements, whether oral or written, about or concerning the Company and its affiliates and their respective officers and directors. Following the Term, the Company shall instruct the Board and executive officers to refrain from making any false, negative, critical, or disparaging statements, whether oral or written, about or concerning the Executive. Nothing in this Section 11(d) shall be construed to prevent any party from making truthful statements or communications as required or permitted by applicable law, rule, or regulation, in response to a lawful subpoena, court order, or other compulsory legal process or to any governmental, regulatory, or law-enforcement agency or entity charged with enforcing the law, including but not limited to the Securities and Exchange Commission.</w:t>
      </w:r>
    </w:p>
    <w:p>
      <w:pPr>
        <w:pStyle w:val="TextBody"/>
        <w:bidi w:val="0"/>
        <w:spacing w:lineRule="auto" w:line="288" w:before="241" w:after="283"/>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Reasonableness</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Restrictive</w:t>
      </w:r>
      <w:r>
        <w:rPr>
          <w:color w:val="000000"/>
          <w:u w:val="single"/>
        </w:rPr>
        <w:t xml:space="preserve"> </w:t>
      </w:r>
      <w:r>
        <w:rPr>
          <w:rFonts w:ascii="Times New Roman;serif" w:hAnsi="Times New Roman;serif"/>
          <w:b w:val="false"/>
          <w:color w:val="000000"/>
          <w:sz w:val="24"/>
          <w:u w:val="single"/>
        </w:rPr>
        <w:t>Covenants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Executive acknowledges and agrees that the restrictions set forth in this Agreement, including without limitation the time period, scope and geographical restrictions in Sections 10 and 11, are fair and reasonable. The Executive recognizes that the Company conducts its business nationally and internationally and that these restrictions are reasonably tailored to protect the Company’s legitimate, global business interests and Confidential Information. The Executive has contemplated the effect that these restrictions may have upon him following termination of employment with the Company and that it will be necessary to structure his activities and operations so as not to violate this Agreement. Each party acknowledges and agrees that the restrictive covenants set forth in Sections 10 and 11 were negotiated at arm’s length, that the Executive has had the opportunity to consult with independent legal counsel of his choosing regarding the terms and implications of such covenants, and that the Executive enters into such covenants voluntarily and with full knowledge of their scope and effect.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(b)If the Executive violates any part of Section 11 of this Agreement during the period specified, such period will be extended for the time that the Executive is in violation of the Agreement. The purpose of this provision is to provide the Company with full compliance with Section 11 for the total period specified following the Executive’s termination.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(c)If</w:t>
      </w:r>
      <w:r>
        <w:rPr>
          <w:color w:val="000000"/>
        </w:rPr>
        <w:t xml:space="preserve"> </w:t>
      </w:r>
      <w:r>
        <w:rPr>
          <w:rFonts w:ascii="Times New Roman;serif" w:hAnsi="Times New Roman;serif"/>
          <w:b w:val="false"/>
          <w:color w:val="000000"/>
          <w:sz w:val="24"/>
        </w:rPr>
        <w:t xml:space="preserve">any court or arbitrator determines that any of the covenants, or any part of any covenant, is invalid or unenforceable, the remainder of the covenants shall not be affected and shall be given full effect, without regard to the invalid portion. If any court or arbitrator determines that any of the covenants, or any part of any covenant, is unenforceable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because of its duration, scope, or geographic restriction, such court or arbitrator shall have the power to reduce or narrow the duration, scope, or geographic restriction as the case may be, and enforce such provision in such reduced or narrowed form.</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(d)Sections 10 and 11 of this Agreement shall remain enforceable and shall survive the termination of the Executive’s employment and the termination of this Agreement, indefinitely, and shall not be deemed merged or extinguished by any act or omission, absent the specific signed written intention of the Company and the Executive to do so. The Executive agrees and understands that the remedy at law for any breach by him of Sections 10 or 11 will be inadequate and that the damages flowing from such breach are not readily susceptible to being measured in monetary terms. Accordingly, it is acknowledged that, upon adequate proof of the Executive’s violation of any provision of Sections 10 or 11 but without the necessity of proving actual damages, the Company shall be entitled to immediate injunctive relief and may obtain a temporary order restraining any threatened or further breach from any court of competent jurisdiction, or through the Arbitrator (as defined below) as set forth below (in the Company’s sole discretion). Nothing in this Section shall be deemed to limit the Company’s remedies at law or in equity for any breach by the Executive of any of the provisions of Sections 10 or 11 which may be pursued or availed of by the 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Arbitration.</w:t>
      </w:r>
      <w:r>
        <w:rPr>
          <w:color w:val="000000"/>
        </w:rPr>
        <w:t xml:space="preserve"> </w:t>
      </w:r>
      <w:r>
        <w:rPr>
          <w:rFonts w:ascii="Times New Roman;serif" w:hAnsi="Times New Roman;serif"/>
          <w:b w:val="false"/>
          <w:color w:val="000000"/>
          <w:sz w:val="24"/>
        </w:rPr>
        <w:t>Except as permitted in Section 12 above, any and all disputes, controversies or claims of any nature whatsoever relating to, or arising out of, this Agreement or the Executive’s employment, whether in contract, tort, or otherwise (including, without limitation, claims of wrongful termination of employment, claims under Title VII of the Civil Rights Act, the Fair Labor Standards Act, the Americans with Disabilities Act, the Age Discrimination in Employment Act, or comparable state or federal laws, and any other laws dealing with employees’ rights and remedies) (the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shall be settled by mandatory arbitration administered by the American Arbitration Association under its Employment/Workplace Arbitration Rules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Claims that, as a matter of law, cannot be compelled to arbitration under applicable federal, state, or local law are not covered by this arbitration agreement. This arbitration agreement applies to disputes between the Executive and the Company, as well as its officers, directors, members, agents, or employees in their capacity as such. Notwithstanding the Rules, the arbitration shall be conducted as follows: (a) a single arbitrator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mutually agreeable to the Company and the Executive, shall preside over the arbitration and shall make all decisions with respect to the resolution of the Claims; (b) in the event that the Company and the Executive are unable to agree on an Arbitrator within fifteen (15) days after either party has filed for arbitration in accordance with the Rules, they shall select a truly neutral arbitrator in accordance with the rules for the selection of neutral arbitrators, who shall be the “Arbitrator” for the purposes of this Section 13; (c) the place of arbitration shall be Southfield, Michigan unless mutually agreed otherwise; (d) judgment may be entered on any award rendered by the Arbitrator in any federal or state court having jurisdiction over the parties; (e) all fees and expenses of the Arbitrator shall be shared equally between the Company and the Executive; (f) the decision of the Arbitrator shall govern and shall be conclusive and binding upon the parties; (g) the parties shall be entitled to reasonable levels of discovery in accordance with the Federal Rules of Civil Procedure or as permitted by the Arbitrator, provided, however, that the time permitted for discovery shall not exceed eight (8) weeks absent agreement of the parties and each party shall be limited to two (2) depositions;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(h) this provision shall be enforceable by specific performance and/or injunctive relief, and shall constitute a basis for dismissal of any legal action brought in violation of the duty to arbitrate. The Arbitrator’s award must be a reasoned award, issued in writing, and signed by the Arbitrator. The decision or award of the Arbitrator will be final and binding upon the Executive and the Company. Any arbitral award may be entered as a judgment or order in the Oakland County Circuit Court. Any relief or recovery will be limited to that awarded by the Arbitrator. The parties hereby acknowledge that it is their intent to expedite the resolution of any dispute, controversy or claim hereunder and that the Arbitrator shall schedule the timing of discovery and of the hearing consistent with that intent. Notwithstanding anything to the contrary herein, nothing contained in this Section 13 shall be construed to preclude the Company from obtaining injunctive or other equitable relief from the Oakland County Circuit Court or other court with appropriate jurisdiction to secure specific performance or to otherwise prevent the Executive’s breach of Sections 10 or 11 of this Agreement.</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consents, waivers, and other communications under this Agreement must be in writing and will be deemed to have been duly given (a) if personally delivered, on the date of delivery, (b) if delivered by express courier service of national standing for</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charges</w:t>
      </w:r>
      <w:r>
        <w:rPr>
          <w:color w:val="000000"/>
        </w:rPr>
        <w:t xml:space="preserve"> </w:t>
      </w:r>
      <w:r>
        <w:rPr>
          <w:rFonts w:ascii="Times New Roman;serif" w:hAnsi="Times New Roman;serif"/>
          <w:b w:val="false"/>
          <w:color w:val="000000"/>
          <w:sz w:val="24"/>
        </w:rPr>
        <w:t>prepaid),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to such courier service, (c) if delivered by e-mail upon confirmation of successful transmission or appropriate response, on 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transmission if</w:t>
      </w:r>
      <w:r>
        <w:rPr>
          <w:color w:val="000000"/>
        </w:rPr>
        <w:t xml:space="preserve"> </w:t>
      </w:r>
      <w:r>
        <w:rPr>
          <w:rFonts w:ascii="Times New Roman;serif" w:hAnsi="Times New Roman;serif"/>
          <w:b w:val="false"/>
          <w:color w:val="000000"/>
          <w:sz w:val="24"/>
        </w:rPr>
        <w:t>on a business day before</w:t>
      </w:r>
      <w:r>
        <w:rPr>
          <w:color w:val="000000"/>
        </w:rPr>
        <w:t xml:space="preserve"> </w:t>
      </w:r>
      <w:r>
        <w:rPr>
          <w:rFonts w:ascii="Times New Roman;serif" w:hAnsi="Times New Roman;serif"/>
          <w:b w:val="false"/>
          <w:color w:val="000000"/>
          <w:sz w:val="24"/>
        </w:rPr>
        <w:t>5:00 p.m. local time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succeeding</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and (d) if deposited in the United States mail, first-class postage prepaid, on the date of delivery, in each case, to the appropriate addresses set forth below (or to such other addresses as a party may designate by notice to the other parties in accordance with this Section 14):</w:t>
      </w:r>
    </w:p>
    <w:p>
      <w:pPr>
        <w:pStyle w:val="TextBody"/>
        <w:bidi w:val="0"/>
        <w:spacing w:lineRule="auto" w:line="288" w:before="240"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SCOLP:</w:t>
      </w:r>
    </w:p>
    <w:p>
      <w:pPr>
        <w:pStyle w:val="TextBody"/>
        <w:bidi w:val="0"/>
        <w:spacing w:lineRule="auto" w:line="288" w:before="240" w:after="283"/>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p>
    <w:p>
      <w:pPr>
        <w:pStyle w:val="TextBody"/>
        <w:bidi w:val="0"/>
        <w:spacing w:lineRule="auto" w:line="288" w:before="0" w:after="0"/>
        <w:jc w:val="left"/>
        <w:rPr/>
      </w:pPr>
      <w:r>
        <w:rPr>
          <w:rFonts w:ascii="Times New Roman;serif" w:hAnsi="Times New Roman;serif"/>
          <w:b w:val="false"/>
          <w:color w:val="000000"/>
          <w:sz w:val="24"/>
        </w:rPr>
        <w:t>27777</w:t>
      </w:r>
      <w:r>
        <w:rPr>
          <w:color w:val="000000"/>
        </w:rPr>
        <w:t xml:space="preserve"> </w:t>
      </w:r>
      <w:r>
        <w:rPr>
          <w:rFonts w:ascii="Times New Roman;serif" w:hAnsi="Times New Roman;serif"/>
          <w:b w:val="false"/>
          <w:color w:val="000000"/>
          <w:sz w:val="24"/>
        </w:rPr>
        <w:t>Franklin</w:t>
      </w:r>
      <w:r>
        <w:rPr>
          <w:color w:val="000000"/>
        </w:rPr>
        <w:t xml:space="preserve"> </w:t>
      </w:r>
      <w:r>
        <w:rPr>
          <w:rFonts w:ascii="Times New Roman;serif" w:hAnsi="Times New Roman;serif"/>
          <w:b w:val="false"/>
          <w:color w:val="000000"/>
          <w:sz w:val="24"/>
        </w:rPr>
        <w:t>Road,</w:t>
      </w:r>
      <w:r>
        <w:rPr>
          <w:color w:val="000000"/>
        </w:rPr>
        <w:t xml:space="preserve"> </w:t>
      </w:r>
      <w:r>
        <w:rPr>
          <w:rFonts w:ascii="Times New Roman;serif" w:hAnsi="Times New Roman;serif"/>
          <w:b w:val="false"/>
          <w:color w:val="000000"/>
          <w:sz w:val="24"/>
        </w:rPr>
        <w:t>Suite 300</w:t>
      </w:r>
    </w:p>
    <w:p>
      <w:pPr>
        <w:pStyle w:val="TextBody"/>
        <w:bidi w:val="0"/>
        <w:spacing w:lineRule="auto" w:line="288" w:before="0" w:after="0"/>
        <w:jc w:val="left"/>
        <w:rPr/>
      </w:pPr>
      <w:r>
        <w:rPr>
          <w:rFonts w:ascii="Times New Roman;serif" w:hAnsi="Times New Roman;serif"/>
          <w:b w:val="false"/>
          <w:color w:val="000000"/>
          <w:sz w:val="24"/>
        </w:rPr>
        <w:t>Southfield,</w:t>
      </w:r>
      <w:r>
        <w:rPr>
          <w:color w:val="000000"/>
        </w:rPr>
        <w:t xml:space="preserve"> </w:t>
      </w:r>
      <w:r>
        <w:rPr>
          <w:rFonts w:ascii="Times New Roman;serif" w:hAnsi="Times New Roman;serif"/>
          <w:b w:val="false"/>
          <w:color w:val="000000"/>
          <w:sz w:val="24"/>
        </w:rPr>
        <w:t>Michigan</w:t>
      </w:r>
      <w:r>
        <w:rPr>
          <w:color w:val="000000"/>
        </w:rPr>
        <w:t xml:space="preserve"> </w:t>
      </w:r>
      <w:r>
        <w:rPr>
          <w:rFonts w:ascii="Times New Roman;serif" w:hAnsi="Times New Roman;serif"/>
          <w:b w:val="false"/>
          <w:color w:val="000000"/>
          <w:sz w:val="24"/>
        </w:rPr>
        <w:t>48034 Attn: Board of Directors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Compliance Officer</w:t>
      </w:r>
    </w:p>
    <w:p>
      <w:pPr>
        <w:pStyle w:val="TextBody"/>
        <w:bidi w:val="0"/>
        <w:spacing w:lineRule="auto" w:line="288" w:before="1" w:after="283"/>
        <w:jc w:val="left"/>
        <w:rPr/>
      </w:pP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complianceofficer@suncommunities.com</w:t>
      </w:r>
    </w:p>
    <w:p>
      <w:pPr>
        <w:pStyle w:val="TextBody"/>
        <w:bidi w:val="0"/>
        <w:spacing w:lineRule="auto" w:line="288" w:before="240" w:after="283"/>
        <w:jc w:val="left"/>
        <w:rPr/>
      </w:pP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address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file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p>
    <w:p>
      <w:pPr>
        <w:pStyle w:val="TextBody"/>
        <w:bidi w:val="0"/>
        <w:spacing w:lineRule="auto" w:line="288" w:before="241" w:after="283"/>
        <w:ind w:left="0" w:right="0" w:firstLine="719"/>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Cooperation in Future Matters</w:t>
      </w:r>
      <w:r>
        <w:rPr>
          <w:rFonts w:ascii="Times New Roman;serif" w:hAnsi="Times New Roman;serif"/>
          <w:b w:val="false"/>
          <w:color w:val="000000"/>
          <w:sz w:val="24"/>
        </w:rPr>
        <w:t xml:space="preserve">. The Executive hereby agrees that, for a period of eighteen (18) months following his termination of employment for any reason whatsoever, he shall cooperate with the Company’s reasonable requests relating to matters that pertain to the Executive’s employment by the Company, including, without limitation, providing information or limited consultation as to such matters, participating in legal proceedings, investigations or audits on behalf of the Company, or otherwise making himself reasonably available to the Company for other related purposes. Any such cooperation shall be performed at scheduled times taking into consideration the Executive’s other commitments, and the Executive shall be compensated at a reasonable hourly or per diem rate to be agreed upon by the parties to the extent such cooperation is required on more than an occasional and limited basis. The Executive shall not be required to perform such cooperation to the extent it conflicts with any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241" w:after="283"/>
        <w:jc w:val="both"/>
        <w:rPr>
          <w:rFonts w:ascii="Times New Roman;serif" w:hAnsi="Times New Roman;serif"/>
          <w:b w:val="false"/>
          <w:color w:val="000000"/>
          <w:sz w:val="24"/>
        </w:rPr>
      </w:pPr>
      <w:r>
        <w:rPr>
          <w:rFonts w:ascii="Times New Roman;serif" w:hAnsi="Times New Roman;serif"/>
          <w:b w:val="false"/>
          <w:color w:val="000000"/>
          <w:sz w:val="24"/>
        </w:rPr>
        <w:t>of exclusivity of services for another employer or otherwise, nor in any manner that in the good faith belief of the Executive would conflict with his rights under or ability to enforce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severable. If a court or other body of competent jurisdiction determines that any provision of this Agreement is invalid,</w:t>
      </w:r>
      <w:r>
        <w:rPr>
          <w:color w:val="000000"/>
        </w:rPr>
        <w:t xml:space="preserve"> </w:t>
      </w:r>
      <w:r>
        <w:rPr>
          <w:rFonts w:ascii="Times New Roman;serif" w:hAnsi="Times New Roman;serif"/>
          <w:b w:val="false"/>
          <w:color w:val="000000"/>
          <w:sz w:val="24"/>
        </w:rPr>
        <w:t>illegal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remaining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and any partially</w:t>
      </w:r>
      <w:r>
        <w:rPr>
          <w:color w:val="000000"/>
        </w:rPr>
        <w:t xml:space="preserve"> </w:t>
      </w:r>
      <w:r>
        <w:rPr>
          <w:rFonts w:ascii="Times New Roman;serif" w:hAnsi="Times New Roman;serif"/>
          <w:b w:val="false"/>
          <w:color w:val="000000"/>
          <w:sz w:val="24"/>
        </w:rPr>
        <w:t>unenforceable</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enforceable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jurisdiction nevertheless shall be binding and enforceable.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Assignment; Benefit</w:t>
      </w:r>
      <w:r>
        <w:rPr>
          <w:rFonts w:ascii="Times New Roman;serif" w:hAnsi="Times New Roman;serif"/>
          <w:b w:val="false"/>
          <w:color w:val="000000"/>
          <w:sz w:val="24"/>
        </w:rPr>
        <w:t>. This Agreement shall not be terminated by any merger or consolidation or other reorganization of the REIT or SCOLP. In the event any such merger, consolidation or reorganization of either of them shall be accomplished by transfer of stock or by transfer of assets or otherwise, the provisions of this Agreement 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binding</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surviving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resulting</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person.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This Agreement shall be binding upon and inure to the benefit of the executors, administrators,</w:t>
      </w:r>
      <w:r>
        <w:rPr>
          <w:color w:val="000000"/>
        </w:rPr>
        <w:t xml:space="preserve"> </w:t>
      </w:r>
      <w:r>
        <w:rPr>
          <w:rFonts w:ascii="Times New Roman;serif" w:hAnsi="Times New Roman;serif"/>
          <w:b w:val="false"/>
          <w:color w:val="000000"/>
          <w:sz w:val="24"/>
        </w:rPr>
        <w:t>heirs,</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except as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expressly</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assignable</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(except to an Affiliate of the Company in which event the Company shall remain liable if the Affiliate fails to meet any obligations to make payments or provide benefits or otherwise) or by the Executive.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Waivers and Enforcement</w:t>
      </w:r>
      <w:r>
        <w:rPr>
          <w:rFonts w:ascii="Times New Roman;serif" w:hAnsi="Times New Roman;serif"/>
          <w:b w:val="false"/>
          <w:color w:val="000000"/>
          <w:sz w:val="24"/>
        </w:rPr>
        <w:t>. The failure of either party to enforce any provision or protections of this Agreement shall not in any way be construed as a waiver of any such provision or provisions as to any future violations thereof, nor prevent that party thereafter from enforcing each and every other provision of this Agreement. The rights granted the parties herein are cumulative and the waiver of any single remedy shall not</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party’s</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assert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remedies</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 under the circumstances.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Withholding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withhold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payable under this Agreement all federal, state, city or other taxes as the Company is required to withhold pursuant to any applicable law, regulation or ruling. In respect of any of the Company's equity awards granted to the Executive that become taxable upon vesting, exercise or settlement, as applicable, at the relevant time that such shares become taxable to the Executive, the Executive shall be permitted, to the extent sufficient to cover applicable taxes,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execute a cashless broker-assisted sell-to-cover transaction of shares received in respect of such equity awards, or sell such shares to the Company in a cashless net-settlement transaction.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represents the entire understanding among the parties with respect to the subject matter hereof, and, as of the Effective Date,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this Agreement supersedes any and all prior understandings, agreements, plans and negotiations,</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oral,</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including, 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modifications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Agreement must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writing</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enforcement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modification is sought. Notwithstanding anything herein to the contrary, this Agreement and the obligations and commitments hereunder shall neither commence nor be of any force or effect prior to the Effective Date.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according to the laws of the State of Michigan.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Headings</w:t>
      </w:r>
      <w:r>
        <w:rPr>
          <w:rFonts w:ascii="Times New Roman;serif" w:hAnsi="Times New Roman;serif"/>
          <w:b w:val="false"/>
          <w:color w:val="000000"/>
          <w:sz w:val="24"/>
        </w:rPr>
        <w:t>. Captions and section headings used herein are for convenience and are not a part of this Agreement and shall not be used in construing it.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two or more counterparts, each of which shall be deemed an original, but all of which together shall constitute one and the same instrument.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Expenses</w:t>
      </w:r>
      <w:r>
        <w:rPr>
          <w:rFonts w:ascii="Times New Roman;serif" w:hAnsi="Times New Roman;serif"/>
          <w:b w:val="false"/>
          <w:color w:val="000000"/>
          <w:sz w:val="24"/>
        </w:rPr>
        <w:t>. Except as otherwise provided in Section 9(e) above, each party 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own</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fees,</w:t>
      </w:r>
      <w:r>
        <w:rPr>
          <w:color w:val="000000"/>
        </w:rPr>
        <w:t xml:space="preserve"> </w:t>
      </w:r>
      <w:r>
        <w:rPr>
          <w:rFonts w:ascii="Times New Roman;serif" w:hAnsi="Times New Roman;serif"/>
          <w:b w:val="false"/>
          <w:color w:val="000000"/>
          <w:sz w:val="24"/>
        </w:rPr>
        <w:t>incurred in connection with the transactions contemplated by this Agreement, including, without limitation, any fees incurred in connection with any arbitration arising out of the transactions contemplated by this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Section 409A</w:t>
      </w:r>
      <w:r>
        <w:rPr>
          <w:rFonts w:ascii="Times New Roman;serif" w:hAnsi="Times New Roman;serif"/>
          <w:b w:val="false"/>
          <w:color w:val="000000"/>
          <w:sz w:val="24"/>
        </w:rPr>
        <w:t>. The intent of the parties is that payments and benefits under this 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exempt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subject thereto, and accordingly, to the maximum extent permitted, this Agreement shall be interpreted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administered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therewith.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provision of</w:t>
      </w:r>
      <w:r>
        <w:rPr>
          <w:color w:val="000000"/>
        </w:rPr>
        <w:t xml:space="preserve"> </w:t>
      </w:r>
      <w:r>
        <w:rPr>
          <w:rFonts w:ascii="Times New Roman;serif" w:hAnsi="Times New Roman;serif"/>
          <w:b w:val="false"/>
          <w:color w:val="000000"/>
          <w:sz w:val="24"/>
        </w:rPr>
        <w:t>this 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referenced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mutually</w:t>
      </w:r>
      <w:r>
        <w:rPr>
          <w:color w:val="000000"/>
        </w:rPr>
        <w:t xml:space="preserve"> </w:t>
      </w:r>
      <w:r>
        <w:rPr>
          <w:rFonts w:ascii="Times New Roman;serif" w:hAnsi="Times New Roman;serif"/>
          <w:b w:val="false"/>
          <w:color w:val="000000"/>
          <w:sz w:val="24"/>
        </w:rPr>
        <w:t>agreed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parties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cooperate</w:t>
      </w:r>
      <w:r>
        <w:rPr>
          <w:color w:val="000000"/>
        </w:rPr>
        <w:t xml:space="preserve"> </w:t>
      </w:r>
      <w:r>
        <w:rPr>
          <w:rFonts w:ascii="Times New Roman;serif" w:hAnsi="Times New Roman;serif"/>
          <w:b w:val="false"/>
          <w:color w:val="000000"/>
          <w:sz w:val="24"/>
        </w:rPr>
        <w:t xml:space="preserve">reasonably to attempt to amend or modify this Agreement (or other agreement or award) in order to avoid a violation of Section 409A of the Code while attempting to preserve the economic intent of the applicable provision to the extent permitted by Section 409A of the Code. All payments to be made upon a termination of employment under this Agreement may only be made upon a “separation from service” under Section 409A of the Code to the extent necessary in order to avoid the imposition of penalty taxes on the Executive pursuant to Section 409A of the Code. Each amount to be paid or benefit to be provided under this Agreement shall be construed as a separate identified payment for purposes of Section 409A of the Code. Notwithstanding any other provision of this Agreement to the contrary, if the Executive is considered a “specified employee” for purposes of Section 409A of the Code (as determined in accordance with the methodology established by the Company as in effect on the date of termination), any payment that constitutes nonqualified deferred compensation within the meaning of Section 409A of the Code that is otherwise due to the Executive under this Agreement during the six-month period immediately following the Executive’s separation from service on account of the Executive’s separation from service shall instead be paid, on the first business day of the seventh month following the Executive’s separation from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Delayed Payment Date</w:t>
      </w:r>
      <w:r>
        <w:rPr>
          <w:color w:val="000000"/>
        </w:rPr>
        <w:t>”</w:t>
      </w:r>
      <w:r>
        <w:rPr>
          <w:rFonts w:ascii="Times New Roman;serif" w:hAnsi="Times New Roman;serif"/>
          <w:b w:val="false"/>
          <w:color w:val="000000"/>
          <w:sz w:val="24"/>
        </w:rPr>
        <w:t>), to the extent necessary to prevent the imposition of tax penalties on the Executive under Section 409A of the Code. If the Executive dies during the postponement period, the amounts and entitlements delayed on account of Section 409A of the Code shall be paid to the personal representative of the Executive’s estate on the first to occur of the Delayed Payment Date or thirty (30) calendar days after the date of the Executive’s death. To the extent required to avoid an accelerated or additional tax under Section 409A of the Code, amounts reimbursable to the Executive under this Agreement shall be paid to the Executive on or before the last day of the year 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eligible for reimbursement (and in kind benefits provided to the Executive) during one year may 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amounts</w:t>
      </w:r>
      <w:r>
        <w:rPr>
          <w:color w:val="000000"/>
        </w:rPr>
        <w:t xml:space="preserve"> </w:t>
      </w:r>
      <w:r>
        <w:rPr>
          <w:rFonts w:ascii="Times New Roman;serif" w:hAnsi="Times New Roman;serif"/>
          <w:b w:val="false"/>
          <w:color w:val="000000"/>
          <w:sz w:val="24"/>
        </w:rPr>
        <w:t>reimbursable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subsequent</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makes no representation that any or all of the payments described in this Agreement will be exempt from or comply with Section 409A of the Code and makes no undertaking to preclude Section 409A of the Code from applying to any such payment. In no event may the Executive, directly or indirectly, designate the calendar year of any payment under this Agreement, and to the extent required by Section 409A of the Code, any payment that may be paid in more than one taxable year shall be paid in the later taxable year. Notwithstanding anything to the contrary in this Agreement, all reimbursements and in-kind benefits provided under this Agreement that are subject to Section 409A of the Code shall be made in accordance with the requirements of Section 409A of the Code, including, where applicable, the requirement that (A) any reimbursement is for expenses incurred during the Executive’s lifetime (or during a shorter period of time specified in this Agreement); (B) the amount of expenses eligible for reimbursement, or in-kind benefits provided, during a calendar year may not affect the expenses eligible for reimbursement, or in-kind benefits to be provided, in any other calendar year; (C) the reimbursement of an eligible expense will be made no later than the last day of the calendar year following the year in which the expense is incurred; and (D) the right to reimbursement or in-kind benefits is not subject to liquidation or exchange for another benefit. For purposes of this</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16(j),</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include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Treasury</w:t>
      </w:r>
      <w:r>
        <w:rPr>
          <w:color w:val="000000"/>
        </w:rPr>
        <w:t xml:space="preserve"> </w:t>
      </w:r>
      <w:r>
        <w:rPr>
          <w:rFonts w:ascii="Times New Roman;serif" w:hAnsi="Times New Roman;serif"/>
          <w:b w:val="false"/>
          <w:color w:val="000000"/>
          <w:sz w:val="24"/>
        </w:rPr>
        <w:t>regulations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 other guidance promulgated thereunder or published with respect thereto.</w:t>
      </w:r>
    </w:p>
    <w:p>
      <w:pPr>
        <w:pStyle w:val="TextBody"/>
        <w:bidi w:val="0"/>
        <w:spacing w:before="242" w:after="283"/>
        <w:jc w:val="left"/>
        <w:rPr/>
      </w:pPr>
      <w:r>
        <w:rPr/>
      </w:r>
    </w:p>
    <w:p>
      <w:pPr>
        <w:pStyle w:val="TextBody"/>
        <w:bidi w:val="0"/>
        <w:spacing w:lineRule="auto" w:line="288" w:before="0" w:after="0"/>
        <w:jc w:val="center"/>
        <w:rPr/>
      </w:pPr>
      <w:r>
        <w:rPr>
          <w:rFonts w:ascii="Times New Roman;serif" w:hAnsi="Times New Roman;serif"/>
          <w:b w:val="false"/>
          <w:color w:val="000000"/>
          <w:sz w:val="24"/>
        </w:rPr>
        <w:t>[Signatures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79" w:after="283"/>
        <w:ind w:left="0" w:right="0" w:firstLine="719"/>
        <w:jc w:val="left"/>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WITNESS</w:t>
      </w:r>
      <w:r>
        <w:rPr>
          <w:color w:val="000000"/>
        </w:rPr>
        <w:t xml:space="preserve"> </w:t>
      </w:r>
      <w:r>
        <w:rPr>
          <w:rFonts w:ascii="Times New Roman;serif" w:hAnsi="Times New Roman;serif"/>
          <w:b w:val="false"/>
          <w:color w:val="000000"/>
          <w:sz w:val="24"/>
        </w:rPr>
        <w:t>WHEREOF,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Amended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Restated Employment Agreement effective as of the Effective Date.</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p>
    <w:p>
      <w:pPr>
        <w:pStyle w:val="TextBody"/>
        <w:bidi w:val="0"/>
        <w:spacing w:lineRule="auto" w:line="288" w:before="0" w:after="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Maryland</w:t>
      </w:r>
      <w:r>
        <w:rPr>
          <w:color w:val="000000"/>
        </w:rPr>
        <w:t xml:space="preserve"> </w:t>
      </w:r>
      <w:r>
        <w:rPr>
          <w:rFonts w:ascii="Times New Roman;serif" w:hAnsi="Times New Roman;serif"/>
          <w:b w:val="false"/>
          <w:color w:val="000000"/>
          <w:sz w:val="24"/>
        </w:rPr>
        <w:t>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/s/ Marc Farrugia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Marc Farrugia    </w:t>
      </w:r>
      <w:r>
        <w:rPr>
          <w:color w:val="000000"/>
        </w:rPr>
        <w:t xml:space="preserve"> </w:t>
      </w: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EVP, Chief Administrative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SCOLP: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OPERATING</w:t>
      </w:r>
      <w:r>
        <w:rPr>
          <w:color w:val="000000"/>
        </w:rPr>
        <w:t xml:space="preserve"> </w:t>
      </w:r>
      <w:r>
        <w:rPr>
          <w:rFonts w:ascii="Times New Roman;serif" w:hAnsi="Times New Roman;serif"/>
          <w:b w:val="false"/>
          <w:color w:val="000000"/>
          <w:sz w:val="24"/>
        </w:rPr>
        <w:t>LIMITED</w:t>
      </w:r>
    </w:p>
    <w:p>
      <w:pPr>
        <w:pStyle w:val="TextBody"/>
        <w:bidi w:val="0"/>
        <w:spacing w:lineRule="auto" w:line="288" w:before="0" w:after="0"/>
        <w:jc w:val="left"/>
        <w:rPr/>
      </w:pPr>
      <w:r>
        <w:rPr>
          <w:rFonts w:ascii="Times New Roman;serif" w:hAnsi="Times New Roman;serif"/>
          <w:b w:val="false"/>
          <w:color w:val="000000"/>
          <w:sz w:val="24"/>
        </w:rPr>
        <w:t>PARTNERSHIP,</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Michigan</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partnership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Sun</w:t>
      </w:r>
      <w:r>
        <w:rPr>
          <w:color w:val="000000"/>
        </w:rPr>
        <w:t xml:space="preserve"> </w:t>
      </w:r>
      <w:r>
        <w:rPr>
          <w:rFonts w:ascii="Times New Roman;serif" w:hAnsi="Times New Roman;serif"/>
          <w:b w:val="false"/>
          <w:color w:val="000000"/>
          <w:sz w:val="24"/>
        </w:rPr>
        <w:t>Communities,</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Maryland corporation, its General Partner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/s/ Marc Farrugia    </w:t>
      </w:r>
    </w:p>
    <w:p>
      <w:pPr>
        <w:pStyle w:val="TextBody"/>
        <w:bidi w:val="0"/>
        <w:spacing w:lineRule="auto" w:line="288" w:before="0" w:after="0"/>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Marc Farrugia    </w:t>
      </w:r>
      <w:r>
        <w:rPr>
          <w:color w:val="000000"/>
        </w:rPr>
        <w:t xml:space="preserve"> </w:t>
      </w: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EVP, Chief Administrative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Aaron Weiss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Aaron Weiss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41045"/>
                <wp:effectExtent l="0" t="0" r="0" b="0"/>
                <wp:wrapNone/>
                <wp:docPr id="30" name="Frame29"/>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1"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to Amended and</w:t>
                            </w:r>
                            <w:r>
                              <w:rPr>
                                <w:color w:val="000000"/>
                              </w:rPr>
                              <w:t xml:space="preserve"> </w:t>
                            </w:r>
                            <w:r>
                              <w:rPr>
                                <w:rFonts w:ascii="Times New Roman;serif" w:hAnsi="Times New Roman;serif"/>
                                <w:b w:val="false"/>
                                <w:i/>
                                <w:color w:val="000000"/>
                                <w:sz w:val="24"/>
                              </w:rPr>
                              <w:t>Restated Employment Agreement</w:t>
                            </w:r>
                            <w:r>
                              <w:rPr>
                                <w:rFonts w:ascii="Times New Roman;serif" w:hAnsi="Times New Roman;serif"/>
                                <w:b w:val="false"/>
                                <w:color w:val="000000"/>
                                <w:sz w:val="24"/>
                              </w:rPr>
                              <w: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1"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to Amended and</w:t>
                      </w:r>
                      <w:r>
                        <w:rPr>
                          <w:color w:val="000000"/>
                        </w:rPr>
                        <w:t xml:space="preserve"> </w:t>
                      </w:r>
                      <w:r>
                        <w:rPr>
                          <w:rFonts w:ascii="Times New Roman;serif" w:hAnsi="Times New Roman;serif"/>
                          <w:b w:val="false"/>
                          <w:i/>
                          <w:color w:val="000000"/>
                          <w:sz w:val="24"/>
                        </w:rPr>
                        <w:t>Restated Employment Agreement</w:t>
                      </w:r>
                      <w:r>
                        <w:rPr>
                          <w:rFonts w:ascii="Times New Roman;serif" w:hAnsi="Times New Roman;serif"/>
                          <w:b w:val="false"/>
                          <w:color w:val="000000"/>
                          <w:sz w:val="24"/>
                        </w:rPr>
                        <w:t>]</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13347</Words>
  <Characters>71848</Characters>
  <CharactersWithSpaces>85014</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