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17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1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June 1, 2026</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2931795</wp:posOffset>
            </wp:positionH>
            <wp:positionV relativeFrom="paragraph">
              <wp:posOffset>3810</wp:posOffset>
            </wp:positionV>
            <wp:extent cx="1314450" cy="354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0" cy="35433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SUN COMMUNITIES,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288"/>
          </w:cols>
          <w:pgMar w:left="292" w:top="704" w:right="319" w:bottom="1440" w:gutter="0" w:footer="0" w:header="0"/>
        </w:sectPr>
      </w:pPr>
    </w:p>
    <w:p>
      <w:pPr>
        <w:spacing w:after="0" w:line="17"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1" w:lineRule="exact"/>
        <w:rPr>
          <w:sz w:val="24"/>
          <w:szCs w:val="24"/>
          <w:color w:val="auto"/>
        </w:rPr>
      </w:pPr>
    </w:p>
    <w:p>
      <w:pPr>
        <w:jc w:val="center"/>
        <w:ind w:right="272"/>
        <w:spacing w:after="0"/>
        <w:rPr>
          <w:sz w:val="20"/>
          <w:szCs w:val="20"/>
          <w:color w:val="auto"/>
        </w:rPr>
      </w:pPr>
      <w:r>
        <w:rPr>
          <w:rFonts w:ascii="Times New Roman" w:cs="Times New Roman" w:eastAsia="Times New Roman" w:hAnsi="Times New Roman"/>
          <w:sz w:val="12"/>
          <w:szCs w:val="12"/>
          <w:color w:val="auto"/>
        </w:rPr>
        <w:t>(State of Incorporation)</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1-12616</w:t>
      </w:r>
    </w:p>
    <w:p>
      <w:pPr>
        <w:spacing w:after="0" w:line="2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jc w:val="center"/>
        <w:ind w:right="720"/>
        <w:spacing w:after="0"/>
        <w:rPr>
          <w:sz w:val="20"/>
          <w:szCs w:val="20"/>
          <w:color w:val="auto"/>
        </w:rPr>
      </w:pPr>
      <w:r>
        <w:rPr>
          <w:rFonts w:ascii="Times New Roman" w:cs="Times New Roman" w:eastAsia="Times New Roman" w:hAnsi="Times New Roman"/>
          <w:sz w:val="12"/>
          <w:szCs w:val="12"/>
          <w:b w:val="1"/>
          <w:bCs w:val="1"/>
          <w:color w:val="auto"/>
        </w:rPr>
        <w:t>38-2730780</w:t>
      </w:r>
    </w:p>
    <w:p>
      <w:pPr>
        <w:spacing w:after="0" w:line="2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64" w:lineRule="exact"/>
        <w:rPr>
          <w:sz w:val="24"/>
          <w:szCs w:val="24"/>
          <w:color w:val="auto"/>
        </w:rPr>
      </w:pPr>
    </w:p>
    <w:p>
      <w:pPr>
        <w:sectPr>
          <w:pgSz w:w="11900" w:h="16838" w:orient="portrait"/>
          <w:cols w:equalWidth="0" w:num="3">
            <w:col w:w="5228" w:space="720"/>
            <w:col w:w="2160" w:space="720"/>
            <w:col w:w="2460"/>
          </w:cols>
          <w:pgMar w:left="292" w:top="704" w:right="319" w:bottom="1440" w:gutter="0" w:footer="0" w:header="0"/>
          <w:type w:val="continuous"/>
        </w:sectPr>
      </w:pPr>
    </w:p>
    <w:p>
      <w:pPr>
        <w:jc w:val="right"/>
        <w:ind w:left="868"/>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27777 Franklin Rd. Suite 300,        Southfield, </w:t>
      </w: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Michigan</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48034</w:t>
      </w:r>
    </w:p>
    <w:p>
      <w:pPr>
        <w:spacing w:after="0" w:line="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1"/>
          <w:szCs w:val="11"/>
          <w:color w:val="auto"/>
        </w:rPr>
        <w:t>(Zip Code)</w:t>
      </w:r>
    </w:p>
    <w:p>
      <w:pPr>
        <w:spacing w:after="0" w:line="74" w:lineRule="exact"/>
        <w:rPr>
          <w:sz w:val="24"/>
          <w:szCs w:val="24"/>
          <w:color w:val="auto"/>
        </w:rPr>
      </w:pPr>
    </w:p>
    <w:p>
      <w:pPr>
        <w:sectPr>
          <w:pgSz w:w="11900" w:h="16838" w:orient="portrait"/>
          <w:cols w:equalWidth="0" w:num="3">
            <w:col w:w="3468" w:space="540"/>
            <w:col w:w="4720" w:space="720"/>
            <w:col w:w="1840"/>
          </w:cols>
          <w:pgMar w:left="292" w:top="704" w:right="319" w:bottom="1440" w:gutter="0" w:footer="0" w:header="0"/>
          <w:type w:val="continuous"/>
        </w:sect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(248) 208-2500</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ectPr>
          <w:pgSz w:w="11900" w:h="16838" w:orient="portrait"/>
          <w:cols w:equalWidth="0" w:num="1">
            <w:col w:w="11288"/>
          </w:cols>
          <w:pgMar w:left="292" w:top="704" w:right="319" w:bottom="1440" w:gutter="0" w:footer="0" w:header="0"/>
          <w:type w:val="continuous"/>
        </w:sectPr>
      </w:pPr>
    </w:p>
    <w:p>
      <w:pPr>
        <w:spacing w:after="0" w:line="33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4"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356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660" w:type="dxa"/>
            <w:vAlign w:val="bottom"/>
          </w:tcPr>
          <w:p>
            <w:pPr>
              <w:spacing w:after="0"/>
              <w:rPr>
                <w:sz w:val="13"/>
                <w:szCs w:val="13"/>
                <w:color w:val="auto"/>
              </w:rPr>
            </w:pP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60" w:type="dxa"/>
            <w:vAlign w:val="bottom"/>
          </w:tcPr>
          <w:p>
            <w:pPr>
              <w:spacing w:after="0"/>
              <w:rPr>
                <w:sz w:val="19"/>
                <w:szCs w:val="19"/>
                <w:color w:val="auto"/>
              </w:rPr>
            </w:pPr>
          </w:p>
        </w:tc>
        <w:tc>
          <w:tcPr>
            <w:tcW w:w="3400" w:type="dxa"/>
            <w:vAlign w:val="bottom"/>
            <w:gridSpan w:val="3"/>
          </w:tcPr>
          <w:p>
            <w:pPr>
              <w:jc w:val="center"/>
              <w:ind w:right="66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66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3660" w:type="dxa"/>
            <w:vAlign w:val="bottom"/>
          </w:tcPr>
          <w:p>
            <w:pPr>
              <w:spacing w:after="0"/>
              <w:rPr>
                <w:sz w:val="2"/>
                <w:szCs w:val="2"/>
                <w:color w:val="auto"/>
              </w:rPr>
            </w:pPr>
          </w:p>
        </w:tc>
      </w:tr>
      <w:tr>
        <w:trPr>
          <w:trHeight w:val="14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160" w:type="dxa"/>
            <w:vAlign w:val="bottom"/>
          </w:tcPr>
          <w:p>
            <w:pPr>
              <w:spacing w:after="0"/>
              <w:rPr>
                <w:sz w:val="12"/>
                <w:szCs w:val="12"/>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SUI</w:t>
            </w: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tcPr>
          <w:p>
            <w:pPr>
              <w:jc w:val="center"/>
              <w:ind w:right="440"/>
              <w:spacing w:after="0"/>
              <w:rPr>
                <w:sz w:val="20"/>
                <w:szCs w:val="20"/>
                <w:color w:val="auto"/>
              </w:rPr>
            </w:pPr>
            <w:r>
              <w:rPr>
                <w:rFonts w:ascii="Times New Roman" w:cs="Times New Roman" w:eastAsia="Times New Roman" w:hAnsi="Times New Roman"/>
                <w:sz w:val="12"/>
                <w:szCs w:val="12"/>
                <w:color w:val="auto"/>
                <w:w w:val="97"/>
              </w:rPr>
              <w:t>New York Stock Exchange</w:t>
            </w:r>
          </w:p>
        </w:tc>
      </w:tr>
    </w:tbl>
    <w:p>
      <w:pPr>
        <w:spacing w:after="0" w:line="239" w:lineRule="exact"/>
        <w:rPr>
          <w:sz w:val="24"/>
          <w:szCs w:val="24"/>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68" w:lineRule="exact"/>
        <w:rPr>
          <w:sz w:val="24"/>
          <w:szCs w:val="24"/>
          <w:color w:val="auto"/>
        </w:rPr>
      </w:pPr>
    </w:p>
    <w:p>
      <w:pPr>
        <w:ind w:left="8" w:right="4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347980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4" w:right="319" w:bottom="1440" w:gutter="0" w:footer="0" w:header="0"/>
          <w:type w:val="continuous"/>
        </w:sectPr>
      </w:pPr>
    </w:p>
    <w:bookmarkStart w:id="1" w:name="page2"/>
    <w:bookmarkEnd w:id="1"/>
    <w:p>
      <w:pPr>
        <w:ind w:left="60"/>
        <w:spacing w:after="0"/>
        <w:tabs>
          <w:tab w:leader="none" w:pos="18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Attached as Exhibit 99.1 to, and incorporated by reference in, this report is an investor presentation of Sun Communities, Inc. (the "Company") that will be made available to investors beginning on June 1, 2026. The presentation also will be posted on Sun Communities, Inc.'s website, www.suninc.com/investor-relations, on June 1, 2026.</w:t>
      </w:r>
    </w:p>
    <w:p>
      <w:pPr>
        <w:spacing w:after="0" w:line="1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contained and incorporated by reference in this Item 7.01 on Current Report on Form 8-K, including Exhibit 99.1 attached hereto, is being furnished and shall not be deemed to be "filed" for purposes of the Securities Exchange Act of 1934, as amended.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report contains various "forward-looking statements" within the meaning of the Securities Act of 1933, as amended (the "Securities Act"), and the Securities Exchange Act of 1934, as amended (the "Exchange Act"), and the Company intends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this document, some of which are beyond the Company's control. These risks, uncertainties, and other factors may cause the Company's actual results to be materially different from any future results expressed or implied by such forward-looking statements. In addition to the risks described under "Risk Factors" contained in the Company's Annual Report on Form 10-K for the year ended December 31, 2025, and in the Company's other filings with the Securities and Exchange Commission, from time to time, such risks, uncertainties and other factors include, but are not limited to:</w:t>
      </w:r>
    </w:p>
    <w:p>
      <w:pPr>
        <w:sectPr>
          <w:pgSz w:w="11900" w:h="16838" w:orient="portrait"/>
          <w:cols w:equalWidth="0" w:num="1">
            <w:col w:w="11300"/>
          </w:cols>
          <w:pgMar w:left="300" w:top="665" w:right="299" w:bottom="1440" w:gutter="0" w:footer="0" w:header="0"/>
        </w:sectPr>
      </w:pP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ability of the Company to complete the proposed sale of Park Holidays on a timely basis or at all;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Risks that the proposed sale of Park Holidays disrupts current plans and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impacts of the announcement or consummation of the proposed sale of Park Holidays on business relationships;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anticipated cost related to the proposed sale of Park Holidays;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ability for the Company to realize the anticipated benefits of the proposed sale of Park Holidays;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liquidity and refinancing demands;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ability to obtain or refinance maturing debt;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ability to maintain compliance with covenants contained in its debt facilities and its unsecured notes;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Availability of capital;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General volatility of the capital markets and the market price of shares of the Company's capital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Increases in interest rates and operating costs, including insurance premiums, real estate taxes, and utilities;</w:t>
      </w:r>
    </w:p>
    <w:p>
      <w:pPr>
        <w:spacing w:after="0" w:line="126" w:lineRule="exact"/>
        <w:rPr>
          <w:sz w:val="20"/>
          <w:szCs w:val="20"/>
          <w:color w:val="auto"/>
        </w:rPr>
      </w:pPr>
    </w:p>
    <w:p>
      <w:pPr>
        <w:ind w:right="4920"/>
        <w:spacing w:after="0" w:line="478" w:lineRule="auto"/>
        <w:rPr>
          <w:sz w:val="20"/>
          <w:szCs w:val="20"/>
          <w:color w:val="auto"/>
        </w:rPr>
      </w:pPr>
      <w:r>
        <w:rPr>
          <w:rFonts w:ascii="Times New Roman" w:cs="Times New Roman" w:eastAsia="Times New Roman" w:hAnsi="Times New Roman"/>
          <w:sz w:val="11"/>
          <w:szCs w:val="11"/>
          <w:color w:val="auto"/>
        </w:rPr>
        <w:t>Difficulties in the Company's ability to evaluate, finance, complete, and integrate acquisitions, developments, and expansions successfully; Competitive market forces;</w:t>
      </w:r>
    </w:p>
    <w:p>
      <w:pPr>
        <w:spacing w:after="0"/>
        <w:rPr>
          <w:sz w:val="20"/>
          <w:szCs w:val="20"/>
          <w:color w:val="auto"/>
        </w:rPr>
      </w:pPr>
      <w:r>
        <w:rPr>
          <w:rFonts w:ascii="Times New Roman" w:cs="Times New Roman" w:eastAsia="Times New Roman" w:hAnsi="Times New Roman"/>
          <w:sz w:val="11"/>
          <w:szCs w:val="11"/>
          <w:color w:val="auto"/>
        </w:rPr>
        <w:t>The ability of purchasers of manufactured homes to obtain financing;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level of repossessions of manufactured homes;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ability to maintain effective internal control over financial reporting and disclosure 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Expectations regarding the amount or frequency of impairment losses;</w:t>
      </w:r>
    </w:p>
    <w:p>
      <w:pPr>
        <w:spacing w:after="0" w:line="27"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1"/>
          <w:szCs w:val="11"/>
          <w:color w:val="auto"/>
        </w:rPr>
        <w:t>Changes in general economic conditions, including inflation, deflation, energy costs, the real estate industry, the effects of tariffs or threats of tariffs, wars or other international conflicts, trade wars, immigration issues, supply chain disruptions, and the markets within which the Company operates;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Changes in foreign currency exchange rates, including between the U.S. dollar and each of the British pound sterling, Canadian dollar, and Australian dollar;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ability to maintain its status as a REIT;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Changes in real estate and zoning laws and regulations;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ability to maintain rental rates and occupancy levels;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Legislative or regulatory changes, including changes to laws governing the taxation of REITs;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Outbreaks of disease and related restrictions on business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Risks related to natural disasters such as hurricanes, earthquakes, floods, droughts, and wildfires; and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Litigation, judgments or settlements, including costs associated with prosecuting or defending claims and any adverse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408940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80" w:space="240"/>
            <w:col w:w="10780"/>
          </w:cols>
          <w:pgMar w:left="300" w:top="665" w:right="299" w:bottom="1440" w:gutter="0" w:footer="0" w:header="0"/>
          <w:type w:val="continuous"/>
        </w:sectPr>
      </w:pPr>
    </w:p>
    <w:bookmarkStart w:id="2" w:name="page3"/>
    <w:bookmarkEnd w:id="2"/>
    <w:p>
      <w:pPr>
        <w:ind w:left="8"/>
        <w:spacing w:after="0" w:line="279" w:lineRule="auto"/>
        <w:rPr>
          <w:sz w:val="20"/>
          <w:szCs w:val="20"/>
          <w:color w:val="auto"/>
        </w:rPr>
      </w:pPr>
      <w:r>
        <w:rPr>
          <w:rFonts w:ascii="Times New Roman" w:cs="Times New Roman" w:eastAsia="Times New Roman" w:hAnsi="Times New Roman"/>
          <w:sz w:val="12"/>
          <w:szCs w:val="12"/>
          <w:color w:val="auto"/>
        </w:rPr>
        <w:t>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w:t>
      </w:r>
    </w:p>
    <w:p>
      <w:pPr>
        <w:spacing w:after="0" w:line="129"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w:t>
      </w:r>
    </w:p>
    <w:p>
      <w:pPr>
        <w:spacing w:after="0" w:line="152" w:lineRule="exact"/>
        <w:rPr>
          <w:sz w:val="20"/>
          <w:szCs w:val="20"/>
          <w:color w:val="auto"/>
        </w:rPr>
      </w:pPr>
    </w:p>
    <w:p>
      <w:pPr>
        <w:ind w:left="68"/>
        <w:spacing w:after="0"/>
        <w:tabs>
          <w:tab w:leader="none" w:pos="182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51" w:lineRule="exact"/>
        <w:rPr>
          <w:sz w:val="20"/>
          <w:szCs w:val="20"/>
          <w:color w:val="auto"/>
        </w:rPr>
      </w:pPr>
    </w:p>
    <w:p>
      <w:pPr>
        <w:ind w:left="388" w:hanging="388"/>
        <w:spacing w:after="0"/>
        <w:tabs>
          <w:tab w:leader="none" w:pos="38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p>
    <w:p>
      <w:pPr>
        <w:spacing w:after="0" w:line="355" w:lineRule="exact"/>
        <w:rPr>
          <w:sz w:val="20"/>
          <w:szCs w:val="20"/>
          <w:color w:val="auto"/>
        </w:rPr>
      </w:pPr>
    </w:p>
    <w:p>
      <w:pPr>
        <w:ind w:left="68"/>
        <w:spacing w:after="0"/>
        <w:tabs>
          <w:tab w:leader="none" w:pos="1828" w:val="left"/>
        </w:tabs>
        <w:rPr>
          <w:sz w:val="20"/>
          <w:szCs w:val="20"/>
          <w:color w:val="auto"/>
        </w:rPr>
      </w:pPr>
      <w:r>
        <w:rPr>
          <w:rFonts w:ascii="Times New Roman" w:cs="Times New Roman" w:eastAsia="Times New Roman" w:hAnsi="Times New Roman"/>
          <w:sz w:val="12"/>
          <w:szCs w:val="12"/>
          <w:b w:val="1"/>
          <w:bCs w:val="1"/>
          <w:u w:val="single" w:color="auto"/>
          <w:color w:val="auto"/>
        </w:rPr>
        <w:t>Exhibit No.</w:t>
      </w:r>
      <w:r>
        <w:rPr>
          <w:sz w:val="20"/>
          <w:szCs w:val="20"/>
          <w:color w:val="auto"/>
        </w:rPr>
        <w:tab/>
      </w:r>
      <w:r>
        <w:rPr>
          <w:rFonts w:ascii="Times New Roman" w:cs="Times New Roman" w:eastAsia="Times New Roman" w:hAnsi="Times New Roman"/>
          <w:sz w:val="11"/>
          <w:szCs w:val="11"/>
          <w:b w:val="1"/>
          <w:bCs w:val="1"/>
          <w:u w:val="single" w:color="auto"/>
          <w:color w:val="auto"/>
        </w:rPr>
        <w:t>Description</w:t>
      </w:r>
    </w:p>
    <w:p>
      <w:pPr>
        <w:spacing w:after="0" w:line="244" w:lineRule="exact"/>
        <w:rPr>
          <w:sz w:val="20"/>
          <w:szCs w:val="20"/>
          <w:color w:val="auto"/>
        </w:rPr>
      </w:pPr>
    </w:p>
    <w:p>
      <w:pPr>
        <w:ind w:left="8"/>
        <w:spacing w:after="0"/>
        <w:tabs>
          <w:tab w:leader="none" w:pos="428"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2"/>
          <w:szCs w:val="12"/>
          <w:u w:val="single" w:color="auto"/>
          <w:color w:val="0000FF"/>
        </w:rPr>
        <w:t>Investor Presentation</w:t>
      </w:r>
    </w:p>
    <w:p>
      <w:pPr>
        <w:spacing w:after="0" w:line="1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42"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159"/>
          </w:cols>
          <w:pgMar w:left="300" w:top="638" w:right="1440" w:bottom="1440" w:gutter="0" w:footer="0" w:header="0"/>
        </w:sect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Dated: June 1, 2026</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SUN COMMUNITIES, INC.</w:t>
      </w:r>
    </w:p>
    <w:p>
      <w:pPr>
        <w:spacing w:after="0" w:line="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34290</wp:posOffset>
            </wp:positionV>
            <wp:extent cx="32918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4700" w:space="720"/>
            <w:col w:w="4739"/>
          </w:cols>
          <w:pgMar w:left="300" w:top="638"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11"/>
          <w:szCs w:val="11"/>
          <w:color w:val="auto"/>
        </w:rPr>
        <w:t>Fernando Castro-Caratini, Executive Vice President,</w:t>
      </w:r>
    </w:p>
    <w:p>
      <w:pPr>
        <w:spacing w:after="0" w:line="2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2"/>
          <w:szCs w:val="12"/>
          <w:color w:val="auto"/>
        </w:rPr>
        <w:t>Chief Financial Officer, Secretary and Treasurer</w:t>
      </w:r>
    </w:p>
    <w:p>
      <w:pPr>
        <w:sectPr>
          <w:pgSz w:w="11900" w:h="16838" w:orient="portrait"/>
          <w:cols w:equalWidth="0" w:num="1">
            <w:col w:w="10159"/>
          </w:cols>
          <w:pgMar w:left="300" w:top="638"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2026-06-01T16:41:49Z</dcterms:created>
  <dcterms:modified xsi:type="dcterms:W3CDTF">2026-06-01T16:41:49Z</dcterms:modified>
</cp:coreProperties>
</file>