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ind w:left="3880" w:right="920" w:hanging="2949"/>
        <w:spacing w:after="0" w:line="286" w:lineRule="auto"/>
        <w:tabs>
          <w:tab w:leader="none" w:pos="11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4"/>
          <w:szCs w:val="24"/>
          <w:color w:val="auto"/>
        </w:rPr>
      </w:pPr>
    </w:p>
    <w:p>
      <w:pPr>
        <w:jc w:val="center"/>
        <w:ind w:left="3780" w:right="920" w:hanging="2856"/>
        <w:spacing w:after="0" w:line="273" w:lineRule="auto"/>
        <w:tabs>
          <w:tab w:leader="none" w:pos="11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6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1-12616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80010</wp:posOffset>
            </wp:positionV>
            <wp:extent cx="180848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9"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38-2730780</w:t>
            </w:r>
          </w:p>
        </w:tc>
      </w:tr>
      <w:tr>
        <w:trPr>
          <w:trHeight w:val="234"/>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6"/>
        </w:trPr>
        <w:tc>
          <w:tcPr>
            <w:tcW w:w="4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27777 Franklin Rd, Suite 300,   Southfield,</w:t>
            </w:r>
          </w:p>
        </w:tc>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48034</w:t>
            </w:r>
          </w:p>
        </w:tc>
      </w:tr>
      <w:tr>
        <w:trPr>
          <w:trHeight w:val="234"/>
        </w:trPr>
        <w:tc>
          <w:tcPr>
            <w:tcW w:w="42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 208-2500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7500" w:type="dxa"/>
            <w:vAlign w:val="bottom"/>
            <w:gridSpan w:val="6"/>
          </w:tcPr>
          <w:p>
            <w:pPr>
              <w:jc w:val="center"/>
              <w:ind w:left="35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60" w:type="dxa"/>
            <w:vAlign w:val="bottom"/>
          </w:tcPr>
          <w:p>
            <w:pPr>
              <w:spacing w:after="0"/>
              <w:rPr>
                <w:sz w:val="20"/>
                <w:szCs w:val="20"/>
                <w:color w:val="auto"/>
              </w:rPr>
            </w:pPr>
          </w:p>
        </w:tc>
      </w:tr>
      <w:tr>
        <w:trPr>
          <w:trHeight w:val="459"/>
        </w:trPr>
        <w:tc>
          <w:tcPr>
            <w:tcW w:w="111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Pr>
          <w:p>
            <w:pPr>
              <w:spacing w:after="0"/>
              <w:rPr>
                <w:sz w:val="22"/>
                <w:szCs w:val="22"/>
                <w:color w:val="auto"/>
              </w:rPr>
            </w:pPr>
          </w:p>
        </w:tc>
        <w:tc>
          <w:tcPr>
            <w:tcW w:w="32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2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0" w:right="339" w:bottom="1440" w:gutter="0" w:footer="0" w:header="0"/>
        </w:sectPr>
      </w:pPr>
    </w:p>
    <w:p>
      <w:pPr>
        <w:ind w:left="2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5">
            <w:col w:w="1860" w:space="600"/>
            <w:col w:w="1200" w:space="720"/>
            <w:col w:w="1520" w:space="600"/>
            <w:col w:w="1960" w:space="540"/>
            <w:col w:w="2240"/>
          </w:cols>
          <w:pgMar w:left="320" w:top="1350" w:right="339" w:bottom="1440" w:gutter="0" w:footer="0" w:header="0"/>
          <w:type w:val="continuous"/>
        </w:sectPr>
      </w:pPr>
    </w:p>
    <w:p>
      <w:pPr>
        <w:ind w:left="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2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9" w:lineRule="exact"/>
        <w:rPr>
          <w:sz w:val="24"/>
          <w:szCs w:val="24"/>
          <w:color w:val="auto"/>
        </w:rPr>
      </w:pPr>
    </w:p>
    <w:p>
      <w:pPr>
        <w:sectPr>
          <w:pgSz w:w="11900" w:h="16838" w:orient="portrait"/>
          <w:cols w:equalWidth="0" w:num="5">
            <w:col w:w="2260" w:space="720"/>
            <w:col w:w="1360" w:space="720"/>
            <w:col w:w="1620" w:space="720"/>
            <w:col w:w="1780" w:space="720"/>
            <w:col w:w="1340"/>
          </w:cols>
          <w:pgMar w:left="320" w:top="1350" w:right="3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per share, outstanding as of July 25, 2024: 124,669,886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103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June 30, 2024 (Unaudited) and December 31, 2023</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Six Months Ended June 30,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Income / (Loss) for the Three and Six Months Ended June 30,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Equity for the Three and Six Months Ended June 30,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June 30,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41</w:t>
            </w:r>
          </w:p>
        </w:tc>
      </w:t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63</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64</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66</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Land</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4,555.0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4,278.2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Land improvements and buildings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11,682.2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Rental homes and improvements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744.4</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1,011.7</w:t>
            </w:r>
          </w:p>
        </w:tc>
      </w:tr>
      <w:tr>
        <w:trPr>
          <w:trHeight w:val="194"/>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17,716.5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(3,552.2)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(3,272.9)</w:t>
            </w:r>
          </w:p>
        </w:tc>
      </w:tr>
      <w:tr>
        <w:trPr>
          <w:trHeight w:val="194"/>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 net (see Note 8 at VIEs)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14,464.7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cash equivalents and restricted cash (see Note 8 at VIEs)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intangible assets, net (see Note 8 at VIEs)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w:t>
            </w:r>
          </w:p>
        </w:tc>
      </w:tr>
      <w:tr>
        <w:trPr>
          <w:trHeight w:val="20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net (see Note 8 at VIEs)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668.5</w:t>
            </w:r>
          </w:p>
        </w:tc>
      </w:tr>
      <w:tr>
        <w:trPr>
          <w:trHeight w:val="198"/>
        </w:trPr>
        <w:tc>
          <w:tcPr>
            <w:tcW w:w="79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17,011.1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Mortgage loans payable (see Note 9; Note 8 at VIEs)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3,478.9</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Secured borrowings on collateralized receivables (See Note 5)</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Unsecured debt (see Note 9; Note 8 at VIEs)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4,242.6</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payable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Advanced reservation deposits and rent (see Note 8 at VIEs)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 and accounts payable (see Note 8 at VIEs)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313.7</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liabilities (see Note 8 at VIEs)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979.5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953.1</w:t>
            </w:r>
          </w:p>
        </w:tc>
      </w:tr>
      <w:tr>
        <w:trPr>
          <w:trHeight w:val="19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9,506.8</w:t>
            </w:r>
          </w:p>
        </w:tc>
      </w:tr>
      <w:tr>
        <w:trPr>
          <w:trHeight w:val="18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Commitments and contingencies (see Note 17)</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Temporary equity (see Note 10; Note 8 at VIEs)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260.9</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58"/>
        </w:trPr>
        <w:tc>
          <w:tcPr>
            <w:tcW w:w="79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Common stock, $0.01 par value. Authorized: 360.0 shares; Issued and outstanding: 124.7 at June 30, 2024 and 124.4 at</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0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9,466.9</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Distributions in excess of accumulated earnings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(2,604.1)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(2,397.5)</w:t>
            </w:r>
          </w:p>
        </w:tc>
      </w:tr>
      <w:tr>
        <w:trPr>
          <w:trHeight w:val="198"/>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b w:val="1"/>
                <w:bCs w:val="1"/>
                <w:color w:val="auto"/>
              </w:rPr>
              <w:t>Total SUI Shareholders' Equity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7,082.8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5"/>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and preferred OP units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200"/>
        </w:trPr>
        <w:tc>
          <w:tcPr>
            <w:tcW w:w="7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Consolidated entities (see Note 8 at VIEs)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194"/>
        </w:trPr>
        <w:tc>
          <w:tcPr>
            <w:tcW w:w="7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6,969.8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7,173.0</w:t>
            </w:r>
          </w:p>
        </w:tc>
      </w:tr>
      <w:tr>
        <w:trPr>
          <w:trHeight w:val="223"/>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Liabilities, Temporary Equity and Shareholders' Equity</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400" w:type="dxa"/>
            <w:vAlign w:val="bottom"/>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526.0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967.6</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208.9</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293.4</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25.4</w:t>
            </w:r>
          </w:p>
        </w:tc>
      </w:tr>
      <w:tr>
        <w:trPr>
          <w:trHeight w:val="20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19.3</w:t>
            </w:r>
          </w:p>
        </w:tc>
      </w:tr>
      <w:tr>
        <w:trPr>
          <w:trHeight w:val="198"/>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864.0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863.4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1,514.6</w:t>
            </w:r>
          </w:p>
        </w:tc>
      </w:tr>
      <w:tr>
        <w:trPr>
          <w:trHeight w:val="192"/>
        </w:trPr>
        <w:tc>
          <w:tcPr>
            <w:tcW w:w="5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336.8</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60.1</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costs and selling</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149.0</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264.8</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126.8</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 (see Note 17)</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319.7</w:t>
            </w:r>
          </w:p>
        </w:tc>
      </w:tr>
      <w:tr>
        <w:trPr>
          <w:trHeight w:val="232"/>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 (see Note 16)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Goodwill impairment (see Note 6)</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325.1</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155.8</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r>
      <w:tr>
        <w:trPr>
          <w:trHeight w:val="194"/>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804.8</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1,084.2</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1,525.6</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1,752.8</w:t>
            </w:r>
          </w:p>
        </w:tc>
      </w:tr>
      <w:tr>
        <w:trPr>
          <w:trHeight w:val="19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Before Other Items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(see Note 3)</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 (see Note 4)</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 (loss) from nonconsolidated affiliates (see Note 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 Note 7)</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12.3</w:t>
            </w:r>
          </w:p>
        </w:tc>
      </w:tr>
      <w:tr>
        <w:trPr>
          <w:trHeight w:val="19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 (Loss)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w:t>
            </w:r>
          </w:p>
        </w:tc>
      </w:tr>
      <w:tr>
        <w:trPr>
          <w:trHeight w:val="200"/>
        </w:trPr>
        <w:tc>
          <w:tcPr>
            <w:tcW w:w="5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Preferred return to preferred OP units / equity interests</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w:t>
            </w: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Income / (loss)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 (Loss) Attributable to SUI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(252.5)</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00"/>
        </w:trPr>
        <w:tc>
          <w:tcPr>
            <w:tcW w:w="5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123.4</w:t>
            </w:r>
          </w:p>
        </w:tc>
      </w:tr>
      <w:tr>
        <w:trPr>
          <w:trHeight w:val="20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126.2</w:t>
            </w:r>
          </w:p>
        </w:tc>
      </w:t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 (loss) per share (see Note 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r>
      <w:tr>
        <w:trPr>
          <w:trHeight w:val="198"/>
        </w:trPr>
        <w:tc>
          <w:tcPr>
            <w:tcW w:w="5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 (loss) per share (see Note 14)</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r>
    </w:tbl>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6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(LOSS)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520" w:type="dxa"/>
            <w:vAlign w:val="bottom"/>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5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w:t>
            </w:r>
          </w:p>
        </w:tc>
      </w:tr>
      <w:tr>
        <w:trPr>
          <w:trHeight w:val="20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gain / (loss) arising during period</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r>
      <w:tr>
        <w:trPr>
          <w:trHeight w:val="205"/>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Adjustment for accumulated foreign currency translation loss reclassified into earnings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94"/>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foreign currency translation gain / (loss)</w:t>
            </w: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r>
      <w:tr>
        <w:trPr>
          <w:trHeight w:val="18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Flow Hedges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unrealized gain on interest rate derivatives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205"/>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Interest rate derivative gain reclassified to earnings</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4"/>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unrealized gain / (loss) on interest rate derivatives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 (Loss)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w:t>
            </w:r>
          </w:p>
        </w:tc>
      </w:tr>
      <w:tr>
        <w:trPr>
          <w:trHeight w:val="20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Comprehensive (income) / loss attributable to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2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 / (Loss) Attributable to SUI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right"/>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260.9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9,466.9</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(2,397.5)</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7,173.0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7,433.9</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60"/>
        </w:trPr>
        <w:tc>
          <w:tcPr>
            <w:tcW w:w="36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 (loss)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9,471.4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(2,540.6)</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7,023.6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7,283.3</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58"/>
        </w:trPr>
        <w:tc>
          <w:tcPr>
            <w:tcW w:w="36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58.4</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9,481.2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(2,604.1)</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6,969.8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7,229.5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center"/>
              <w:ind w:right="124"/>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9,549.7</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(1,731.2)</w:t>
            </w:r>
          </w:p>
        </w:tc>
        <w:tc>
          <w:tcPr>
            <w:tcW w:w="22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8,091.4</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51"/>
        </w:trPr>
        <w:tc>
          <w:tcPr>
            <w:tcW w:w="3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51"/>
        </w:trPr>
        <w:tc>
          <w:tcPr>
            <w:tcW w:w="3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Issuance of third party equity interests in consolidated</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Series K preferred OP units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2023, As Restated</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298.8</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9,556.4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(1,889.8)</w:t>
            </w:r>
          </w:p>
        </w:tc>
        <w:tc>
          <w:tcPr>
            <w:tcW w:w="2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7,754.6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8,053.4</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and common OP units,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third party equity interests in consolidated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Series K preferred OP units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2023, As Restated</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294.0</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9,567.5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(2,210.4)</w:t>
            </w:r>
          </w:p>
        </w:tc>
        <w:tc>
          <w:tcPr>
            <w:tcW w:w="2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7,466.2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7,760.2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02"/>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449.9</w:t>
            </w:r>
          </w:p>
        </w:tc>
      </w:tr>
      <w:tr>
        <w:trPr>
          <w:trHeight w:val="19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in properties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(564.7)</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 (payments) from deposit on acquisition</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insurance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disposition of assets and depreciated homes, net</w:t>
            </w:r>
          </w:p>
        </w:tc>
        <w:tc>
          <w:tcPr>
            <w:tcW w:w="2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related to disposition of properties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Repayments of notes and other receivables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Investments in nonconsolidated affiliates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of capital from nonconsolidated affiliates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194"/>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Investing Activities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(581.8)</w:t>
            </w: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and costs of common stock, OP units and preferred OP units,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withheld to satisfy income tax obligations related to vesting of restricted stock awards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on lines of credit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990.1</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lines of credit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(1,186.5)</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issuance of other debt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583.0</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Contributions from noncontrolling interest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other debt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(234.8)</w:t>
            </w:r>
          </w:p>
        </w:tc>
      </w:tr>
      <w:tr>
        <w:trPr>
          <w:trHeight w:val="20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Payments for deferred financing costs, net of prepaid return</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9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 (Used For)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r>
      <w:tr>
        <w:trPr>
          <w:trHeight w:val="194"/>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r>
      <w:tr>
        <w:trPr>
          <w:trHeight w:val="20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r>
      <w:tr>
        <w:trPr>
          <w:trHeight w:val="22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End of Period</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8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2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200"/>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 (net of capitalized interest of $4.9 and $5.1, respectively)</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151.6</w:t>
            </w:r>
          </w:p>
        </w:tc>
      </w:tr>
      <w:tr>
        <w:trPr>
          <w:trHeight w:val="20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 on mandatorily redeemable debt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r>
      <w:tr>
        <w:trPr>
          <w:trHeight w:val="200"/>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r>
      <w:tr>
        <w:trPr>
          <w:trHeight w:val="20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Reduction in secured borrowing balance</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distributions declared and outstanding</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Conversion of common and preferred OP units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Assets held for sale, net (included within Other Assets, net and Other Liabilities)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269.8</w:t>
            </w:r>
          </w:p>
        </w:tc>
      </w:tr>
      <w:tr>
        <w:trPr>
          <w:trHeight w:val="200"/>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ROU asset obtained from new operating lease liabilities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r>
      <w:tr>
        <w:trPr>
          <w:trHeight w:val="205"/>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 in relation to disposition of properties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111.2</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 at the date of acquisition</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Common stock and OP units issued</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r>
      <w:tr>
        <w:trPr>
          <w:trHeight w:val="198"/>
        </w:trPr>
        <w:tc>
          <w:tcPr>
            <w:tcW w:w="79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Series K preferred interest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100.6</w:t>
            </w: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 Communities, Inc., and all wholly-owned or majority-owned and controlled subsidiaries, including Sun Communities Operating Limited Partnership (the "Operating Partnership"), Sun Home Services, Inc. ("SHS"), Safe Harbor Marinas, LLC ("Safe Harbor") and the entities through which we operate our business in the United Kingdom (collectively, "Park Holidays") are referred to herein as the "Company," "SUI," "us," "we," or "our."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 Certain reclassifications have been made to prior period financial statements in order to conform to current period presentation. There was no impact to prior period net income for any of the reclassifications.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2023 as filed with the SEC on February 28, 2024 (our "2023 Annual Report"). These statements have been prepared on a basis that is substantially consistent with the accounting principles applied in our 2023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we expanded our organizational structure from three segments, which consisted of (i) manufactured home ("MH") communities, (ii) recreational vehicle ("RV") communities, and (iii) Marinas, to a four-segment structure that now includes (iv)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of Previously Issued Financial Statements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our 2023 Annual Report, we restated the unaudited financial information as of and for the three months ended March 31, 2023, the three and six months ended June 30, 2023, and the three and nine months ended September 30, 2023 (collectively, the "2023 Interim Financial Statements"). Accordingly, certain prior period balances within our consolidated financial statements and the accompanying notes have been restated, where applicable.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we acquired a portfolio of holiday park properties located in the United Kingdom, which we refer to as our Park Holidays business, classified within our UK reporting segment. As disclosed in our Current Report on Form 8-K filed with the SEC on February 20, 2024, during the course of management's 2023 year-end procedures, we reviewed the controls relating to the valuation of the Park Holidays business and the associated goodwill at March 31, 2023, June 30, 2023 and September 30, 2023. In connection with that review, we concluded that there were triggering events relevant to the valuation of the Park Holidays business, including reduced financial projections and a higher weighted average cost of capital due to increases in interest rates, that should have been taken into account when preparing the 2023 Interim Financial Statements. Management undertook a full review of the valuations and determined that at each of March 31, 2023, June 30, 2023 and September 30, 2023, we should have recognized non-cash impairments to goodwill for the Park Holidays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non-cash goodwill impairment increased Net loss on our Consolidated Statements of Operations by $15.4 million. For the three and six months ended June 30, 2023, we recorded non-cash goodwill impairment charges of $309.7 million and $325.1 million, respectively, which changed Net income to Net loss on our Consolidated Statements of Operations by these corresponding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real property revenue at our MH, RV, Marina and UK properties, revenue from home sales, revenue from service, retail, dining and entertainment, interest income, and brokerage commissions and 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and segment (in millions):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41"/>
        </w:trPr>
        <w:tc>
          <w:tcPr>
            <w:tcW w:w="1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2023</w:t>
            </w:r>
            <w:r>
              <w:rPr>
                <w:rFonts w:ascii="Times New Roman" w:cs="Times New Roman" w:eastAsia="Times New Roman" w:hAnsi="Times New Roman"/>
                <w:sz w:val="18"/>
                <w:szCs w:val="18"/>
                <w:b w:val="1"/>
                <w:bCs w:val="1"/>
                <w:color w:val="auto"/>
                <w:vertAlign w:val="superscript"/>
              </w:rPr>
              <w:t>(1)</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0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2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239.7</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551.4</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111.7</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526.0</w:t>
            </w:r>
          </w:p>
        </w:tc>
      </w:tr>
      <w:tr>
        <w:trPr>
          <w:trHeight w:val="205"/>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r>
      <w:tr>
        <w:trPr>
          <w:trHeight w:val="148"/>
        </w:trPr>
        <w:tc>
          <w:tcPr>
            <w:tcW w:w="16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and entertainment</w:t>
            </w:r>
          </w:p>
        </w:tc>
        <w:tc>
          <w:tcPr>
            <w:tcW w:w="18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r>
      <w:tr>
        <w:trPr>
          <w:trHeight w:val="206"/>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49"/>
        </w:trPr>
        <w:tc>
          <w:tcPr>
            <w:tcW w:w="16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8"/>
        </w:trPr>
        <w:tc>
          <w:tcPr>
            <w:tcW w:w="16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commissions and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2"/>
        </w:trPr>
        <w:tc>
          <w:tcPr>
            <w:tcW w:w="1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225"/>
        </w:trPr>
        <w:tc>
          <w:tcPr>
            <w:tcW w:w="1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300.1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864.0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262.3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863.4</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Recast to reflect segment changes.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spacing w:after="0" w:line="200" w:lineRule="exact"/>
              <w:rPr>
                <w:sz w:val="20"/>
                <w:szCs w:val="20"/>
                <w:color w:val="auto"/>
              </w:rPr>
            </w:pPr>
            <w:r>
              <w:rPr>
                <w:rFonts w:ascii="Times New Roman" w:cs="Times New Roman" w:eastAsia="Times New Roman" w:hAnsi="Times New Roman"/>
                <w:sz w:val="15"/>
                <w:szCs w:val="15"/>
                <w:b w:val="1"/>
                <w:bCs w:val="1"/>
                <w:color w:val="auto"/>
              </w:rPr>
              <w:t>June 30, 2023</w:t>
            </w:r>
            <w:r>
              <w:rPr>
                <w:rFonts w:ascii="Times New Roman" w:cs="Times New Roman" w:eastAsia="Times New Roman" w:hAnsi="Times New Roman"/>
                <w:sz w:val="19"/>
                <w:szCs w:val="19"/>
                <w:b w:val="1"/>
                <w:bCs w:val="1"/>
                <w:color w:val="auto"/>
                <w:vertAlign w:val="superscript"/>
              </w:rPr>
              <w:t>(1)</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0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UK</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83"/>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477.7</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215.2</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1,028.3</w:t>
            </w:r>
          </w:p>
        </w:tc>
        <w:tc>
          <w:tcPr>
            <w:tcW w:w="1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448.3</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200.8</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967.6</w:t>
            </w: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208.9</w:t>
            </w:r>
          </w:p>
        </w:tc>
        <w:tc>
          <w:tcPr>
            <w:tcW w:w="0" w:type="dxa"/>
            <w:vAlign w:val="bottom"/>
          </w:tcPr>
          <w:p>
            <w:pPr>
              <w:spacing w:after="0"/>
              <w:rPr>
                <w:sz w:val="1"/>
                <w:szCs w:val="1"/>
                <w:color w:val="auto"/>
              </w:rPr>
            </w:pPr>
          </w:p>
        </w:tc>
      </w:tr>
      <w:tr>
        <w:trPr>
          <w:trHeight w:val="158"/>
        </w:trPr>
        <w:tc>
          <w:tcPr>
            <w:tcW w:w="16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Service, retail, dining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and entertainment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0" w:type="dxa"/>
            <w:vAlign w:val="bottom"/>
          </w:tcPr>
          <w:p>
            <w:pPr>
              <w:spacing w:after="0"/>
              <w:rPr>
                <w:sz w:val="1"/>
                <w:szCs w:val="1"/>
                <w:color w:val="auto"/>
              </w:rPr>
            </w:pPr>
          </w:p>
        </w:tc>
      </w:tr>
      <w:tr>
        <w:trPr>
          <w:trHeight w:val="158"/>
        </w:trPr>
        <w:tc>
          <w:tcPr>
            <w:tcW w:w="16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Brokerage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220"/>
              <w:spacing w:after="0" w:line="152" w:lineRule="exact"/>
              <w:rPr>
                <w:sz w:val="20"/>
                <w:szCs w:val="20"/>
                <w:color w:val="auto"/>
              </w:rPr>
            </w:pPr>
            <w:r>
              <w:rPr>
                <w:rFonts w:ascii="Times New Roman" w:cs="Times New Roman" w:eastAsia="Times New Roman" w:hAnsi="Times New Roman"/>
                <w:sz w:val="15"/>
                <w:szCs w:val="15"/>
                <w:color w:val="auto"/>
              </w:rPr>
              <w:t>commissions and</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14.2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200"/>
        </w:trPr>
        <w:tc>
          <w:tcPr>
            <w:tcW w:w="1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469.8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1,535.3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Recast to reflect segment changes.</w:t>
      </w: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revenue is derived from site and home leases, and wet slip and dry storage space leases that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account for all revenue from contracts with customers following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except for those that are within the scope of other topics in the FASB ASC. For additional information, refer to Note 1, "Significant Accounting Policies" in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we acquired the following properties: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5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Sites, Wet Slips and</w:t>
            </w: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380" w:type="dxa"/>
            <w:vAlign w:val="bottom"/>
          </w:tcPr>
          <w:p>
            <w:pPr>
              <w:spacing w:after="0"/>
              <w:rPr>
                <w:sz w:val="15"/>
                <w:szCs w:val="15"/>
                <w:color w:val="auto"/>
              </w:rPr>
            </w:pPr>
          </w:p>
        </w:tc>
      </w:tr>
      <w:tr>
        <w:trPr>
          <w:trHeight w:val="212"/>
        </w:trPr>
        <w:tc>
          <w:tcPr>
            <w:tcW w:w="1580" w:type="dxa"/>
            <w:vAlign w:val="bottom"/>
          </w:tcPr>
          <w:p>
            <w:pPr>
              <w:spacing w:after="0"/>
              <w:rPr>
                <w:sz w:val="18"/>
                <w:szCs w:val="18"/>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Name</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6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Dry Storage Spaces</w:t>
            </w: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Port Milford</w:t>
            </w:r>
          </w:p>
        </w:tc>
        <w:tc>
          <w:tcPr>
            <w:tcW w:w="2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CT</w:t>
            </w: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3"/>
        </w:trPr>
        <w:tc>
          <w:tcPr>
            <w:tcW w:w="158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Oak Leaf</w:t>
            </w:r>
            <w:r>
              <w:rPr>
                <w:rFonts w:ascii="Times New Roman" w:cs="Times New Roman" w:eastAsia="Times New Roman" w:hAnsi="Times New Roman"/>
                <w:sz w:val="19"/>
                <w:szCs w:val="19"/>
                <w:color w:val="auto"/>
                <w:vertAlign w:val="superscript"/>
              </w:rPr>
              <w:t>(1)</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Marina</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CT</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3"/>
        </w:trPr>
        <w:tc>
          <w:tcPr>
            <w:tcW w:w="15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Berth One Palm Beach</w:t>
            </w:r>
            <w:r>
              <w:rPr>
                <w:rFonts w:ascii="Times New Roman" w:cs="Times New Roman" w:eastAsia="Times New Roman" w:hAnsi="Times New Roman"/>
                <w:sz w:val="19"/>
                <w:szCs w:val="19"/>
                <w:color w:val="auto"/>
                <w:vertAlign w:val="superscript"/>
              </w:rPr>
              <w:t>(1)</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196"/>
        </w:trPr>
        <w:tc>
          <w:tcPr>
            <w:tcW w:w="1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185</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
        </w:trPr>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 with an existing property.</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assets acquired, net of liabilities assumed, at the acquisition date and the consideration paid for the acquisitions completed during the six months ended June 30, 2024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Goodwill and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2"/>
                <w:szCs w:val="12"/>
                <w:color w:val="auto"/>
              </w:rPr>
            </w:pPr>
          </w:p>
        </w:tc>
        <w:tc>
          <w:tcPr>
            <w:tcW w:w="12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Other assets,</w:t>
            </w:r>
          </w:p>
        </w:tc>
        <w:tc>
          <w:tcPr>
            <w:tcW w:w="14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color w:val="auto"/>
              </w:rPr>
              <w:t>and retail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other intangible</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8"/>
                <w:szCs w:val="18"/>
                <w:color w:val="auto"/>
              </w:rPr>
            </w:pPr>
          </w:p>
        </w:tc>
        <w:tc>
          <w:tcPr>
            <w:tcW w:w="12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related items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assets</w:t>
            </w:r>
          </w:p>
        </w:tc>
        <w:tc>
          <w:tcPr>
            <w:tcW w:w="22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net</w:t>
            </w: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escrow</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5"/>
                <w:szCs w:val="15"/>
                <w:color w:val="auto"/>
                <w:w w:val="95"/>
              </w:rPr>
              <w:t>equity</w:t>
            </w:r>
            <w:r>
              <w:rPr>
                <w:rFonts w:ascii="Times New Roman" w:cs="Times New Roman" w:eastAsia="Times New Roman" w:hAnsi="Times New Roman"/>
                <w:sz w:val="19"/>
                <w:szCs w:val="19"/>
                <w:color w:val="auto"/>
                <w:w w:val="95"/>
                <w:vertAlign w:val="superscript"/>
              </w:rPr>
              <w:t>(1)</w:t>
            </w: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Port Milford</w:t>
            </w:r>
            <w:r>
              <w:rPr>
                <w:rFonts w:ascii="Times New Roman" w:cs="Times New Roman" w:eastAsia="Times New Roman" w:hAnsi="Times New Roman"/>
                <w:sz w:val="19"/>
                <w:szCs w:val="19"/>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Berth One Palm Beach</w:t>
            </w:r>
            <w:r>
              <w:rPr>
                <w:rFonts w:ascii="Times New Roman" w:cs="Times New Roman" w:eastAsia="Times New Roman" w:hAnsi="Times New Roman"/>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Combination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Oak Leaf</w:t>
            </w:r>
            <w:r>
              <w:rPr>
                <w:rFonts w:ascii="Times New Roman" w:cs="Times New Roman" w:eastAsia="Times New Roman" w:hAnsi="Times New Roman"/>
                <w:sz w:val="19"/>
                <w:szCs w:val="19"/>
                <w:color w:val="auto"/>
                <w:vertAlign w:val="superscript"/>
              </w:rPr>
              <w:t>(3)(4)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94"/>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3"/>
        </w:trPr>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10, "Equity and Temporary Equity," for additional detail.</w:t>
      </w:r>
    </w:p>
    <w:p>
      <w:pPr>
        <w:spacing w:after="0" w:line="59" w:lineRule="exact"/>
        <w:rPr>
          <w:rFonts w:ascii="Times New Roman" w:cs="Times New Roman" w:eastAsia="Times New Roman" w:hAnsi="Times New Roman"/>
          <w:sz w:val="16"/>
          <w:szCs w:val="16"/>
          <w:color w:val="auto"/>
          <w:vertAlign w:val="superscript"/>
        </w:rPr>
      </w:pPr>
    </w:p>
    <w:p>
      <w:pPr>
        <w:ind w:left="160" w:hanging="152"/>
        <w:spacing w:after="0" w:line="191"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conjunction with this acquisition, we issued 19,326 common OP units valued at $2.5 million.</w:t>
      </w:r>
    </w:p>
    <w:p>
      <w:pPr>
        <w:spacing w:after="0" w:line="44"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Combined with an existing property.</w:t>
      </w:r>
    </w:p>
    <w:p>
      <w:pPr>
        <w:spacing w:after="0" w:line="5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purchase price allocation is preliminary as of June 30, 2024, subject to revision based on the final purchase price allocations to be finalized one year from the acquisition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we entered into a ground lease that can support one marina with eight wet slips and dry storage spaces.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Development and Expansion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acquired two land parcels located in the United States ("U.S.") for an aggregate purchase price of $12.9 million. In conjunction with one of the land parcel acquisitions, we issued 4,452 common OP units valued at $0.6 million. We also acquired two buildings related to our marinas located in the U.S. for an aggregate purchase price of $13.7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acquired one land parcel located in the United Kingdom ("U.K.") for an aggregate purchase price of $9.6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and 2023 Disposition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real estate dispositions occurred during the six months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w w:val="99"/>
              </w:rPr>
              <w:t>Sites, Wet Slips,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State,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Net Cash</w:t>
            </w:r>
          </w:p>
        </w:tc>
        <w:tc>
          <w:tcPr>
            <w:tcW w:w="120" w:type="dxa"/>
            <w:vAlign w:val="bottom"/>
          </w:tcPr>
          <w:p>
            <w:pPr>
              <w:spacing w:after="0"/>
              <w:rPr>
                <w:sz w:val="15"/>
                <w:szCs w:val="15"/>
                <w:color w:val="auto"/>
              </w:rPr>
            </w:pPr>
          </w:p>
        </w:tc>
        <w:tc>
          <w:tcPr>
            <w:tcW w:w="1060" w:type="dxa"/>
            <w:vAlign w:val="bottom"/>
            <w:vMerge w:val="restart"/>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Gain on</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5"/>
                <w:szCs w:val="15"/>
                <w:b w:val="1"/>
                <w:bCs w:val="1"/>
                <w:color w:val="auto"/>
              </w:rPr>
              <w:t>Dry Storage Spaces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5"/>
                <w:szCs w:val="15"/>
                <w:b w:val="1"/>
                <w:bCs w:val="1"/>
                <w:color w:val="auto"/>
              </w:rPr>
              <w:t>Province or</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Property Name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88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Properties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Month Disposed</w:t>
            </w: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Proceeds</w:t>
            </w:r>
          </w:p>
        </w:tc>
        <w:tc>
          <w:tcPr>
            <w:tcW w:w="120" w:type="dxa"/>
            <w:vAlign w:val="bottom"/>
          </w:tcPr>
          <w:p>
            <w:pPr>
              <w:spacing w:after="0"/>
              <w:rPr>
                <w:sz w:val="18"/>
                <w:szCs w:val="18"/>
                <w:color w:val="auto"/>
              </w:rPr>
            </w:pPr>
          </w:p>
        </w:tc>
        <w:tc>
          <w:tcPr>
            <w:tcW w:w="1060" w:type="dxa"/>
            <w:vAlign w:val="bottom"/>
          </w:tcPr>
          <w:p>
            <w:pPr>
              <w:jc w:val="right"/>
              <w:ind w:right="104"/>
              <w:spacing w:after="0" w:line="216" w:lineRule="exact"/>
              <w:rPr>
                <w:sz w:val="20"/>
                <w:szCs w:val="20"/>
                <w:color w:val="auto"/>
              </w:rPr>
            </w:pPr>
            <w:r>
              <w:rPr>
                <w:rFonts w:ascii="Times New Roman" w:cs="Times New Roman" w:eastAsia="Times New Roman" w:hAnsi="Times New Roman"/>
                <w:sz w:val="15"/>
                <w:szCs w:val="15"/>
                <w:b w:val="1"/>
                <w:bCs w:val="1"/>
                <w:color w:val="auto"/>
                <w:w w:val="99"/>
              </w:rPr>
              <w:t>Disposition</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9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Spanish Trails and Sundance</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MH</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533</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AZ &amp; FL</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February</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Littondale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MH</w:t>
            </w:r>
          </w:p>
        </w:tc>
        <w:tc>
          <w:tcPr>
            <w:tcW w:w="8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114</w:t>
            </w: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UK</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May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Recorded in Gain / (loss) on dispositions of properties on the Consolidated Statements of Operations.</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sold one MH community located in Maine with 155 developed sites at its net carrying value for cash consideration of $6.8 million. The property was previously classified as held for sale during the three months ended June 30, 2023, with its net carrying value of $13.1 million written down by $6.3 million within Asset impairments on our Consolidated Statements of Operations, to a fair value less cost to sell of $6.8 million.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we sold two parcels of land in the United Kingdom for total consideration of $111.5 million. The consideration consisted of $108.8 million in the form of an operator note receivable that was added to an existing facility with a weighted average interest rate of 11.9% per annum, due May 31, 2023 and subsequently extended to July 31, 2023 as part of the operator's total facility. On the date of sale, the carrying value of the note receivable approximated its fair value due to its short term nature. The dispositions resulted in a loss on sale totaling $2.2 million during the year ended December 31, 2023, net of the release of foreign currency translation losses from Accumulated other comprehensive income ("AOCI") of $11.9 million. The total loss on sale was recorded in Gain / (loss) on dispositions of properties on the Consolidated Statements of Operations. As of December 31, 2023, we have reacquired these two parcels of land at fair value as part of the settlement of the related note receivable, with no remeasurement gain or loss recognized. Refer to Note 4, "Notes and Other Receivables," for additional information on the settlement of the notes receivable.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20, "Subsequent Events," for information regarding dispositions completed after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Other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40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 net</w:t>
            </w:r>
          </w:p>
        </w:tc>
        <w:tc>
          <w:tcPr>
            <w:tcW w:w="1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231.6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267.5</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Notes and Other Receivables, net</w:t>
            </w:r>
          </w:p>
        </w:tc>
        <w:tc>
          <w:tcPr>
            <w:tcW w:w="140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417.4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Installment notes receivable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During the three months ended December 31, 2023, we transferred a group of installment notes receivable to an unrelated party. Refer to Note 5, "Collateralized Receivables and Transfers of Financial Assets," for additional details. The balances of installment notes receivable of $54.5 million (gross installment notes receivable of $55.7 million less fair value adjustment of $1.2 million) and $19.6 million (gross installment notes receivable of $20.4 million less fair value adjustment of $0.8 million) as of June 30, 2024 and December 31, 2023,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6.5% and 18.5 years as of June 30, 2024, and 6.9% and 17.2 years as of December 31, 2023, respectively. Refer to Note 16, "Fair Value Measurements," for additional details.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Notes receivable from real estate developers and operators are measured at fair value, using indicative pricing models from third party valuation specialists, in accordance with 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Refer to Note 16, "Fair Value Measurements," for additional information.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Receivable from a Real Estate Operator</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receivable from a real estate operator was comprised of a fully drawn loan provided to Royale Holdings Group HoldCo Limited, a real estate development owner and operator in the United Kingdom, and certain other parties, to fund investing and financing activities (the "Note"). The Note was collateralized by a first-priority security interest in three real estate assets and three MH manufacturers in the United Kingdom. As of June 30, 2024, there was no remaining balance due on the note receivable.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maturity date of July 31, 2023, the Note became past due. On September 29, 2023, we appointed receivers over the real estate assets. The receivers marketed the real estate assets for sale during the fourth quarter of 2023. Upon completion of the marketing process, on December 28, 2023, we appointed administrators over the real estate assets and acquired such assets through a credit bid. During the fourth quarter, we engaged third party valuation specialists to appraise the real estate assets in accordance with ASC 820. The appraisals were completed using the discounted cash flow method (income approach), with the significant assumptions being development density, estimated absorption rate, home sale price and discount rate. The real estate assets appraised at fair value totaling $263.8 million. The Note balance was reduced by this amount, with an offsetting adjustment to Investment property, net on our Consolidated Balance Sheets as of December 31,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balance remaining on the Note, which was in nonaccrual status, collateralized by a first-priority security interest in three MH manufacturers in the United Kingdom, was adjusted to fair value totaling $10.8 million (gross notes receivable of $114.3 million, inclusive of accrued interest of $10.4 million, less a fair value adjustment of $103.5 million). The note had a weighted average interest rate of 12.5% as of December 31,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completed a receivership process related to the three MH manufacturers in the United Kingdom. The receivers sold such assets for a total consideration of $10.7 million, resulting in cash proceeds to the Company of $7.0 million, net of non-cash consideration and fees. The sale of these assets resulted in an incremental fair value remeasurement adjustment of $0.8 million that was recorded in Loss on remeasurement of notes receivable on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acquisition and construction loans provided to real estate developers total $131.3 million with a net weighted average interest rate and maturity of 9.3% and 2.4 years as of June 30, 2024, and total $123.7 million with a net weighted average interest rate and maturity of 9.2% and 2.6 years as of December 31, 2023. As of June 30, 2024, the additional acquisition and construction loans provided to real estate developers have $37.1 million of undrawn funds. There were no adjustments to the fair value of notes receivable from real estate developers during the six months ended June 30, 2024 and the year ended December 31,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 net were comprised of amounts due from the following categories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receivables</w:t>
            </w:r>
          </w:p>
        </w:tc>
        <w:tc>
          <w:tcPr>
            <w:tcW w:w="140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sale proceeds</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205"/>
        </w:trPr>
        <w:tc>
          <w:tcPr>
            <w:tcW w:w="7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Marina customers for storage, service and lease payments, net</w:t>
            </w:r>
            <w:r>
              <w:rPr>
                <w:rFonts w:ascii="Times New Roman" w:cs="Times New Roman" w:eastAsia="Times New Roman" w:hAnsi="Times New Roman"/>
                <w:sz w:val="19"/>
                <w:szCs w:val="19"/>
                <w:color w:val="auto"/>
                <w:vertAlign w:val="superscript"/>
              </w:rPr>
              <w:t>(1)</w:t>
            </w:r>
          </w:p>
        </w:tc>
        <w:tc>
          <w:tcPr>
            <w:tcW w:w="14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MH and annual RV residents for rent, utility charges, fees and other pass-through charges, net</w:t>
            </w:r>
            <w:r>
              <w:rPr>
                <w:rFonts w:ascii="Times New Roman" w:cs="Times New Roman" w:eastAsia="Times New Roman" w:hAnsi="Times New Roman"/>
                <w:sz w:val="19"/>
                <w:szCs w:val="19"/>
                <w:color w:val="auto"/>
                <w:vertAlign w:val="superscript"/>
              </w:rPr>
              <w:t>(2)</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1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Other Receivables, net</w:t>
            </w:r>
          </w:p>
        </w:tc>
        <w:tc>
          <w:tcPr>
            <w:tcW w:w="140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231.6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267.5</w:t>
            </w:r>
          </w:p>
        </w:tc>
      </w:tr>
      <w:tr>
        <w:trPr>
          <w:trHeight w:val="21"/>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$3.1 million and $2.9 million as of June 30, 2024 and December 31, 2023, respectively.</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allowance of $4.8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Collateralized Receivables and Transfers of Financial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we completed a transfer of our installment notes receivable to an unrelated entity and received net cash proceeds of $53.4 million from the third-party servicer, in exchange for relinquishing our right, title and interest in the receivables. We used the proceeds to pay down borrowings outstanding under our Senior Credit Facility. During the six months ended June 30, 2024, we received a subsequent cash payment of $1.1 million from the servicer in accordance with the terms of the transfer.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precluded establishing legal isolation, and therefore these transferred loans do not meet the requirements for sale accounting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balance of collateralized receivables was $54.3 million (gross collateralized receivable of $55.6 million less fair value adjustments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and $56.2 million (gross collateralized receivable of $59.1 million less fair value adjustments of $2.9 million) as of June 30, 2024 and December 31, 2023, respectively. The balance of secured borrowings on collateralized receivables was $54.3 million (gross secured borrowings of $50.8 million plus fair value adjustments of $3.5 million) and $55.8 million (gross secured borrowings of $53.9 million plus fair value adjustments of $1.9 million) as of June 30, 2024 and December 31, 2023, respectively. The notes represent financing to purchasers of manufactured homes located in our communities and require monthly principal and interest payments. The notes had a net weighted average interest rate and maturity of 8.6% and 13.7 years as of June 30, 2024 and 8.6% and 14.2 years as of December 31, 2023. Refer to Note 16, "Fair Value Measurements," for additional details.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collateralized receivables earn interest income and the secured borrowings accrue interest expense at the same amount. The amount of interest income and interest expense recognized during the three and six months ended June 30, 2024 was $1.2 million and $2.4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periods for the valuation of assets acquired and liabilities assumed in a business combination end as soon as information on the facts and circumstances that existed as of the acquisition dates becomes available on the earlier of (i) the dates of acquisition, or (ii) 12 months after the acquisition dates. Adjustments in purchase price allocations may require a change in the amounts allocated to goodwill during the periods in which the adjustments are determined. Changes in the carrying amount of goodwill during the six months ended June 30, 2024 by reportable segment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RV</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UK</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47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Balance as of December 31, 2023</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4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Currency translation adjustments</w:t>
            </w:r>
          </w:p>
        </w:tc>
        <w:tc>
          <w:tcPr>
            <w:tcW w:w="10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23"/>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June 30, 2024</w:t>
            </w: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rPr>
              <w:t>Accumulated impairment losses as of June 30, 2024</w:t>
            </w:r>
            <w:r>
              <w:rPr>
                <w:rFonts w:ascii="Times New Roman" w:cs="Times New Roman" w:eastAsia="Times New Roman" w:hAnsi="Times New Roman"/>
                <w:sz w:val="18"/>
                <w:szCs w:val="18"/>
                <w:color w:val="auto"/>
                <w:vertAlign w:val="superscript"/>
              </w:rPr>
              <w:t>(2)</w:t>
            </w: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369.9</w:t>
            </w:r>
          </w:p>
        </w:tc>
      </w:tr>
    </w:tbl>
    <w:p>
      <w:pPr>
        <w:spacing w:after="0" w:line="55"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Recast to reflect segment changes.</w:t>
      </w:r>
    </w:p>
    <w:p>
      <w:pPr>
        <w:spacing w:after="0" w:line="55" w:lineRule="exact"/>
        <w:rPr>
          <w:rFonts w:ascii="Times New Roman" w:cs="Times New Roman" w:eastAsia="Times New Roman" w:hAnsi="Times New Roman"/>
          <w:sz w:val="19"/>
          <w:szCs w:val="19"/>
          <w:color w:val="auto"/>
          <w:vertAlign w:val="superscript"/>
        </w:rPr>
      </w:pPr>
    </w:p>
    <w:p>
      <w:pPr>
        <w:jc w:val="both"/>
        <w:ind w:left="180" w:hanging="172"/>
        <w:spacing w:after="0" w:line="244" w:lineRule="auto"/>
        <w:tabs>
          <w:tab w:leader="none" w:pos="15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six months ended June 30, 2024, we performed a qualitative assessment of our goodwill balance in accordance with ASC 350-20, "</w:t>
      </w:r>
      <w:r>
        <w:rPr>
          <w:rFonts w:ascii="Times New Roman" w:cs="Times New Roman" w:eastAsia="Times New Roman" w:hAnsi="Times New Roman"/>
          <w:sz w:val="14"/>
          <w:szCs w:val="14"/>
          <w:i w:val="1"/>
          <w:iCs w:val="1"/>
          <w:color w:val="auto"/>
        </w:rPr>
        <w:t>Goodwill and Other</w:t>
      </w:r>
      <w:r>
        <w:rPr>
          <w:rFonts w:ascii="Times New Roman" w:cs="Times New Roman" w:eastAsia="Times New Roman" w:hAnsi="Times New Roman"/>
          <w:sz w:val="14"/>
          <w:szCs w:val="14"/>
          <w:color w:val="auto"/>
        </w:rPr>
        <w:t>." We reviewed relevant events and circumstances and concluded that the fair value of each respective reporting segment was more-likely-than-not greater than its carrying value. Accordingly, there were no goodwill impairment charges recorded during the six months ended June 30, 2024. For the three and six months ended June 30, 2023, we recorded aggregate non-cash impairment charges of $309.7 million and $325.1 million, respectively, within Goodwill impairment on the Consolidated Statements of Operations. The decline in fair value of the UK reporting segment was primarily driven by a higher weighted average cost of capital due to increases in interest rates, as well as inflationary pressures in the UK causing a decline in financial projections.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7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r>
      <w:tr>
        <w:trPr>
          <w:trHeight w:val="21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200"/>
        </w:trPr>
        <w:tc>
          <w:tcPr>
            <w:tcW w:w="4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 months - 13 years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3 - 15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4 - 17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1 - 27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94"/>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finite-lived assets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(231.3)</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Indefinite-lived assets - Trademarks, trade names and other</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indefinite-lived assets</w:t>
            </w:r>
          </w:p>
        </w:tc>
        <w:tc>
          <w:tcPr>
            <w:tcW w:w="1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related to our Other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520" w:type="dxa"/>
            <w:vAlign w:val="bottom"/>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Amortization Expense</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5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0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fees and other intangible assets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w:t>
            </w: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Future Amortization Expense</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Remainder 2024</w:t>
            </w: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2028</w:t>
            </w:r>
          </w:p>
        </w:tc>
      </w:tr>
      <w:tr>
        <w:trPr>
          <w:trHeight w:val="200"/>
        </w:trPr>
        <w:tc>
          <w:tcPr>
            <w:tcW w:w="4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3"/>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8"/>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w:t>
            </w: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in Nonconsolidated Affiliates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joint ventures that are not consolidated, nor recorded at cost, are accounted for using the equity method of accounting as prescribed in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nonconsolidated affiliates are recorded within Other assets, net on the Consolidated Balance Sheets. Equity income and loss are recorded in Income / (loss) from nonconsolidated affiliates on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Sungenia Joint Venture ("Sungenia JV")</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2024 and December 31, 2023, we had a 50.0% ownership interest in Sungenia JV, a joint venture formed between us and Ingenia Communities Group (ASX:INA) ("Ingenia") in November 2018, to establish and grow a manufactured housing community development program in 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GTSC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"GTSC"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2024 and December 31, 2023, we had a 40.0% ownership interest in GTSC, which engages in acquiring, holding and selling loans secured, directly or indirectly, by manufactured homes located in our communities.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 Lift, LLC ("SV Lift")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had a 50.0% ownership interest in SV Lift, which owns, operates and leases an aircraft.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balance in each nonconsolidated affiliate was as follows (in millions):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 Sungenia JV</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r>
      <w:tr>
        <w:trPr>
          <w:trHeight w:val="200"/>
        </w:trPr>
        <w:tc>
          <w:tcPr>
            <w:tcW w:w="7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 in GTSC</w:t>
            </w:r>
          </w:p>
        </w:tc>
        <w:tc>
          <w:tcPr>
            <w:tcW w:w="26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r>
      <w:tr>
        <w:trPr>
          <w:trHeight w:val="203"/>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 SV Lift</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121.1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w:t>
            </w:r>
          </w:p>
        </w:tc>
      </w:tr>
      <w:tr>
        <w:trPr>
          <w:trHeight w:val="21"/>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 (loss) from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26"/>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from Nonconsolidated Affiliates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24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RezPlot Systems LLC equity loss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ind w:left="924"/>
              <w:spacing w:after="0"/>
              <w:rPr>
                <w:sz w:val="20"/>
                <w:szCs w:val="20"/>
                <w:color w:val="auto"/>
              </w:rPr>
            </w:pPr>
            <w:r>
              <w:rPr>
                <w:rFonts w:ascii="Times New Roman" w:cs="Times New Roman" w:eastAsia="Times New Roman" w:hAnsi="Times New Roman"/>
                <w:sz w:val="15"/>
                <w:szCs w:val="15"/>
                <w:color w:val="auto"/>
              </w:rPr>
              <w:t>(2.3)</w:t>
            </w:r>
          </w:p>
        </w:tc>
      </w:tr>
      <w:tr>
        <w:trPr>
          <w:trHeight w:val="20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Sungenia JV equity income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left="944"/>
              <w:spacing w:after="0"/>
              <w:rPr>
                <w:sz w:val="20"/>
                <w:szCs w:val="20"/>
                <w:color w:val="auto"/>
              </w:rPr>
            </w:pPr>
            <w:r>
              <w:rPr>
                <w:rFonts w:ascii="Times New Roman" w:cs="Times New Roman" w:eastAsia="Times New Roman" w:hAnsi="Times New Roman"/>
                <w:sz w:val="15"/>
                <w:szCs w:val="15"/>
                <w:color w:val="auto"/>
              </w:rPr>
              <w:t>0.6</w:t>
            </w:r>
          </w:p>
        </w:tc>
      </w:tr>
      <w:tr>
        <w:trPr>
          <w:trHeight w:val="205"/>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GTSC equity income</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944"/>
              <w:spacing w:after="0"/>
              <w:rPr>
                <w:sz w:val="20"/>
                <w:szCs w:val="20"/>
                <w:color w:val="auto"/>
              </w:rPr>
            </w:pPr>
            <w:r>
              <w:rPr>
                <w:rFonts w:ascii="Times New Roman" w:cs="Times New Roman" w:eastAsia="Times New Roman" w:hAnsi="Times New Roman"/>
                <w:sz w:val="15"/>
                <w:szCs w:val="15"/>
                <w:color w:val="auto"/>
              </w:rPr>
              <w:t>1.6</w:t>
            </w:r>
          </w:p>
        </w:tc>
      </w:tr>
      <w:tr>
        <w:trPr>
          <w:trHeight w:val="200"/>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SV Lift equity loss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924"/>
              <w:spacing w:after="0"/>
              <w:rPr>
                <w:sz w:val="20"/>
                <w:szCs w:val="20"/>
                <w:color w:val="auto"/>
              </w:rPr>
            </w:pPr>
            <w:r>
              <w:rPr>
                <w:rFonts w:ascii="Times New Roman" w:cs="Times New Roman" w:eastAsia="Times New Roman" w:hAnsi="Times New Roman"/>
                <w:sz w:val="15"/>
                <w:szCs w:val="15"/>
                <w:color w:val="auto"/>
              </w:rPr>
              <w:t>(0.8)</w:t>
            </w:r>
          </w:p>
        </w:tc>
      </w:tr>
      <w:tr>
        <w:trPr>
          <w:trHeight w:val="223"/>
        </w:trPr>
        <w:tc>
          <w:tcPr>
            <w:tcW w:w="4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 (Loss) from Nonconsolidated Affiliates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center"/>
              <w:ind w:left="924"/>
              <w:spacing w:after="0"/>
              <w:rPr>
                <w:sz w:val="20"/>
                <w:szCs w:val="20"/>
                <w:color w:val="auto"/>
              </w:rPr>
            </w:pPr>
            <w:r>
              <w:rPr>
                <w:rFonts w:ascii="Times New Roman" w:cs="Times New Roman" w:eastAsia="Times New Roman" w:hAnsi="Times New Roman"/>
                <w:sz w:val="15"/>
                <w:szCs w:val="15"/>
                <w:color w:val="auto"/>
              </w:rPr>
              <w:t>(0.9)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line="230" w:lineRule="auto"/>
        <w:tabs>
          <w:tab w:leader="none" w:pos="165"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 RV reservation software technology company, operating under the Campspot brand, which we invested into in January 2019 and disposed of our ownership interest in December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80" w:type="dxa"/>
            <w:vAlign w:val="bottom"/>
          </w:tcPr>
          <w:p>
            <w:pPr>
              <w:spacing w:after="0"/>
              <w:rPr>
                <w:sz w:val="17"/>
                <w:szCs w:val="17"/>
                <w:color w:val="auto"/>
              </w:rPr>
            </w:pPr>
          </w:p>
        </w:tc>
        <w:tc>
          <w:tcPr>
            <w:tcW w:w="158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Cumulative translation adjustment</w:t>
            </w: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0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23"/>
        </w:trPr>
        <w:tc>
          <w:tcPr>
            <w:tcW w:w="7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80" w:type="dxa"/>
            <w:vAlign w:val="bottom"/>
          </w:tcPr>
          <w:p>
            <w:pPr>
              <w:spacing w:after="0"/>
              <w:rPr>
                <w:sz w:val="17"/>
                <w:szCs w:val="17"/>
                <w:color w:val="auto"/>
              </w:rPr>
            </w:pPr>
          </w:p>
        </w:tc>
        <w:tc>
          <w:tcPr>
            <w:tcW w:w="158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r>
      <w:tr>
        <w:trPr>
          <w:trHeight w:val="200"/>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8"/>
        </w:trPr>
        <w:tc>
          <w:tcPr>
            <w:tcW w:w="76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55.4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60.4</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Consolidated Variable Interest Entities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Operating Partnership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the Operating Partnership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Consolidated VIEs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Sun NG Cisco Grove RV LLC, Sun NG Coyote Ranch RV LLC, Sun NG Kittatinny RV LLC, Sun NG River Beach LLC, Sun NG Beaver Brook LLC, FPG Sun Menifee 80 LLC, Solar Energy Project LLC, Solar Energy Project CA II LLC, Solar Energy Project III LLC and FPG Sun Moreno Valley 66 LLC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concluded that each entity is a VIE where we are the primary beneficiary, as we have the power to direct the significant activities of and absorb the significant losses and receive the significant benefits from each entity. Refer to Note 10, "Equity and Temporary Equity," for additional information on consolidated VIEs.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Sun NG Cisco Grove RV LLC, Sun NG Coyote Ranch RV LLC, </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un NG Kittatinny RV LLC and Sun NG River Beach RV LLC </w:t>
      </w:r>
      <w:r>
        <w:rPr>
          <w:rFonts w:ascii="Times New Roman" w:cs="Times New Roman" w:eastAsia="Times New Roman" w:hAnsi="Times New Roman"/>
          <w:sz w:val="18"/>
          <w:szCs w:val="18"/>
          <w:color w:val="auto"/>
        </w:rPr>
        <w:t>were formed in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Sun NG Beaver Brook RV LLC was formed in September 2022 to engage in the sourcing, due diligence, acquisition, management, construction, leasing and disposition of certain RV parks and resorts (collectively, "the Sun NG Resorts joint ventures"). The table below shows their respective ownership percentages as of June 30, 2024, representing the common equity interests: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17"/>
                <w:szCs w:val="17"/>
                <w:color w:val="auto"/>
              </w:rPr>
            </w:pP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Sun NG LLC</w:t>
            </w:r>
          </w:p>
        </w:tc>
        <w:tc>
          <w:tcPr>
            <w:tcW w:w="17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Third Party Interest</w:t>
            </w:r>
          </w:p>
        </w:tc>
      </w:tr>
      <w:tr>
        <w:trPr>
          <w:trHeight w:val="200"/>
        </w:trPr>
        <w:tc>
          <w:tcPr>
            <w:tcW w:w="7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 NG Cisco Grove RV LLC</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95.4 %</w:t>
            </w: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r>
      <w:tr>
        <w:trPr>
          <w:trHeight w:val="200"/>
        </w:trPr>
        <w:tc>
          <w:tcPr>
            <w:tcW w:w="7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Sun NG Coyote Ranch RV LLC</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205"/>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 NG Kittatinny RV LLC</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r>
      <w:tr>
        <w:trPr>
          <w:trHeight w:val="200"/>
        </w:trPr>
        <w:tc>
          <w:tcPr>
            <w:tcW w:w="7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Sun NG River Beach RV LLC</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205"/>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 NG Beaver Brook RV LLC</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of our consolidated VIEs after eliminations, with the exception of the Operating Partnership, included in our Consolidated Balance Sheets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7"/>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8"/>
        </w:trPr>
        <w:tc>
          <w:tcPr>
            <w:tcW w:w="78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Other Equity</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Advanced reservation deposits and rent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r>
      <w:tr>
        <w:trPr>
          <w:trHeight w:val="194"/>
        </w:trPr>
        <w:tc>
          <w:tcPr>
            <w:tcW w:w="78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Temporary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20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Other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related to the consolidated VIEs, with the exception of the Operating Partnership, comprised 0.8% of our consolidated total assets at June 30, 2024 and December 31, 2023. Total liabilities comprised 0.1% and 0.3% of our consolidated total liabilities at June 30, 2024 and December 31, 2023, respectively. Equity Interests and Noncontrolling interests related to the consolidated VIEs, on an absolute basis, comprised less than 1.0% of our consolidated total equity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and Line of Credit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debt, including premiums, discounts and deferred financing costs (in millions, except for statistical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4"/>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580" w:type="dxa"/>
            <w:vAlign w:val="bottom"/>
            <w:gridSpan w:val="3"/>
          </w:tcPr>
          <w:p>
            <w:pPr>
              <w:ind w:left="680"/>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6"/>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0" w:type="dxa"/>
            <w:vAlign w:val="bottom"/>
          </w:tcPr>
          <w:p>
            <w:pPr>
              <w:spacing w:after="0"/>
              <w:rPr>
                <w:sz w:val="17"/>
                <w:szCs w:val="17"/>
                <w:color w:val="auto"/>
              </w:rPr>
            </w:pPr>
          </w:p>
        </w:tc>
        <w:tc>
          <w:tcPr>
            <w:tcW w:w="2520" w:type="dxa"/>
            <w:vAlign w:val="bottom"/>
            <w:gridSpan w:val="4"/>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Years to Maturity</w:t>
            </w:r>
          </w:p>
        </w:tc>
        <w:tc>
          <w:tcPr>
            <w:tcW w:w="2580" w:type="dxa"/>
            <w:vAlign w:val="bottom"/>
            <w:gridSpan w:val="3"/>
          </w:tcPr>
          <w:p>
            <w:pPr>
              <w:ind w:left="840"/>
              <w:spacing w:after="0"/>
              <w:rPr>
                <w:sz w:val="20"/>
                <w:szCs w:val="20"/>
                <w:color w:val="auto"/>
              </w:rPr>
            </w:pPr>
            <w:r>
              <w:rPr>
                <w:rFonts w:ascii="Times New Roman" w:cs="Times New Roman" w:eastAsia="Times New Roman" w:hAnsi="Times New Roman"/>
                <w:sz w:val="15"/>
                <w:szCs w:val="15"/>
                <w:b w:val="1"/>
                <w:bCs w:val="1"/>
                <w:color w:val="auto"/>
              </w:rPr>
              <w:t>Interest Rates</w:t>
            </w:r>
          </w:p>
        </w:tc>
      </w:tr>
      <w:tr>
        <w:trPr>
          <w:trHeight w:val="152"/>
        </w:trPr>
        <w:tc>
          <w:tcPr>
            <w:tcW w:w="3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06"/>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1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Secured Debt</w:t>
            </w: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03"/>
        </w:trPr>
        <w:tc>
          <w:tcPr>
            <w:tcW w:w="360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Mortgage loans payable</w:t>
            </w:r>
            <w:r>
              <w:rPr>
                <w:rFonts w:ascii="Times New Roman" w:cs="Times New Roman" w:eastAsia="Times New Roman" w:hAnsi="Times New Roman"/>
                <w:sz w:val="19"/>
                <w:szCs w:val="1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3,452.0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3,478.9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tcPr>
          <w:p>
            <w:pPr>
              <w:spacing w:after="0"/>
              <w:rPr>
                <w:sz w:val="17"/>
                <w:szCs w:val="17"/>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3.995 %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3.994 %</w:t>
            </w:r>
          </w:p>
        </w:tc>
      </w:tr>
      <w:tr>
        <w:trPr>
          <w:trHeight w:val="203"/>
        </w:trPr>
        <w:tc>
          <w:tcPr>
            <w:tcW w:w="360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Secured borrowings on collateralized receivables</w:t>
            </w:r>
            <w:r>
              <w:rPr>
                <w:rFonts w:ascii="Times New Roman" w:cs="Times New Roman" w:eastAsia="Times New Roman" w:hAnsi="Times New Roman"/>
                <w:sz w:val="19"/>
                <w:szCs w:val="19"/>
                <w:color w:val="auto"/>
                <w:vertAlign w:val="superscript"/>
              </w:rPr>
              <w:t>(2)</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8.592 %</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8.556 %</w:t>
            </w:r>
          </w:p>
        </w:tc>
      </w:tr>
      <w:tr>
        <w:trPr>
          <w:trHeight w:val="194"/>
        </w:trPr>
        <w:tc>
          <w:tcPr>
            <w:tcW w:w="3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Secured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3,534.7</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Unsecured Debt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360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Senior unsecured notes</w:t>
            </w:r>
            <w:r>
              <w:rPr>
                <w:rFonts w:ascii="Times New Roman" w:cs="Times New Roman" w:eastAsia="Times New Roman" w:hAnsi="Times New Roman"/>
                <w:sz w:val="19"/>
                <w:szCs w:val="19"/>
                <w:color w:val="auto"/>
                <w:vertAlign w:val="superscript"/>
              </w:rPr>
              <w:t>(3)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2,177.5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00" w:type="dxa"/>
            <w:vAlign w:val="bottom"/>
          </w:tcPr>
          <w:p>
            <w:pPr>
              <w:spacing w:after="0"/>
              <w:rPr>
                <w:sz w:val="17"/>
                <w:szCs w:val="17"/>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3.778 %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3.375 %</w:t>
            </w:r>
          </w:p>
        </w:tc>
      </w:tr>
      <w:tr>
        <w:trPr>
          <w:trHeight w:val="24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Line of credit and other debt</w:t>
            </w:r>
            <w:r>
              <w:rPr>
                <w:rFonts w:ascii="Times New Roman" w:cs="Times New Roman" w:eastAsia="Times New Roman" w:hAnsi="Times New Roman"/>
                <w:sz w:val="19"/>
                <w:szCs w:val="19"/>
                <w:color w:val="auto"/>
                <w:vertAlign w:val="superscript"/>
              </w:rPr>
              <w:t>(4)</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1,671.9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2,065.1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5.195 %</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5.428 %</w:t>
            </w:r>
          </w:p>
        </w:tc>
      </w:tr>
      <w:tr>
        <w:trPr>
          <w:trHeight w:val="194"/>
        </w:trPr>
        <w:tc>
          <w:tcPr>
            <w:tcW w:w="3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Total Unsecured Debt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4,346.5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4,242.6</w:t>
            </w: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r>
      <w:tr>
        <w:trPr>
          <w:trHeight w:val="223"/>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7,777.3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4.208 %</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4.234 %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80" w:right="20" w:hanging="172"/>
        <w:spacing w:after="0" w:line="230" w:lineRule="auto"/>
        <w:tabs>
          <w:tab w:leader="none" w:pos="16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June 30, 2024 and December 31, 2023 include zero net debt premiums, as of each such date, and $15.6 million and $16.9 million of deferred financing costs, respectively. Weighted average interest rates include the impact of hedge activity.</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June 30, 2024 and December 31, 2023 include fair value adjustments of $3.5 million and $1.9 million, respectively.</w:t>
      </w:r>
    </w:p>
    <w:p>
      <w:pPr>
        <w:spacing w:after="0" w:line="55" w:lineRule="exact"/>
        <w:rPr>
          <w:rFonts w:ascii="Times New Roman" w:cs="Times New Roman" w:eastAsia="Times New Roman" w:hAnsi="Times New Roman"/>
          <w:sz w:val="19"/>
          <w:szCs w:val="19"/>
          <w:color w:val="auto"/>
          <w:vertAlign w:val="superscript"/>
        </w:rPr>
      </w:pPr>
    </w:p>
    <w:p>
      <w:pPr>
        <w:ind w:left="180" w:right="20" w:hanging="172"/>
        <w:spacing w:after="0" w:line="212" w:lineRule="auto"/>
        <w:tabs>
          <w:tab w:leader="none" w:pos="17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June 30, 2024 and December 31, 2023 include $6.7 million and $6.5 million of net debt discount, respectively, and $18.6 million and $16.0 million of deferred financing costs, respectively. Weighted average interest rates include the impact of hedge activity.</w:t>
      </w:r>
    </w:p>
    <w:p>
      <w:pPr>
        <w:spacing w:after="0" w:line="1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June 30, 2024 and December 31, 2023 include zero and $1.6 million of deferred financing costs, respectively. Weighted average interest rates include the impact of hedge activity.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term loans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the year ended December 31, 2023, no mortgage term loans were repaid.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did not enter into any mortgage term loans. During the year ended December 31, 2023, we entered into the following mortgage term loans during the quarters presented below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2"/>
          </w:tcPr>
          <w:p>
            <w:pPr>
              <w:ind w:left="16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00" w:type="dxa"/>
            <w:vAlign w:val="bottom"/>
          </w:tcPr>
          <w:p>
            <w:pPr>
              <w:spacing w:after="0"/>
              <w:rPr>
                <w:sz w:val="17"/>
                <w:szCs w:val="17"/>
                <w:color w:val="auto"/>
              </w:rPr>
            </w:pPr>
          </w:p>
        </w:tc>
        <w:tc>
          <w:tcPr>
            <w:tcW w:w="134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Loan Amount</w:t>
            </w:r>
          </w:p>
        </w:tc>
        <w:tc>
          <w:tcPr>
            <w:tcW w:w="28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Term (in years)</w:t>
            </w: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2500" w:type="dxa"/>
            <w:vAlign w:val="bottom"/>
          </w:tcPr>
          <w:p>
            <w:pPr>
              <w:ind w:left="780"/>
              <w:spacing w:after="0"/>
              <w:rPr>
                <w:sz w:val="20"/>
                <w:szCs w:val="20"/>
                <w:color w:val="auto"/>
              </w:rPr>
            </w:pPr>
            <w:r>
              <w:rPr>
                <w:rFonts w:ascii="Times New Roman" w:cs="Times New Roman" w:eastAsia="Times New Roman" w:hAnsi="Times New Roman"/>
                <w:sz w:val="15"/>
                <w:szCs w:val="15"/>
                <w:b w:val="1"/>
                <w:bCs w:val="1"/>
                <w:color w:val="auto"/>
              </w:rPr>
              <w:t>Maturity Date</w:t>
            </w:r>
          </w:p>
        </w:tc>
      </w:tr>
      <w:tr>
        <w:trPr>
          <w:trHeight w:val="200"/>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 2023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w:t>
            </w:r>
          </w:p>
        </w:tc>
        <w:tc>
          <w:tcPr>
            <w:tcW w:w="280" w:type="dxa"/>
            <w:vAlign w:val="bottom"/>
            <w:tcBorders>
              <w:top w:val="single" w:sz="8" w:color="CCEEFF"/>
            </w:tcBorders>
            <w:shd w:val="clear" w:color="auto" w:fill="CCEEFF"/>
          </w:tcPr>
          <w:p>
            <w:pPr>
              <w:jc w:val="right"/>
              <w:ind w:right="90"/>
              <w:spacing w:after="0" w:line="113" w:lineRule="exact"/>
              <w:rPr>
                <w:sz w:val="20"/>
                <w:szCs w:val="20"/>
                <w:color w:val="auto"/>
              </w:rPr>
            </w:pPr>
            <w:r>
              <w:rPr>
                <w:rFonts w:ascii="Times New Roman" w:cs="Times New Roman" w:eastAsia="Times New Roman" w:hAnsi="Times New Roman"/>
                <w:sz w:val="10"/>
                <w:szCs w:val="10"/>
                <w:color w:val="auto"/>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6.49 %</w:t>
            </w:r>
          </w:p>
        </w:tc>
        <w:tc>
          <w:tcPr>
            <w:tcW w:w="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 1, 2030</w:t>
            </w:r>
          </w:p>
        </w:tc>
      </w:tr>
      <w:tr>
        <w:trPr>
          <w:trHeight w:val="20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 13, 2026</w:t>
            </w:r>
          </w:p>
        </w:tc>
      </w:tr>
      <w:tr>
        <w:trPr>
          <w:trHeight w:val="20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7 - 10</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5.72 %</w:t>
            </w:r>
          </w:p>
        </w:tc>
        <w:tc>
          <w:tcPr>
            <w:tcW w:w="8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 1, 2030 - April 1, 2033</w:t>
            </w:r>
          </w:p>
        </w:tc>
      </w:tr>
    </w:tbl>
    <w:p>
      <w:pPr>
        <w:spacing w:after="0" w:line="55"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newly encumbered properties.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five existing encumbered properties.</w:t>
      </w:r>
    </w:p>
    <w:p>
      <w:pPr>
        <w:spacing w:after="0" w:line="2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22 existing encumbered properties.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mortgage term loans, which total $3.5 billion as of June 30, 2024, are secured by 156 properties comprised of 62,953 sites representing approximately $2.7 billion of net book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Borrowings on Collateralized Receivables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"Collateralized Receivables and Transfers of Financial Assets," for information on Secured borrowings on collateralized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outstanding senior unsecured notes (in millions, except for statistical information). All senior unsecured notes include interest payments on a semi-annual basis in arrears, and are recorded within the Unsecured debt line item on the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5.5% notes, issued in January 2024 and due in January 2029</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5.7% notes, issued in January 2023 and due in January 2033</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592.6</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446.8</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r>
      <w:tr>
        <w:trPr>
          <w:trHeight w:val="198"/>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2,700.0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2,674.6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2,177.5</w:t>
            </w:r>
          </w:p>
        </w:tc>
      </w:tr>
      <w:tr>
        <w:trPr>
          <w:trHeight w:val="21"/>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46" w:lineRule="auto"/>
        <w:tabs>
          <w:tab w:leader="none" w:pos="15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January 2024, the Operating Partnership issued $500.0 million of senior unsecured notes with an interest rate of 5.5% and a five-year term, due January 15, 2029 (the "2029 Notes"). Interest on the 2029 Notes is payable semi-annually in arrears on January 15 and July 15 of each year, beginning on July 15, 2024. The net proceeds from the offering were $495.4 million, after deducting underwriters' discounts and offering expenses. We used the majority of the net proceeds to repay borrowings outstanding under our Senior Credit Facility.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Operating Partnership (as borrower), SUI (as guarantor), and certain lenders are parties to a credit agreement which governs our senior credit facility (the "Senior Credit Facility").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term loan facility is April 7, 2026. At our option that maturity date may be extended two additional six-month periods.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terminated the term loan facility and settled the associated $1.1 billion of borrowings outstanding under the term loan by increasing our borrowings under the revolving loan of the Senior Credit Facility. By terminating the term loan, we reduced our aggregate borrowing capacity under the Senior Credit Facility to $3.05 billion under the revolving loan. During the six months ended June 30, 2024, we recognized a Loss on extinguishment of debt in our Consolidated Statements of Operations of $0.6 million related to the termination of the term loan facility. In June 2024, we amended the Senior Credit Facility to replace the Canadian Dollar Offered Rate with the Canadian Overnight Repo Rate Average ("CORRA") as the benchmark rate for borrowings denominated in Canadian Dollars, with no other significant changes to the terms of the Senior Credit Facility.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the Adjusted Term Secured Overnight Financing Rate ("SOFR"), the Adjusted Eurocurrency Rate, the Australian Bank Bill Swap Bid Rate ("BBSY"), the Daily Sterling Overnight Index Average ("SONIA") Rate or the CORRA, as applicable, plus a margin, in all cases, which can range from 0.725% to 1.6%, subject to certain adjustments. As of June 30, 2024, the margins based on our credit ratings were 0.85% on the revolving loan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Agreement. We had $1.7 billion and $944.1 million of borrowings outstanding under the revolving loan as of June 30, 2024 and December 31, 2023, respectively. We also had zero and $1.1 billion of borrowings outstanding under the term loan on the Senior Credit Facility as of June 30, 2024 and December 31, 2023, respectively.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$11.2 million and $26.2 million of outstanding letters of credit at June 30, 2024 and December 31, 2023, respectively.</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we amended the agreement to release the associated collateral, extend the term loan facility maturity date to October 29, 2025 and adjust the interest rate margin to a range from 0.8% to 1.6%. In August 2022, we amended the unsecured term loan facility to transition from the Eurodollar rate to SOFR. During the three months ended June 30, 2024, we settled the term loan facility and had no balance outstanding as of June 30, 2024. The outstanding balance was $7.8 million at December 31, 2023 and was recorded in Unsecured debt on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June 30, 2024, we were in compliance with all financial covenants.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Capitalized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capitalize interest during the construction and development of our communities. Capitalized interest costs associated with construction and development activities during the three and six months ended June 30, 2024 and 2023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237"/>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capitalized</w:t>
            </w:r>
          </w:p>
        </w:tc>
        <w:tc>
          <w:tcPr>
            <w:tcW w:w="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1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1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and Temporary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OP Units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June 30, 2024 and December 31, 2023 and the related terms, and summarizes the balance included within Temporary equity on our Consolidated Balance Sheets (in millions, except for statistical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5"/>
                <w:szCs w:val="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00" w:type="dxa"/>
            <w:vAlign w:val="bottom"/>
            <w:gridSpan w:val="4"/>
            <w:vMerge w:val="restart"/>
          </w:tcPr>
          <w:p>
            <w:pPr>
              <w:jc w:val="right"/>
              <w:ind w:right="88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2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Pr>
          <w:p>
            <w:pPr>
              <w:spacing w:after="0"/>
              <w:rPr>
                <w:sz w:val="17"/>
                <w:szCs w:val="17"/>
                <w:color w:val="auto"/>
              </w:rPr>
            </w:pPr>
          </w:p>
        </w:tc>
        <w:tc>
          <w:tcPr>
            <w:tcW w:w="9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2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2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5"/>
                <w:szCs w:val="15"/>
                <w:b w:val="1"/>
                <w:bCs w:val="1"/>
                <w:color w:val="auto"/>
              </w:rPr>
              <w:t>Redemption</w:t>
            </w:r>
            <w:r>
              <w:rPr>
                <w:rFonts w:ascii="Times New Roman" w:cs="Times New Roman" w:eastAsia="Times New Roman" w:hAnsi="Times New Roman"/>
                <w:sz w:val="19"/>
                <w:szCs w:val="19"/>
                <w:b w:val="1"/>
                <w:bCs w:val="1"/>
                <w:color w:val="auto"/>
                <w:vertAlign w:val="superscript"/>
              </w:rPr>
              <w:t>(3)</w:t>
            </w: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Redemption Period</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52"/>
        </w:trPr>
        <w:tc>
          <w:tcPr>
            <w:tcW w:w="13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Series D preferred</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488,958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F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May</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14, 2025 or death of holder</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62"/>
        </w:trPr>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continue"/>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205,812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September 30, 2025 or death</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203"/>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 holder</w:t>
            </w: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Series H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continue"/>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581,229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October 30, 2025 or death of</w:t>
            </w:r>
          </w:p>
        </w:tc>
        <w:tc>
          <w:tcPr>
            <w:tcW w:w="2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0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w:t>
            </w: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During the 30-day period</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following a change of control</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238,000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2.85 %</w:t>
            </w: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of the Company or any time</w:t>
            </w:r>
          </w:p>
        </w:tc>
        <w:tc>
          <w:tcPr>
            <w:tcW w:w="2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3"/>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after April 21, 2026</w:t>
            </w: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K preferred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Within 60 days after March</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 units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0.5882</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23, 2028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0" w:type="dxa"/>
            <w:vAlign w:val="bottom"/>
          </w:tcPr>
          <w:p>
            <w:pPr>
              <w:spacing w:after="0"/>
              <w:rPr>
                <w:sz w:val="1"/>
                <w:szCs w:val="1"/>
                <w:color w:val="auto"/>
              </w:rPr>
            </w:pPr>
          </w:p>
        </w:tc>
      </w:tr>
      <w:tr>
        <w:trPr>
          <w:trHeight w:val="225"/>
        </w:trPr>
        <w:tc>
          <w:tcPr>
            <w:tcW w:w="1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2,603,999</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Equity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redeemable equity interests included in Temporary equity on our Consolidated Balance Sheets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Equity Interest</w:t>
            </w:r>
          </w:p>
        </w:tc>
        <w:tc>
          <w:tcPr>
            <w:tcW w:w="5820" w:type="dxa"/>
            <w:vAlign w:val="bottom"/>
            <w:gridSpan w:val="2"/>
          </w:tcPr>
          <w:p>
            <w:pPr>
              <w:ind w:left="25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0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7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Solar Energy Project CA II LLC</w:t>
            </w:r>
          </w:p>
        </w:tc>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1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Solar Energy Project LLC</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53"/>
        </w:trPr>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2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Arizona and</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Solar Energy Project III LLC</w:t>
            </w:r>
          </w:p>
        </w:tc>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California communities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In connection with investments in land for future development and joint ventures that</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16"/>
        </w:trPr>
        <w:tc>
          <w:tcPr>
            <w:tcW w:w="224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Other stand-alone joint ventures</w:t>
            </w:r>
            <w:r>
              <w:rPr>
                <w:rFonts w:ascii="Times New Roman" w:cs="Times New Roman" w:eastAsia="Times New Roman" w:hAnsi="Times New Roman"/>
                <w:sz w:val="19"/>
                <w:szCs w:val="19"/>
                <w:color w:val="auto"/>
                <w:vertAlign w:val="superscript"/>
              </w:rPr>
              <w:t>(1)</w:t>
            </w:r>
          </w:p>
        </w:tc>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operate portfolios of RV communities in the U.S.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21"/>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8, "Consolidated Variable Interest Entities," for more information on the 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Shelf Registration Statement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we filed a new universal shelf registration statement on Form S-3 with the SEC. The shelf registration statement was deemed automatically effective and provides for the registration of unspecified amounts of equity and debt securities. The authorized number of shares of our capital stock is 380,000,000 shares, of which 360,000,000 shares are common stock and 20,000,000 shares are preferred stock. As of June 30, 2024, we had 124,653,364 shares of common stock issued and outstanding and no shares of preferred stock were issued and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May 2024, we renewed our 2021 At the Market Offering Sales Agreement (the "ATM") with certain sales agents and forward sellers pursuant to which we may sell, from time to time, up to an aggregate gross sales price of $1.25 billion of our common stock. Through June 30, 2024, we had entered into and settled forward sales agreements under the ATM for an aggregate gross sales price of $160.6 million, leaving $1.1 billion available for sale under the ATM.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Common OP Units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we issued common OP units in connection with the acquisition of certain properties: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gridSpan w:val="2"/>
          </w:tcPr>
          <w:p>
            <w:pPr>
              <w:ind w:left="1160"/>
              <w:spacing w:after="0"/>
              <w:rPr>
                <w:sz w:val="20"/>
                <w:szCs w:val="20"/>
                <w:color w:val="auto"/>
              </w:rPr>
            </w:pPr>
            <w:r>
              <w:rPr>
                <w:rFonts w:ascii="Times New Roman" w:cs="Times New Roman" w:eastAsia="Times New Roman" w:hAnsi="Times New Roman"/>
                <w:sz w:val="15"/>
                <w:szCs w:val="15"/>
                <w:b w:val="1"/>
                <w:bCs w:val="1"/>
                <w:color w:val="auto"/>
              </w:rPr>
              <w:t>Month</w:t>
            </w:r>
          </w:p>
        </w:tc>
        <w:tc>
          <w:tcPr>
            <w:tcW w:w="28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Common OP Units Issued</w:t>
            </w:r>
          </w:p>
        </w:tc>
        <w:tc>
          <w:tcPr>
            <w:tcW w:w="160" w:type="dxa"/>
            <w:vAlign w:val="bottom"/>
          </w:tcPr>
          <w:p>
            <w:pPr>
              <w:spacing w:after="0"/>
              <w:rPr>
                <w:sz w:val="17"/>
                <w:szCs w:val="17"/>
                <w:color w:val="auto"/>
              </w:rPr>
            </w:pP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Fair Value at Issuance (in millions)</w:t>
            </w:r>
          </w:p>
        </w:tc>
        <w:tc>
          <w:tcPr>
            <w:tcW w:w="276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rPr>
              <w:t>Related Acquisition</w:t>
            </w:r>
          </w:p>
        </w:tc>
      </w:tr>
      <w:tr>
        <w:trPr>
          <w:trHeight w:val="20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 2024</w:t>
            </w:r>
          </w:p>
        </w:tc>
        <w:tc>
          <w:tcPr>
            <w:tcW w:w="8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Port Milford</w:t>
            </w:r>
          </w:p>
        </w:tc>
      </w:tr>
      <w:tr>
        <w:trPr>
          <w:trHeight w:val="20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March 2024</w:t>
            </w:r>
          </w:p>
        </w:tc>
        <w:tc>
          <w:tcPr>
            <w:tcW w:w="2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4,452</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Land for development</w:t>
            </w:r>
          </w:p>
        </w:tc>
      </w:tr>
      <w:tr>
        <w:trPr>
          <w:trHeight w:val="20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2023</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Fox Run</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Statements of Comprehensive Income / (Loss) for complete details related to OCI activity in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AOCI attributable to SUI common shareholders consisted of the following, net of tax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Pr>
          <w:p>
            <w:pPr>
              <w:spacing w:after="0"/>
              <w:rPr>
                <w:sz w:val="17"/>
                <w:szCs w:val="17"/>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foreign currency translation losses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shd w:val="clear" w:color="auto" w:fill="CCEEFF"/>
          </w:tcPr>
          <w:p>
            <w:pPr>
              <w:jc w:val="center"/>
              <w:ind w:left="964"/>
              <w:spacing w:after="0"/>
              <w:rPr>
                <w:sz w:val="20"/>
                <w:szCs w:val="20"/>
                <w:color w:val="auto"/>
              </w:rPr>
            </w:pPr>
            <w:r>
              <w:rPr>
                <w:rFonts w:ascii="Times New Roman" w:cs="Times New Roman" w:eastAsia="Times New Roman" w:hAnsi="Times New Roman"/>
                <w:sz w:val="15"/>
                <w:szCs w:val="15"/>
                <w:color w:val="auto"/>
              </w:rPr>
              <w:t>(29.5)</w:t>
            </w:r>
          </w:p>
        </w:tc>
      </w:tr>
      <w:tr>
        <w:trPr>
          <w:trHeight w:val="20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net gains on derivatives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left="984"/>
              <w:spacing w:after="0"/>
              <w:rPr>
                <w:sz w:val="20"/>
                <w:szCs w:val="20"/>
                <w:color w:val="auto"/>
              </w:rPr>
            </w:pPr>
            <w:r>
              <w:rPr>
                <w:rFonts w:ascii="Times New Roman" w:cs="Times New Roman" w:eastAsia="Times New Roman" w:hAnsi="Times New Roman"/>
                <w:sz w:val="15"/>
                <w:szCs w:val="15"/>
                <w:color w:val="auto"/>
              </w:rPr>
              <w:t>41.7</w:t>
            </w: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center"/>
              <w:ind w:left="984"/>
              <w:spacing w:after="0"/>
              <w:rPr>
                <w:sz w:val="20"/>
                <w:szCs w:val="20"/>
                <w:color w:val="auto"/>
              </w:rPr>
            </w:pPr>
            <w:r>
              <w:rPr>
                <w:rFonts w:ascii="Times New Roman" w:cs="Times New Roman" w:eastAsia="Times New Roman" w:hAnsi="Times New Roman"/>
                <w:sz w:val="15"/>
                <w:szCs w:val="15"/>
                <w:color w:val="auto"/>
              </w:rPr>
              <w:t>12.2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 - Common and Preferred OP Units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common and preferred OP units included within Noncontrolling interests on our Consolidated Balance Sheets (in millions, except for units and statistical information):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OP Units Outstanding</w:t>
            </w:r>
          </w:p>
        </w:tc>
        <w:tc>
          <w:tcPr>
            <w:tcW w:w="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Annual Distribution</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196"/>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54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5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0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52"/>
        </w:trPr>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Same distribution rate</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2,689,978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 common stock</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A-1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62"/>
        </w:trPr>
        <w:tc>
          <w:tcPr>
            <w:tcW w:w="16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Series A-3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C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296,745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r>
      <w:tr>
        <w:trPr>
          <w:trHeight w:val="162"/>
        </w:trPr>
        <w:tc>
          <w:tcPr>
            <w:tcW w:w="16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Series E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58"/>
        </w:trPr>
        <w:tc>
          <w:tcPr>
            <w:tcW w:w="1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L preferred OP</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1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25"/>
        </w:trPr>
        <w:tc>
          <w:tcPr>
            <w:tcW w:w="1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3,318,803</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Conversions to Common Stock and Common OP Units </w:t>
      </w:r>
      <w:r>
        <w:rPr>
          <w:rFonts w:ascii="Times New Roman" w:cs="Times New Roman" w:eastAsia="Times New Roman" w:hAnsi="Times New Roman"/>
          <w:sz w:val="18"/>
          <w:szCs w:val="18"/>
          <w:color w:val="auto"/>
        </w:rPr>
        <w:t>- Subject to certain limitations, holders can convert certain series of OP units to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to common OP units at any time. Below is the activity of conversions during the six months ended June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180" w:type="dxa"/>
            <w:vAlign w:val="bottom"/>
            <w:tcBorders>
              <w:bottom w:val="single" w:sz="8" w:color="auto"/>
            </w:tcBorders>
          </w:tcPr>
          <w:p>
            <w:pPr>
              <w:spacing w:after="0"/>
              <w:rPr>
                <w:sz w:val="17"/>
                <w:szCs w:val="17"/>
                <w:color w:val="auto"/>
              </w:rPr>
            </w:pPr>
          </w:p>
        </w:tc>
      </w:tr>
      <w:tr>
        <w:trPr>
          <w:trHeight w:val="200"/>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4"/>
          </w:tcPr>
          <w:p>
            <w:pPr>
              <w:ind w:left="7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440" w:type="dxa"/>
            <w:vAlign w:val="bottom"/>
            <w:gridSpan w:val="3"/>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Conversion</w:t>
            </w:r>
          </w:p>
        </w:tc>
        <w:tc>
          <w:tcPr>
            <w:tcW w:w="1260" w:type="dxa"/>
            <w:vAlign w:val="bottom"/>
            <w:tcBorders>
              <w:top w:val="single" w:sz="8" w:color="auto"/>
            </w:tcBorders>
            <w:gridSpan w:val="2"/>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60"/>
              <w:spacing w:after="0" w:line="148"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180" w:type="dxa"/>
            <w:vAlign w:val="bottom"/>
            <w:tcBorders>
              <w:top w:val="single" w:sz="8" w:color="auto"/>
            </w:tcBorders>
          </w:tcPr>
          <w:p>
            <w:pPr>
              <w:spacing w:after="0"/>
              <w:rPr>
                <w:sz w:val="12"/>
                <w:szCs w:val="12"/>
                <w:color w:val="auto"/>
              </w:rPr>
            </w:pPr>
          </w:p>
        </w:tc>
      </w:tr>
      <w:tr>
        <w:trPr>
          <w:trHeight w:val="21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3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Aspen preferred OP units</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Various</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270,000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86,224</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68,783</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68,783</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10,332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25,195</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9,103</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10,104</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4,898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11,934</w:t>
            </w:r>
          </w:p>
        </w:tc>
      </w:tr>
      <w:tr>
        <w:trPr>
          <w:trHeight w:val="20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w:t>
            </w:r>
          </w:p>
        </w:tc>
      </w:tr>
    </w:tbl>
    <w:p>
      <w:pPr>
        <w:spacing w:after="0" w:line="85"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for the six months ended June 30, 2024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Total Distribution (in</w:t>
            </w:r>
          </w:p>
        </w:tc>
      </w:tr>
      <w:tr>
        <w:trPr>
          <w:trHeight w:val="20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Common OP units and Restricted Stock Distributions</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Distribution Per Share</w:t>
            </w:r>
          </w:p>
        </w:tc>
        <w:tc>
          <w:tcPr>
            <w:tcW w:w="260" w:type="dxa"/>
            <w:vAlign w:val="bottom"/>
          </w:tcPr>
          <w:p>
            <w:pPr>
              <w:spacing w:after="0"/>
              <w:rPr>
                <w:sz w:val="17"/>
                <w:szCs w:val="17"/>
                <w:color w:val="auto"/>
              </w:rPr>
            </w:pPr>
          </w:p>
        </w:tc>
        <w:tc>
          <w:tcPr>
            <w:tcW w:w="122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Millions)</w:t>
            </w:r>
          </w:p>
        </w:tc>
      </w:tr>
      <w:tr>
        <w:trPr>
          <w:trHeight w:val="200"/>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31, 2024</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3/29/2024</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4/15/2024</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r>
      <w:tr>
        <w:trPr>
          <w:trHeight w:val="198"/>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June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6/28/2024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7/15/2024</w:t>
            </w:r>
          </w:p>
        </w:tc>
        <w:tc>
          <w:tcPr>
            <w:tcW w:w="8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0.94</w:t>
            </w:r>
          </w:p>
        </w:tc>
        <w:tc>
          <w:tcPr>
            <w:tcW w:w="8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shares were granted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6"/>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340" w:type="dxa"/>
            <w:vAlign w:val="bottom"/>
          </w:tcPr>
          <w:p>
            <w:pPr>
              <w:spacing w:after="0"/>
              <w:rPr>
                <w:sz w:val="17"/>
                <w:szCs w:val="17"/>
                <w:color w:val="auto"/>
              </w:rPr>
            </w:pPr>
          </w:p>
        </w:tc>
        <w:tc>
          <w:tcPr>
            <w:tcW w:w="3080" w:type="dxa"/>
            <w:vAlign w:val="bottom"/>
            <w:gridSpan w:val="2"/>
          </w:tcPr>
          <w:p>
            <w:pPr>
              <w:ind w:left="118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 Granted</w:t>
            </w:r>
          </w:p>
        </w:tc>
        <w:tc>
          <w:tcPr>
            <w:tcW w:w="120" w:type="dxa"/>
            <w:vAlign w:val="bottom"/>
          </w:tcPr>
          <w:p>
            <w:pPr>
              <w:spacing w:after="0"/>
              <w:rPr>
                <w:sz w:val="17"/>
                <w:szCs w:val="17"/>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Value Per Share</w:t>
            </w:r>
          </w:p>
        </w:tc>
        <w:tc>
          <w:tcPr>
            <w:tcW w:w="34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Vesting Type</w:t>
            </w:r>
          </w:p>
        </w:tc>
        <w:tc>
          <w:tcPr>
            <w:tcW w:w="320" w:type="dxa"/>
            <w:vAlign w:val="bottom"/>
          </w:tcPr>
          <w:p>
            <w:pPr>
              <w:spacing w:after="0"/>
              <w:rPr>
                <w:sz w:val="17"/>
                <w:szCs w:val="17"/>
                <w:color w:val="auto"/>
              </w:rPr>
            </w:pPr>
          </w:p>
        </w:tc>
      </w:tr>
      <w:tr>
        <w:trPr>
          <w:trHeight w:val="200"/>
        </w:trPr>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205,540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132.10</w:t>
            </w:r>
          </w:p>
        </w:tc>
        <w:tc>
          <w:tcPr>
            <w:tcW w:w="340" w:type="dxa"/>
            <w:vAlign w:val="bottom"/>
            <w:tcBorders>
              <w:top w:val="single" w:sz="8" w:color="CCEEFF"/>
            </w:tcBorders>
            <w:shd w:val="clear" w:color="auto" w:fill="CCEEFF"/>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(1)</w:t>
            </w: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Borders>
              <w:top w:val="single" w:sz="8" w:color="CCEEFF"/>
            </w:tcBorders>
            <w:shd w:val="clear" w:color="auto" w:fill="CCEEFF"/>
          </w:tcPr>
          <w:p>
            <w:pPr>
              <w:spacing w:after="0"/>
              <w:rPr>
                <w:sz w:val="17"/>
                <w:szCs w:val="17"/>
                <w:color w:val="auto"/>
              </w:rPr>
            </w:pP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(4)</w:t>
            </w: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220,558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shd w:val="clear" w:color="auto" w:fill="CCEEFF"/>
          </w:tcPr>
          <w:p>
            <w:pPr>
              <w:spacing w:after="0"/>
              <w:rPr>
                <w:sz w:val="17"/>
                <w:szCs w:val="17"/>
                <w:color w:val="auto"/>
              </w:rPr>
            </w:pPr>
          </w:p>
        </w:tc>
      </w:tr>
      <w:tr>
        <w:trPr>
          <w:trHeight w:val="200"/>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r>
      <w:tr>
        <w:trPr>
          <w:trHeight w:val="205"/>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r>
      <w:tr>
        <w:trPr>
          <w:trHeight w:val="198"/>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(5)</w:t>
            </w:r>
          </w:p>
        </w:tc>
      </w:tr>
    </w:tbl>
    <w:p>
      <w:pPr>
        <w:spacing w:after="0" w:line="59"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Share-based compensation for restricted stock awards with market conditions is measured based on shares expected to vest using a Monte Carlo simulation to determine fair value.</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6,000 shares that were deferred under the 2021 Non-Employee Directors Deferred Compensation Plan and are issuable on future dates.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2,000 shares that were deferred under the 2021 Non-Employee Directors Deferred Compensation Plan and are issuable on future dates.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vesting requirements for 195,934 and 223,529 restricted shares granted to our executives, directors and employees were satisfied during the six months ended June 30,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share-based compensation costs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4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Pr>
          <w:p>
            <w:pPr>
              <w:spacing w:after="0"/>
              <w:rPr>
                <w:sz w:val="17"/>
                <w:szCs w:val="17"/>
                <w:color w:val="auto"/>
              </w:rPr>
            </w:pPr>
          </w:p>
        </w:tc>
        <w:tc>
          <w:tcPr>
            <w:tcW w:w="12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237"/>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 expensed</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102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r>
    </w:tbl>
    <w:p>
      <w:pPr>
        <w:spacing w:after="0" w:line="55"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Recorded within General and administrative expense 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the way that business enterprises report information about operating segments in its financial statements. As described in Note 1, "Basis of Presentation," effective January 1, 2024, we expanded our organizational structure from three segments, which consisted of (i) manufactured home ("MH") communities, (ii) recreational vehicle ("RV") communities, and (iii) Marinas to add a fourth segment that includes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reportable segments are: (i) MH, (ii) RV, (iii) Marina and (iv) UK.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Marina segment owns, operates and develops marinas, and is in the business of acquiring and operating marinas in the U.S., with the majority of such marinas concentrated in coastal regions, and others located in various inland regions.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Pr>
          <w:p>
            <w:pPr>
              <w:spacing w:after="0"/>
              <w:rPr>
                <w:sz w:val="17"/>
                <w:szCs w:val="17"/>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RV</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Pr>
          <w:p>
            <w:pPr>
              <w:spacing w:after="0"/>
              <w:rPr>
                <w:sz w:val="17"/>
                <w:szCs w:val="17"/>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RV</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261.0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839.6</w:t>
            </w:r>
          </w:p>
        </w:tc>
        <w:tc>
          <w:tcPr>
            <w:tcW w:w="0" w:type="dxa"/>
            <w:vAlign w:val="bottom"/>
          </w:tcPr>
          <w:p>
            <w:pPr>
              <w:spacing w:after="0"/>
              <w:rPr>
                <w:sz w:val="1"/>
                <w:szCs w:val="1"/>
                <w:color w:val="auto"/>
              </w:rPr>
            </w:pPr>
          </w:p>
        </w:tc>
      </w:tr>
      <w:tr>
        <w:trPr>
          <w:trHeight w:val="20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462.8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461.0</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w:t>
            </w:r>
          </w:p>
        </w:tc>
        <w:tc>
          <w:tcPr>
            <w:tcW w:w="0" w:type="dxa"/>
            <w:vAlign w:val="bottom"/>
          </w:tcPr>
          <w:p>
            <w:pPr>
              <w:spacing w:after="0"/>
              <w:rPr>
                <w:sz w:val="1"/>
                <w:szCs w:val="1"/>
                <w:color w:val="auto"/>
              </w:rPr>
            </w:pP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0" w:type="dxa"/>
            <w:vAlign w:val="bottom"/>
          </w:tcPr>
          <w:p>
            <w:pPr>
              <w:spacing w:after="0"/>
              <w:rPr>
                <w:sz w:val="1"/>
                <w:szCs w:val="1"/>
                <w:color w:val="auto"/>
              </w:rPr>
            </w:pPr>
          </w:p>
        </w:tc>
      </w:tr>
      <w:tr>
        <w:trPr>
          <w:trHeight w:val="158"/>
        </w:trPr>
        <w:tc>
          <w:tcPr>
            <w:tcW w:w="344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remeasurement of marketable securities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expense, net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remeasurement of notes receivable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58"/>
        </w:trPr>
        <w:tc>
          <w:tcPr>
            <w:tcW w:w="344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Income / (loss) from nonconsolidated affiliates (see</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 7)</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Gain on remeasurement of investment in</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tax benefit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94"/>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 / (Loss)</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(212.2)</w:t>
            </w:r>
          </w:p>
        </w:tc>
        <w:tc>
          <w:tcPr>
            <w:tcW w:w="0" w:type="dxa"/>
            <w:vAlign w:val="bottom"/>
          </w:tcPr>
          <w:p>
            <w:pPr>
              <w:spacing w:after="0"/>
              <w:rPr>
                <w:sz w:val="1"/>
                <w:szCs w:val="1"/>
                <w:color w:val="auto"/>
              </w:rPr>
            </w:pPr>
          </w:p>
        </w:tc>
      </w:tr>
      <w:tr>
        <w:trPr>
          <w:trHeight w:val="160"/>
        </w:trPr>
        <w:tc>
          <w:tcPr>
            <w:tcW w:w="3440" w:type="dxa"/>
            <w:vAlign w:val="bottom"/>
            <w:shd w:val="clear" w:color="auto" w:fill="CCEEFF"/>
          </w:tcPr>
          <w:p>
            <w:pPr>
              <w:ind w:left="360"/>
              <w:spacing w:after="0" w:line="161"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58"/>
        </w:trPr>
        <w:tc>
          <w:tcPr>
            <w:tcW w:w="344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Income / (loss) attributable to</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5"/>
                <w:szCs w:val="15"/>
                <w:b w:val="1"/>
                <w:bCs w:val="1"/>
                <w:color w:val="auto"/>
              </w:rPr>
              <w:t>Net income / (Loss) Attributable to SUI Common</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RV</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4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MH</w:t>
            </w:r>
          </w:p>
        </w:tc>
        <w:tc>
          <w:tcPr>
            <w:tcW w:w="14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RV</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60" w:type="dxa"/>
            <w:vAlign w:val="bottom"/>
          </w:tcPr>
          <w:p>
            <w:pPr>
              <w:spacing w:after="0"/>
              <w:rPr>
                <w:sz w:val="17"/>
                <w:szCs w:val="17"/>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298.4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299.6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441.2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1,469.9</w:t>
            </w:r>
          </w:p>
        </w:tc>
        <w:tc>
          <w:tcPr>
            <w:tcW w:w="0" w:type="dxa"/>
            <w:vAlign w:val="bottom"/>
          </w:tcPr>
          <w:p>
            <w:pPr>
              <w:spacing w:after="0"/>
              <w:rPr>
                <w:sz w:val="1"/>
                <w:szCs w:val="1"/>
                <w:color w:val="auto"/>
              </w:rPr>
            </w:pPr>
          </w:p>
        </w:tc>
      </w:tr>
      <w:tr>
        <w:trPr>
          <w:trHeight w:val="20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161.0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821.6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165.1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294.2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810.7</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Operating Income /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137.4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134.5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147.0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659.2</w:t>
            </w:r>
          </w:p>
        </w:tc>
        <w:tc>
          <w:tcPr>
            <w:tcW w:w="0" w:type="dxa"/>
            <w:vAlign w:val="bottom"/>
          </w:tcPr>
          <w:p>
            <w:pPr>
              <w:spacing w:after="0"/>
              <w:rPr>
                <w:sz w:val="1"/>
                <w:szCs w:val="1"/>
                <w:color w:val="auto"/>
              </w:rPr>
            </w:pPr>
          </w:p>
        </w:tc>
      </w:tr>
      <w:tr>
        <w:trPr>
          <w:trHeight w:val="200"/>
        </w:trPr>
        <w:tc>
          <w:tcPr>
            <w:tcW w:w="3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 units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equity</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remeasurement of marketable securities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foreign currency exchanges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0"/>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remeasurement of notes receivable</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 (loss) from nonconsolidated affiliates (see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58"/>
        </w:trPr>
        <w:tc>
          <w:tcPr>
            <w:tcW w:w="356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investment in</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0"/>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 / (Loss)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w:t>
            </w:r>
          </w:p>
        </w:tc>
        <w:tc>
          <w:tcPr>
            <w:tcW w:w="0" w:type="dxa"/>
            <w:vAlign w:val="bottom"/>
          </w:tcPr>
          <w:p>
            <w:pPr>
              <w:spacing w:after="0"/>
              <w:rPr>
                <w:sz w:val="1"/>
                <w:szCs w:val="1"/>
                <w:color w:val="auto"/>
              </w:rPr>
            </w:pPr>
          </w:p>
        </w:tc>
      </w:tr>
      <w:tr>
        <w:trPr>
          <w:trHeight w:val="158"/>
        </w:trPr>
        <w:tc>
          <w:tcPr>
            <w:tcW w:w="356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 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Less: Income / (loss) attributable to noncontrolling</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134"/>
        </w:trPr>
        <w:tc>
          <w:tcPr>
            <w:tcW w:w="356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Income / (Loss) Attributable to Sun</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(252.5)</w:t>
            </w:r>
          </w:p>
        </w:tc>
        <w:tc>
          <w:tcPr>
            <w:tcW w:w="0" w:type="dxa"/>
            <w:vAlign w:val="bottom"/>
          </w:tcPr>
          <w:p>
            <w:pPr>
              <w:spacing w:after="0"/>
              <w:rPr>
                <w:sz w:val="1"/>
                <w:szCs w:val="1"/>
                <w:color w:val="auto"/>
              </w:rPr>
            </w:pPr>
          </w:p>
        </w:tc>
      </w:tr>
      <w:tr>
        <w:trPr>
          <w:trHeight w:val="188"/>
        </w:trPr>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Communities, Inc.</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5"/>
                <w:szCs w:val="15"/>
                <w:b w:val="1"/>
                <w:bCs w:val="1"/>
                <w:color w:val="auto"/>
              </w:rPr>
              <w:t>December 31, 2023</w:t>
            </w:r>
            <w:r>
              <w:rPr>
                <w:rFonts w:ascii="Times New Roman" w:cs="Times New Roman" w:eastAsia="Times New Roman" w:hAnsi="Times New Roman"/>
                <w:sz w:val="19"/>
                <w:szCs w:val="19"/>
                <w:b w:val="1"/>
                <w:bCs w:val="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196"/>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8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5,244.4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3,694.0</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3,276.3</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2,250.0</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14,464.7</w:t>
            </w:r>
          </w:p>
        </w:tc>
        <w:tc>
          <w:tcPr>
            <w:tcW w:w="14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5,317.4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3,718.8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3,214.5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2,192.9</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14,443.6</w:t>
            </w:r>
          </w:p>
        </w:tc>
      </w:tr>
      <w:tr>
        <w:trPr>
          <w:trHeight w:val="160"/>
        </w:trPr>
        <w:tc>
          <w:tcPr>
            <w:tcW w:w="220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Cash, cash equivalents and</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06"/>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158"/>
        </w:trPr>
        <w:tc>
          <w:tcPr>
            <w:tcW w:w="2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Inventory of manufactured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2"/>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homes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w:t>
            </w:r>
          </w:p>
        </w:tc>
      </w:tr>
      <w:tr>
        <w:trPr>
          <w:trHeight w:val="207"/>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5"/>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733.0</w:t>
            </w: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w:t>
            </w:r>
          </w:p>
        </w:tc>
      </w:tr>
      <w:tr>
        <w:trPr>
          <w:trHeight w:val="203"/>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668.5</w:t>
            </w:r>
          </w:p>
        </w:tc>
      </w:tr>
      <w:tr>
        <w:trPr>
          <w:trHeight w:val="198"/>
        </w:trPr>
        <w:tc>
          <w:tcPr>
            <w:tcW w:w="2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5,892.0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3,953.7</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4,400.0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2,765.4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17,011.1</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5,941.2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3,960.7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4,309.6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2,729.2</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16,940.7</w:t>
            </w: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Recast to reflect segment changes.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six months ended June 30, 2024.</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 As of June 30, 2024, we had $303.7 million of net deferred tax liabilities, comprised of deferred tax assets, net of valuation allowance of $58.9 million, and deferred tax liabilities of $362.6 million. The deferred tax liability balance is comprised primarily of basis differences in our foreign investment in properties in the United Kingdom and Canada. As of December 31, 2023, we had $277.1 million of net deferred tax liabilities, comprised of deferred tax assets, net of valuation allowance of $58.1 million, and deferred tax liabilities of $335.2 million. The net deferred tax assets and deferred tax liabilities are recorded within Other assets and Other liabilities, respectively, on our Consolidated Balance Sheets as of June 30, 2024 and December 31, 2023.</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unrecognized tax benefits as of June 30, 2024 and 2023. We do not expect significant changes in tax positions that would result in unrecognized tax benefits within one year of June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we recorded current tax expense for federal, state, Canadian, Puerto Rican, and United Kingdom income taxes totaling $5.3 million and $7.4 million, respectively. For the three and six months ended June 30, 2023, we recorded current tax expense for federal, state, Canadian, Puerto Rican, and United Kingdom income taxes and Australian withholding taxes totaling $5.4 million and $9.3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we recorded a deferred tax benefit of $3.7 million and $9.4 million, respectively. For the three and six months ended June 30, 2023, we recorded a deferred tax benefit of $7.7 million and $12.3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 (Loss)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enter into forward equity sales agreements, which are discussed in Note 10,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Series L preferred OP units, which, if converted or exercised, may impact dilution.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Computations of basic and diluted EPS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6"/>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2740" w:type="dxa"/>
            <w:vAlign w:val="bottom"/>
            <w:gridSpan w:val="4"/>
          </w:tcPr>
          <w:p>
            <w:pPr>
              <w:jc w:val="right"/>
              <w:ind w:right="78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0"/>
        </w:trPr>
        <w:tc>
          <w:tcPr>
            <w:tcW w:w="5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 (loss) attributable to SUI common shareholders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(252.5)</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allocation to restricted stock awards</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38"/>
        </w:trPr>
        <w:tc>
          <w:tcPr>
            <w:tcW w:w="5200" w:type="dxa"/>
            <w:vAlign w:val="bottom"/>
          </w:tcPr>
          <w:p>
            <w:pPr>
              <w:ind w:left="140"/>
              <w:spacing w:after="0" w:line="138" w:lineRule="exact"/>
              <w:rPr>
                <w:sz w:val="20"/>
                <w:szCs w:val="20"/>
                <w:color w:val="auto"/>
              </w:rPr>
            </w:pPr>
            <w:r>
              <w:rPr>
                <w:rFonts w:ascii="Times New Roman" w:cs="Times New Roman" w:eastAsia="Times New Roman" w:hAnsi="Times New Roman"/>
                <w:sz w:val="15"/>
                <w:szCs w:val="15"/>
                <w:color w:val="auto"/>
              </w:rPr>
              <w:t>Basic earnings - net income / (loss) attributable to common shareholders after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to restricted stock awards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(250.6)</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allocation to common and preferred OP units dilutive effect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 allocation to restricted stock awards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40"/>
        </w:trPr>
        <w:tc>
          <w:tcPr>
            <w:tcW w:w="5200" w:type="dxa"/>
            <w:vAlign w:val="bottom"/>
            <w:tcBorders>
              <w:top w:val="single" w:sz="8" w:color="CCEEFF"/>
            </w:tcBorders>
            <w:shd w:val="clear" w:color="auto" w:fill="CCEEFF"/>
          </w:tcPr>
          <w:p>
            <w:pPr>
              <w:ind w:left="140"/>
              <w:spacing w:after="0" w:line="140" w:lineRule="exact"/>
              <w:rPr>
                <w:sz w:val="20"/>
                <w:szCs w:val="20"/>
                <w:color w:val="auto"/>
              </w:rPr>
            </w:pPr>
            <w:r>
              <w:rPr>
                <w:rFonts w:ascii="Times New Roman" w:cs="Times New Roman" w:eastAsia="Times New Roman" w:hAnsi="Times New Roman"/>
                <w:sz w:val="15"/>
                <w:szCs w:val="15"/>
                <w:color w:val="auto"/>
              </w:rPr>
              <w:t>Diluted earnings - net income / (loss) attributable to common shareholders after</w:t>
            </w:r>
          </w:p>
        </w:tc>
        <w:tc>
          <w:tcPr>
            <w:tcW w:w="18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(257.5)</w:t>
            </w:r>
          </w:p>
        </w:tc>
        <w:tc>
          <w:tcPr>
            <w:tcW w:w="0" w:type="dxa"/>
            <w:vAlign w:val="bottom"/>
          </w:tcPr>
          <w:p>
            <w:pPr>
              <w:spacing w:after="0"/>
              <w:rPr>
                <w:sz w:val="1"/>
                <w:szCs w:val="1"/>
                <w:color w:val="auto"/>
              </w:rPr>
            </w:pPr>
          </w:p>
        </w:tc>
      </w:tr>
      <w:tr>
        <w:trPr>
          <w:trHeight w:val="200"/>
        </w:trPr>
        <w:tc>
          <w:tcPr>
            <w:tcW w:w="5200" w:type="dxa"/>
            <w:vAlign w:val="bottom"/>
            <w:tcBorders>
              <w:bottom w:val="single" w:sz="8" w:color="CCEEFF"/>
            </w:tcBorders>
            <w:shd w:val="clear" w:color="auto" w:fill="CCEEFF"/>
          </w:tcPr>
          <w:p>
            <w:pPr>
              <w:ind w:left="140"/>
              <w:spacing w:after="0" w:line="180" w:lineRule="exact"/>
              <w:rPr>
                <w:sz w:val="20"/>
                <w:szCs w:val="20"/>
                <w:color w:val="auto"/>
              </w:rPr>
            </w:pPr>
            <w:r>
              <w:rPr>
                <w:rFonts w:ascii="Times New Roman" w:cs="Times New Roman" w:eastAsia="Times New Roman" w:hAnsi="Times New Roman"/>
                <w:sz w:val="15"/>
                <w:szCs w:val="15"/>
                <w:color w:val="auto"/>
              </w:rPr>
              <w:t>allocation to common and preferred OP units</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gridSpan w:val="2"/>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dilutive restricted stock</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 common and preferred OP units dilutive effect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weighted average common shares and securities</w:t>
            </w:r>
            <w:r>
              <w:rPr>
                <w:rFonts w:ascii="Times New Roman" w:cs="Times New Roman" w:eastAsia="Times New Roman" w:hAnsi="Times New Roman"/>
                <w:sz w:val="19"/>
                <w:szCs w:val="19"/>
                <w:color w:val="auto"/>
                <w:vertAlign w:val="superscript"/>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EPS Available to Common Shareholders After Allocation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earnings / (loss) per share</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35"/>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earnings / (loss) per share</w:t>
            </w:r>
            <w:r>
              <w:rPr>
                <w:rFonts w:ascii="Times New Roman" w:cs="Times New Roman" w:eastAsia="Times New Roman" w:hAnsi="Times New Roman"/>
                <w:sz w:val="9"/>
                <w:szCs w:val="9"/>
                <w:color w:val="auto"/>
              </w:rPr>
              <w:t>(1)</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2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8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180" w:hanging="172"/>
        <w:spacing w:after="0" w:line="233" w:lineRule="auto"/>
        <w:tabs>
          <w:tab w:leader="none" w:pos="165"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and six months ended June 30, 2024, diluted earnings per share was calculated using the two-class method for restricted common shares as the application of this method resulted in a more diluted earnings per share during those periods. For the three and six months ended June 30, 2023, diluted loss per share was calculated using the treasury stock method for restricted common shares as the application of this method resulted in a more diluted loss per share during those periods.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computations of diluted EPS as of June 30, 2024 and 2023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300" w:type="dxa"/>
            <w:vAlign w:val="bottom"/>
            <w:tcBorders>
              <w:bottom w:val="single" w:sz="8" w:color="auto"/>
            </w:tcBorders>
          </w:tcPr>
          <w:p>
            <w:pPr>
              <w:spacing w:after="0"/>
              <w:rPr>
                <w:sz w:val="17"/>
                <w:szCs w:val="17"/>
                <w:color w:val="auto"/>
              </w:rPr>
            </w:pPr>
          </w:p>
        </w:tc>
      </w:tr>
      <w:tr>
        <w:trPr>
          <w:trHeight w:val="200"/>
        </w:trPr>
        <w:tc>
          <w:tcPr>
            <w:tcW w:w="80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A-1 preferred OP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A-3 preferred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3"/>
        </w:trPr>
        <w:tc>
          <w:tcPr>
            <w:tcW w:w="80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Aspen preferred OP units</w:t>
            </w:r>
            <w:r>
              <w:rPr>
                <w:rFonts w:ascii="Times New Roman" w:cs="Times New Roman" w:eastAsia="Times New Roman" w:hAnsi="Times New Roman"/>
                <w:sz w:val="19"/>
                <w:szCs w:val="19"/>
                <w:color w:val="auto"/>
                <w:vertAlign w:val="superscript"/>
              </w:rPr>
              <w:t>(2)</w:t>
            </w:r>
          </w:p>
        </w:tc>
        <w:tc>
          <w:tcPr>
            <w:tcW w:w="1880" w:type="dxa"/>
            <w:vAlign w:val="bottom"/>
            <w:gridSpan w:val="4"/>
          </w:tcPr>
          <w:p>
            <w:pPr>
              <w:ind w:left="11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200"/>
        </w:trPr>
        <w:tc>
          <w:tcPr>
            <w:tcW w:w="8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0"/>
        </w:trPr>
        <w:tc>
          <w:tcPr>
            <w:tcW w:w="8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r>
      <w:tr>
        <w:trPr>
          <w:trHeight w:val="200"/>
        </w:trPr>
        <w:tc>
          <w:tcPr>
            <w:tcW w:w="8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00"/>
        </w:trPr>
        <w:tc>
          <w:tcPr>
            <w:tcW w:w="8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K preferred OP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L preferred OP units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198"/>
        </w:trPr>
        <w:tc>
          <w:tcPr>
            <w:tcW w:w="806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Securities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5,923</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4,243</w:t>
            </w:r>
          </w:p>
        </w:tc>
      </w:tr>
      <w:tr>
        <w:trPr>
          <w:trHeight w:val="20"/>
        </w:trPr>
        <w:tc>
          <w:tcPr>
            <w:tcW w:w="8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69" w:lineRule="exact"/>
        <w:rPr>
          <w:sz w:val="20"/>
          <w:szCs w:val="20"/>
          <w:color w:val="auto"/>
        </w:rPr>
      </w:pPr>
    </w:p>
    <w:p>
      <w:pPr>
        <w:ind w:left="180" w:right="20" w:hanging="172"/>
        <w:spacing w:after="0" w:line="230" w:lineRule="auto"/>
        <w:tabs>
          <w:tab w:leader="none" w:pos="164"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June 30, 2024, Common OP units were excluded from the computation of diluted earnings per share because the inclusion of those securities would have been anti-dilutive for the period. For the six months ended June 30, 2024, Common OP units were included in the computation of diluted earnings per share because they were dilutive for the period.</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of our outstanding Aspen preferred OP units converted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Derivative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rate locks, interest rate swaps, and forward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we held 10 and 13 derivative contracts, which have each been designated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risks being hedged are the interest rate risk related to outstanding floating rate debt and forecasted debt issuance transactions, and the benchmark interest rates used are the SOFR and the SONIA Rate. The unrealized gains or losses on the derivative instruments are recorded in AOCI and are reclassified to Interest expense on the Consolidated Statements of Operations during the same period in which the hedged transaction affects earnings. We estimate that $14.2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Contract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we entered into the following derivative contracts (with notional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Index</w:t>
            </w:r>
          </w:p>
        </w:tc>
        <w:tc>
          <w:tcPr>
            <w:tcW w:w="2440" w:type="dxa"/>
            <w:vAlign w:val="bottom"/>
          </w:tcPr>
          <w:p>
            <w:pPr>
              <w:spacing w:after="0"/>
              <w:rPr>
                <w:sz w:val="15"/>
                <w:szCs w:val="15"/>
                <w:color w:val="auto"/>
              </w:rPr>
            </w:pPr>
          </w:p>
        </w:tc>
      </w:tr>
      <w:tr>
        <w:trPr>
          <w:trHeight w:val="206"/>
        </w:trPr>
        <w:tc>
          <w:tcPr>
            <w:tcW w:w="3360" w:type="dxa"/>
            <w:vAlign w:val="bottom"/>
            <w:gridSpan w:val="2"/>
          </w:tcPr>
          <w:p>
            <w:pPr>
              <w:ind w:left="14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80" w:type="dxa"/>
            <w:vAlign w:val="bottom"/>
          </w:tcPr>
          <w:p>
            <w:pPr>
              <w:spacing w:after="0"/>
              <w:rPr>
                <w:sz w:val="17"/>
                <w:szCs w:val="17"/>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Instrument Type</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20" w:type="dxa"/>
            <w:vAlign w:val="bottom"/>
          </w:tcPr>
          <w:p>
            <w:pPr>
              <w:spacing w:after="0"/>
              <w:rPr>
                <w:sz w:val="17"/>
                <w:szCs w:val="17"/>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Type</w:t>
            </w:r>
          </w:p>
        </w:tc>
        <w:tc>
          <w:tcPr>
            <w:tcW w:w="244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rPr>
              <w:t>Hedged Item</w:t>
            </w:r>
          </w:p>
        </w:tc>
      </w:tr>
      <w:tr>
        <w:trPr>
          <w:trHeight w:val="20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June 30, 2024</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Future Debt Offering</w:t>
            </w:r>
          </w:p>
        </w:tc>
      </w:tr>
      <w:tr>
        <w:trPr>
          <w:trHeight w:val="200"/>
        </w:trPr>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2024</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Future Debt Offering</w:t>
            </w:r>
          </w:p>
        </w:tc>
      </w:tr>
      <w:tr>
        <w:trPr>
          <w:trHeight w:val="198"/>
        </w:trPr>
        <w:tc>
          <w:tcPr>
            <w:tcW w:w="3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9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GBP</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SONIA</w:t>
            </w: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 Senior Credit Facility</w:t>
            </w:r>
          </w:p>
        </w:tc>
      </w:tr>
      <w:tr>
        <w:trPr>
          <w:trHeight w:val="200"/>
        </w:trPr>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Interest Rate Swap</w:t>
            </w: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Future Debt Offering</w:t>
            </w:r>
          </w:p>
        </w:tc>
      </w:tr>
      <w:tr>
        <w:trPr>
          <w:trHeight w:val="198"/>
        </w:trPr>
        <w:tc>
          <w:tcPr>
            <w:tcW w:w="3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bl>
    <w:p>
      <w:pPr>
        <w:spacing w:after="0" w:line="55"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notional amount of the swap contract in local currency is £100.0 million. The USD equivalent amount is converted as of December 31,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we terminated the following derivative contracts (amounts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Cash Settlement</w:t>
            </w:r>
          </w:p>
        </w:tc>
        <w:tc>
          <w:tcPr>
            <w:tcW w:w="280" w:type="dxa"/>
            <w:vAlign w:val="bottom"/>
          </w:tcPr>
          <w:p>
            <w:pPr>
              <w:spacing w:after="0"/>
              <w:rPr>
                <w:sz w:val="15"/>
                <w:szCs w:val="15"/>
                <w:color w:val="auto"/>
              </w:rPr>
            </w:pPr>
          </w:p>
        </w:tc>
      </w:tr>
      <w:tr>
        <w:trPr>
          <w:trHeight w:val="212"/>
        </w:trPr>
        <w:tc>
          <w:tcPr>
            <w:tcW w:w="3160" w:type="dxa"/>
            <w:vAlign w:val="bottom"/>
            <w:gridSpan w:val="2"/>
          </w:tcPr>
          <w:p>
            <w:pPr>
              <w:ind w:left="13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3060" w:type="dxa"/>
            <w:vAlign w:val="bottom"/>
            <w:gridSpan w:val="2"/>
          </w:tcPr>
          <w:p>
            <w:pPr>
              <w:ind w:left="13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Notional Amount</w:t>
            </w:r>
          </w:p>
        </w:tc>
        <w:tc>
          <w:tcPr>
            <w:tcW w:w="240" w:type="dxa"/>
            <w:vAlign w:val="bottom"/>
          </w:tcPr>
          <w:p>
            <w:pPr>
              <w:spacing w:after="0"/>
              <w:rPr>
                <w:sz w:val="18"/>
                <w:szCs w:val="18"/>
                <w:color w:val="auto"/>
              </w:rPr>
            </w:pPr>
          </w:p>
        </w:tc>
        <w:tc>
          <w:tcPr>
            <w:tcW w:w="182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Receipt / (Payment)</w:t>
            </w:r>
          </w:p>
        </w:tc>
        <w:tc>
          <w:tcPr>
            <w:tcW w:w="280" w:type="dxa"/>
            <w:vAlign w:val="bottom"/>
          </w:tcPr>
          <w:p>
            <w:pPr>
              <w:spacing w:after="0"/>
              <w:rPr>
                <w:sz w:val="18"/>
                <w:szCs w:val="18"/>
                <w:color w:val="auto"/>
              </w:rPr>
            </w:pPr>
          </w:p>
        </w:tc>
      </w:tr>
      <w:tr>
        <w:trPr>
          <w:trHeight w:val="200"/>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2024</w:t>
            </w:r>
          </w:p>
        </w:tc>
        <w:tc>
          <w:tcPr>
            <w:tcW w:w="8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Forward Swap</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top w:val="single" w:sz="8" w:color="CCEEFF"/>
            </w:tcBorders>
            <w:shd w:val="clear" w:color="auto" w:fill="CCEEFF"/>
          </w:tcPr>
          <w:p>
            <w:pPr>
              <w:jc w:val="right"/>
              <w:ind w:right="30"/>
              <w:spacing w:after="0" w:line="113" w:lineRule="exact"/>
              <w:rPr>
                <w:sz w:val="20"/>
                <w:szCs w:val="20"/>
                <w:color w:val="auto"/>
              </w:rPr>
            </w:pPr>
            <w:r>
              <w:rPr>
                <w:rFonts w:ascii="Times New Roman" w:cs="Times New Roman" w:eastAsia="Times New Roman" w:hAnsi="Times New Roman"/>
                <w:sz w:val="10"/>
                <w:szCs w:val="10"/>
                <w:color w:val="auto"/>
              </w:rPr>
              <w:t>(1)</w:t>
            </w: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30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Treasury Rate Locks &amp; Forward Swap</w:t>
            </w:r>
            <w:r>
              <w:rPr>
                <w:rFonts w:ascii="Times New Roman" w:cs="Times New Roman" w:eastAsia="Times New Roman" w:hAnsi="Times New Roman"/>
                <w:sz w:val="19"/>
                <w:szCs w:val="19"/>
                <w:color w:val="auto"/>
                <w:vertAlign w:val="superscript"/>
              </w:rPr>
              <w:t>(2)</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rPr>
              <w:t>(2)</w:t>
            </w:r>
          </w:p>
        </w:tc>
      </w:tr>
    </w:tbl>
    <w:p>
      <w:pPr>
        <w:spacing w:after="0" w:line="55"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seven forward swap contracts which were terminated in connection with the 2029 Notes issuance.</w:t>
      </w:r>
    </w:p>
    <w:p>
      <w:pPr>
        <w:spacing w:after="0" w:line="55" w:lineRule="exact"/>
        <w:rPr>
          <w:rFonts w:ascii="Times New Roman" w:cs="Times New Roman" w:eastAsia="Times New Roman" w:hAnsi="Times New Roman"/>
          <w:sz w:val="19"/>
          <w:szCs w:val="19"/>
          <w:color w:val="auto"/>
          <w:vertAlign w:val="superscript"/>
        </w:rPr>
      </w:pPr>
    </w:p>
    <w:p>
      <w:pPr>
        <w:ind w:left="180" w:right="20" w:hanging="172"/>
        <w:spacing w:after="0" w:line="221" w:lineRule="auto"/>
        <w:tabs>
          <w:tab w:leader="none" w:pos="169"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include two $100.0 million treasury rate locks and one $50.0 million forward swap which were terminated in connection with the issuance of $400.0 million of senior unsecured notes with an interest rate of 5.7% and a 10-year term, due January 15, 2033.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our derivative financial instruments and the associated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52"/>
        </w:trPr>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3"/>
                <w:szCs w:val="13"/>
                <w:color w:val="auto"/>
              </w:rPr>
            </w:pPr>
          </w:p>
        </w:tc>
        <w:tc>
          <w:tcPr>
            <w:tcW w:w="1080" w:type="dxa"/>
            <w:vAlign w:val="bottom"/>
          </w:tcPr>
          <w:p>
            <w:pPr>
              <w:jc w:val="center"/>
              <w:ind w:right="4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3"/>
                <w:szCs w:val="13"/>
                <w:color w:val="auto"/>
              </w:rPr>
            </w:pPr>
          </w:p>
        </w:tc>
        <w:tc>
          <w:tcPr>
            <w:tcW w:w="1080" w:type="dxa"/>
            <w:vAlign w:val="bottom"/>
          </w:tcPr>
          <w:p>
            <w:pPr>
              <w:jc w:val="center"/>
              <w:ind w:right="4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r>
      <w:tr>
        <w:trPr>
          <w:trHeight w:val="21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140" w:type="dxa"/>
            <w:vAlign w:val="bottom"/>
          </w:tcPr>
          <w:p>
            <w:pPr>
              <w:spacing w:after="0"/>
              <w:rPr>
                <w:sz w:val="18"/>
                <w:szCs w:val="18"/>
                <w:color w:val="auto"/>
              </w:rPr>
            </w:pPr>
          </w:p>
        </w:tc>
        <w:tc>
          <w:tcPr>
            <w:tcW w:w="1140" w:type="dxa"/>
            <w:vAlign w:val="bottom"/>
            <w:gridSpan w:val="2"/>
          </w:tcPr>
          <w:p>
            <w:pPr>
              <w:jc w:val="center"/>
              <w:ind w:right="220"/>
              <w:spacing w:after="0" w:line="210"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line="210" w:lineRule="exact"/>
              <w:rPr>
                <w:sz w:val="20"/>
                <w:szCs w:val="20"/>
                <w:color w:val="auto"/>
              </w:rPr>
            </w:pPr>
            <w:r>
              <w:rPr>
                <w:rFonts w:ascii="Times New Roman" w:cs="Times New Roman" w:eastAsia="Times New Roman" w:hAnsi="Times New Roman"/>
                <w:sz w:val="15"/>
                <w:szCs w:val="15"/>
                <w:b w:val="1"/>
                <w:bCs w:val="1"/>
                <w:color w:val="auto"/>
                <w:w w:val="98"/>
              </w:rPr>
              <w:t>of Liabilities</w:t>
            </w:r>
            <w:r>
              <w:rPr>
                <w:rFonts w:ascii="Times New Roman" w:cs="Times New Roman" w:eastAsia="Times New Roman" w:hAnsi="Times New Roman"/>
                <w:sz w:val="19"/>
                <w:szCs w:val="19"/>
                <w:b w:val="1"/>
                <w:bCs w:val="1"/>
                <w:color w:val="auto"/>
                <w:w w:val="98"/>
                <w:vertAlign w:val="superscript"/>
              </w:rPr>
              <w:t>(2)</w:t>
            </w:r>
          </w:p>
        </w:tc>
        <w:tc>
          <w:tcPr>
            <w:tcW w:w="200" w:type="dxa"/>
            <w:vAlign w:val="bottom"/>
          </w:tcPr>
          <w:p>
            <w:pPr>
              <w:spacing w:after="0"/>
              <w:rPr>
                <w:sz w:val="18"/>
                <w:szCs w:val="18"/>
                <w:color w:val="auto"/>
              </w:rPr>
            </w:pPr>
          </w:p>
        </w:tc>
        <w:tc>
          <w:tcPr>
            <w:tcW w:w="9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8"/>
                <w:szCs w:val="18"/>
                <w:color w:val="auto"/>
              </w:rPr>
            </w:pPr>
          </w:p>
        </w:tc>
        <w:tc>
          <w:tcPr>
            <w:tcW w:w="1080" w:type="dxa"/>
            <w:vAlign w:val="bottom"/>
          </w:tcPr>
          <w:p>
            <w:pPr>
              <w:jc w:val="center"/>
              <w:ind w:right="44"/>
              <w:spacing w:after="0" w:line="210" w:lineRule="exact"/>
              <w:rPr>
                <w:sz w:val="20"/>
                <w:szCs w:val="20"/>
                <w:color w:val="auto"/>
              </w:rPr>
            </w:pPr>
            <w:r>
              <w:rPr>
                <w:rFonts w:ascii="Times New Roman" w:cs="Times New Roman" w:eastAsia="Times New Roman" w:hAnsi="Times New Roman"/>
                <w:sz w:val="15"/>
                <w:szCs w:val="15"/>
                <w:b w:val="1"/>
                <w:bCs w:val="1"/>
                <w:color w:val="auto"/>
                <w:w w:val="96"/>
              </w:rPr>
              <w:t>of Liabilities</w:t>
            </w:r>
            <w:r>
              <w:rPr>
                <w:rFonts w:ascii="Times New Roman" w:cs="Times New Roman" w:eastAsia="Times New Roman" w:hAnsi="Times New Roman"/>
                <w:sz w:val="19"/>
                <w:szCs w:val="19"/>
                <w:b w:val="1"/>
                <w:bCs w:val="1"/>
                <w:color w:val="auto"/>
                <w:w w:val="96"/>
                <w:vertAlign w:val="superscript"/>
              </w:rPr>
              <w:t>(2)</w:t>
            </w:r>
          </w:p>
        </w:tc>
      </w:tr>
      <w:tr>
        <w:trPr>
          <w:trHeight w:val="196"/>
        </w:trPr>
        <w:tc>
          <w:tcPr>
            <w:tcW w:w="3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bl>
    <w:p>
      <w:pPr>
        <w:spacing w:after="0" w:line="85"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within Other assets, net on the Consolidated Balance Sheets.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within Other liabilities on the Consolidated Balance Sheets.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16, "Fair Value Measurements," for additional information related to the fair value methodology used for derivative financial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20, "Subsequent Events," for information regarding additional derivative transactions subsequent to June 30,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gains on derivatives in cash flow hedging relationships recognized in OCI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gridSpan w:val="6"/>
          </w:tcPr>
          <w:p>
            <w:pPr>
              <w:ind w:left="8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2880" w:type="dxa"/>
            <w:vAlign w:val="bottom"/>
            <w:gridSpan w:val="4"/>
          </w:tcPr>
          <w:p>
            <w:pPr>
              <w:jc w:val="right"/>
              <w:ind w:right="8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48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2.6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gains on derivative instruments reclassified from AOCI into earnings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180" w:type="dxa"/>
            <w:vAlign w:val="bottom"/>
          </w:tcPr>
          <w:p>
            <w:pPr>
              <w:spacing w:after="0"/>
              <w:rPr>
                <w:sz w:val="18"/>
                <w:szCs w:val="18"/>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8"/>
                <w:szCs w:val="18"/>
                <w:color w:val="auto"/>
              </w:rPr>
            </w:pPr>
          </w:p>
        </w:tc>
        <w:tc>
          <w:tcPr>
            <w:tcW w:w="2800" w:type="dxa"/>
            <w:vAlign w:val="bottom"/>
            <w:gridSpan w:val="4"/>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19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32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primarily of cash, cash equivalents and restricted cash, notes and other receivables, derivative assets, debt and other liabilities. We utilize fair value measurements to record fair value adjustments to certain assets and liabilities and to determine fair value disclosures, pursuant to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following methods and assumptions were used in order to estimate the fair value of each class of financial instruments for which it is practicable to estimate that value: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by Hierarchy Level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our financial assets and liabilities (in millions) that required disclosure of fair value on a recurring basis as of June 30, 2024. The table presents the carrying values and fair values of our financial instruments as of June 30, 2024 and December 31, 2023,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4"/>
              <w:spacing w:after="0" w:line="148"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center"/>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b w:val="1"/>
                <w:bCs w:val="1"/>
                <w:color w:val="auto"/>
                <w:w w:val="99"/>
              </w:rPr>
              <w:t>Liabilities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Mortgage loan payable</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3,452.0</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3,082.5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3,082.5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secured debt</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3,506.3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3,082.5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3,136.8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2,674.6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1,671.9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1,671.9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1,671.9</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4,346.5</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4,112.7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4,112.7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7,873.5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7,195.7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7,270.2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Mortgage loan payable</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3,478.9</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3,167.0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3,222.8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2,065.1</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7,289.0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 and Collateralized Receivables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and Note 5, "Collateralized Receivables and Transfers of Financial Assets,"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Assets and Liabilities - Interest Rate Derivatives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derivatives are recorded at fair value and consist of interest rate swaps and forward swaps. The fair value of these financial instruments are measured using observable inputs based on the SOFR and SONIA Rates, respectively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9, "Debt and Line of Credit," for additional information.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borrowings on collateralized receivables - recorded at fair value and adjusted based on the same interest rates as the related collateralized receivables (Level 3). Refer to Note 5, "Collateralized Receivables and Transfers of Financial Assets," and Note 9, "Debt and Line of Credit,"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 the fair value of senior unsecured notes is based on the estimates of management and on rates currently quoted, rates currently prevailing for comparable loans and instruments of comparable maturities (Level 2). Refer to Note 9, "Debt and Line of Credit,"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June 30, 2024 approximated its gross carrying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Liabilities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Reconciliation, Measurements and Transfers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six months ended June 30,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changes to our financial instruments carried at fair value and classified within Level 3 of the fair value hierarchy for the three and six months ended June 30, 2024 and 2023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130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80" w:type="dxa"/>
            <w:vAlign w:val="bottom"/>
          </w:tcPr>
          <w:p>
            <w:pPr>
              <w:spacing w:after="0"/>
              <w:rPr>
                <w:sz w:val="12"/>
                <w:szCs w:val="12"/>
                <w:color w:val="auto"/>
              </w:rPr>
            </w:pPr>
          </w:p>
        </w:tc>
        <w:tc>
          <w:tcPr>
            <w:tcW w:w="130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Notes</w:t>
            </w:r>
          </w:p>
        </w:tc>
        <w:tc>
          <w:tcPr>
            <w:tcW w:w="13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Collateralized</w:t>
            </w:r>
          </w:p>
        </w:tc>
        <w:tc>
          <w:tcPr>
            <w:tcW w:w="12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5"/>
                <w:szCs w:val="15"/>
                <w:b w:val="1"/>
                <w:bCs w:val="1"/>
                <w:color w:val="auto"/>
              </w:rPr>
              <w:t>Notes</w:t>
            </w:r>
          </w:p>
        </w:tc>
        <w:tc>
          <w:tcPr>
            <w:tcW w:w="80" w:type="dxa"/>
            <w:vAlign w:val="bottom"/>
          </w:tcPr>
          <w:p>
            <w:pPr>
              <w:spacing w:after="0"/>
              <w:rPr>
                <w:sz w:val="13"/>
                <w:szCs w:val="13"/>
                <w:color w:val="auto"/>
              </w:rPr>
            </w:pPr>
          </w:p>
        </w:tc>
        <w:tc>
          <w:tcPr>
            <w:tcW w:w="13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0" w:type="dxa"/>
            <w:vAlign w:val="bottom"/>
          </w:tcPr>
          <w:p>
            <w:pPr>
              <w:spacing w:after="0"/>
              <w:rPr>
                <w:sz w:val="1"/>
                <w:szCs w:val="1"/>
                <w:color w:val="auto"/>
              </w:rPr>
            </w:pPr>
          </w:p>
        </w:tc>
      </w:tr>
      <w:tr>
        <w:trPr>
          <w:trHeight w:val="202"/>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Receivables, net</w:t>
            </w: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Level 3 beginning balance at March 31, 2024 and</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Realized losses</w:t>
            </w:r>
          </w:p>
        </w:tc>
        <w:tc>
          <w:tcPr>
            <w:tcW w:w="120" w:type="dxa"/>
            <w:vAlign w:val="bottom"/>
          </w:tcPr>
          <w:p>
            <w:pPr>
              <w:spacing w:after="0"/>
              <w:rPr>
                <w:sz w:val="24"/>
                <w:szCs w:val="24"/>
                <w:color w:val="auto"/>
              </w:rPr>
            </w:pP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xml:space="preserve">(0.4)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xml:space="preserve">(0.1)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20" w:type="dxa"/>
            <w:vAlign w:val="bottom"/>
          </w:tcPr>
          <w:p>
            <w:pPr>
              <w:spacing w:after="0"/>
              <w:rPr>
                <w:sz w:val="17"/>
                <w:szCs w:val="17"/>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(0.2)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currency exchange gain</w:t>
            </w:r>
          </w:p>
        </w:tc>
        <w:tc>
          <w:tcPr>
            <w:tcW w:w="12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2024 and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recorded within Loss on remeasurement of notes receivable on the Consolidated Statements of Operations.</w:t>
      </w:r>
    </w:p>
    <w:p>
      <w:pPr>
        <w:spacing w:after="0" w:line="330" w:lineRule="exact"/>
        <w:rPr>
          <w:rFonts w:ascii="Times New Roman" w:cs="Times New Roman" w:eastAsia="Times New Roman" w:hAnsi="Times New Roman"/>
          <w:sz w:val="16"/>
          <w:szCs w:val="16"/>
          <w:color w:val="auto"/>
          <w:vertAlign w:val="superscript"/>
        </w:rPr>
      </w:pPr>
    </w:p>
    <w:p>
      <w:pPr>
        <w:ind w:left="608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5"/>
          <w:szCs w:val="15"/>
          <w:b w:val="1"/>
          <w:bCs w:val="1"/>
          <w:color w:val="auto"/>
        </w:rPr>
        <w:t>Six Months Ended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p>
      <w:pPr>
        <w:spacing w:after="0" w:line="48" w:lineRule="exact"/>
        <w:rPr>
          <w:sz w:val="20"/>
          <w:szCs w:val="20"/>
          <w:color w:val="auto"/>
        </w:rPr>
      </w:pPr>
    </w:p>
    <w:p>
      <w:pPr>
        <w:ind w:left="20" w:right="300"/>
        <w:spacing w:after="0" w:line="242" w:lineRule="auto"/>
        <w:rPr>
          <w:sz w:val="20"/>
          <w:szCs w:val="20"/>
          <w:color w:val="auto"/>
        </w:rPr>
      </w:pPr>
      <w:r>
        <w:rPr>
          <w:rFonts w:ascii="Times New Roman" w:cs="Times New Roman" w:eastAsia="Times New Roman" w:hAnsi="Times New Roman"/>
          <w:sz w:val="15"/>
          <w:szCs w:val="15"/>
          <w:color w:val="auto"/>
        </w:rPr>
        <w:t>Level 3 beginning balance at December 31, 2023 and 2022</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Realized gains / (losses)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Purchases and issuances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Sales and settlements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p>
      <w:pPr>
        <w:spacing w:after="0" w:line="30"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5"/>
          <w:szCs w:val="15"/>
          <w:color w:val="auto"/>
        </w:rPr>
        <w:t>Foreign currency exchange gains / (losses)</w:t>
      </w:r>
    </w:p>
    <w:p>
      <w:pPr>
        <w:spacing w:after="0" w:line="17"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5"/>
          <w:szCs w:val="15"/>
          <w:color w:val="auto"/>
        </w:rPr>
        <w:t>Level 3 ending balance at June 30, 2024 and 2023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3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120" w:type="dxa"/>
            <w:vAlign w:val="bottom"/>
          </w:tcPr>
          <w:p>
            <w:pPr>
              <w:spacing w:after="0"/>
              <w:rPr>
                <w:sz w:val="14"/>
                <w:szCs w:val="14"/>
                <w:color w:val="auto"/>
              </w:rPr>
            </w:pPr>
          </w:p>
        </w:tc>
        <w:tc>
          <w:tcPr>
            <w:tcW w:w="154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20" w:type="dxa"/>
            <w:vAlign w:val="bottom"/>
          </w:tcPr>
          <w:p>
            <w:pPr>
              <w:spacing w:after="0"/>
              <w:rPr>
                <w:sz w:val="14"/>
                <w:szCs w:val="14"/>
                <w:color w:val="auto"/>
              </w:rPr>
            </w:pPr>
          </w:p>
        </w:tc>
        <w:tc>
          <w:tcPr>
            <w:tcW w:w="10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Collateralized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Receivable on</w:t>
            </w:r>
          </w:p>
        </w:tc>
        <w:tc>
          <w:tcPr>
            <w:tcW w:w="120" w:type="dxa"/>
            <w:vAlign w:val="bottom"/>
          </w:tcPr>
          <w:p>
            <w:pPr>
              <w:spacing w:after="0"/>
              <w:rPr>
                <w:sz w:val="14"/>
                <w:szCs w:val="14"/>
                <w:color w:val="auto"/>
              </w:rPr>
            </w:pPr>
          </w:p>
        </w:tc>
        <w:tc>
          <w:tcPr>
            <w:tcW w:w="13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Developers and</w:t>
            </w:r>
          </w:p>
        </w:tc>
        <w:tc>
          <w:tcPr>
            <w:tcW w:w="140" w:type="dxa"/>
            <w:vAlign w:val="bottom"/>
          </w:tcPr>
          <w:p>
            <w:pPr>
              <w:spacing w:after="0"/>
              <w:rPr>
                <w:sz w:val="14"/>
                <w:szCs w:val="14"/>
                <w:color w:val="auto"/>
              </w:rPr>
            </w:pPr>
          </w:p>
        </w:tc>
        <w:tc>
          <w:tcPr>
            <w:tcW w:w="8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260" w:type="dxa"/>
            <w:vAlign w:val="bottom"/>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Receivables, net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MH, net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2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xml:space="preserve">(0.4) </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xml:space="preserve">(0.8) </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7"/>
                <w:szCs w:val="17"/>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 xml:space="preserve">(1.8) </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(0.4) </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5"/>
                <w:szCs w:val="15"/>
                <w:color w:val="auto"/>
                <w:w w:val="97"/>
              </w:rPr>
              <w:t>(4.8)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8"/>
        </w:trPr>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2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
        </w:trPr>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-865505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-608330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-248285</wp:posOffset>
            </wp:positionV>
            <wp:extent cx="7132320"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-1233805</wp:posOffset>
            </wp:positionV>
            <wp:extent cx="7132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140" w:space="280"/>
            <w:col w:w="8820"/>
          </w:cols>
          <w:pgMar w:left="320" w:top="124" w:right="339" w:bottom="1440" w:gutter="0" w:footer="0" w:header="0"/>
          <w:type w:val="continuous"/>
        </w:sectPr>
      </w:pPr>
    </w:p>
    <w:p>
      <w:pPr>
        <w:ind w:left="140" w:hanging="132"/>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recorded within Loss on remeasurement of notes receivable on the Consolidated Statements of Operations.</w:t>
      </w:r>
    </w:p>
    <w:p>
      <w:pPr>
        <w:spacing w:after="0" w:line="59"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gains recorded within Other income / (expense), net on the Consolidated Statements of Operations.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recorded within Income / (loss) from nonconsolidated affiliates within on the Consolidated Statements of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ind w:left="6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4"/>
              <w:spacing w:after="0" w:line="148" w:lineRule="exact"/>
              <w:rPr>
                <w:sz w:val="20"/>
                <w:szCs w:val="20"/>
                <w:color w:val="auto"/>
              </w:rPr>
            </w:pPr>
            <w:r>
              <w:rPr>
                <w:rFonts w:ascii="Times New Roman" w:cs="Times New Roman" w:eastAsia="Times New Roman" w:hAnsi="Times New Roman"/>
                <w:sz w:val="15"/>
                <w:szCs w:val="15"/>
                <w:b w:val="1"/>
                <w:bCs w:val="1"/>
                <w:color w:val="auto"/>
              </w:rPr>
              <w:t>Secured</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Borrowing 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120" w:type="dxa"/>
            <w:vAlign w:val="bottom"/>
          </w:tcPr>
          <w:p>
            <w:pPr>
              <w:spacing w:after="0"/>
              <w:rPr>
                <w:sz w:val="13"/>
                <w:szCs w:val="13"/>
                <w:color w:val="auto"/>
              </w:rPr>
            </w:pPr>
          </w:p>
        </w:tc>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00" w:type="dxa"/>
            <w:vAlign w:val="bottom"/>
          </w:tcPr>
          <w:p>
            <w:pPr>
              <w:spacing w:after="0"/>
              <w:rPr>
                <w:sz w:val="12"/>
                <w:szCs w:val="12"/>
                <w:color w:val="auto"/>
              </w:rPr>
            </w:pPr>
          </w:p>
        </w:tc>
        <w:tc>
          <w:tcPr>
            <w:tcW w:w="10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5"/>
                <w:szCs w:val="15"/>
                <w:b w:val="1"/>
                <w:bCs w:val="1"/>
                <w:color w:val="auto"/>
              </w:rPr>
              <w:t>Collateralized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20" w:type="dxa"/>
            <w:vAlign w:val="bottom"/>
          </w:tcPr>
          <w:p>
            <w:pPr>
              <w:spacing w:after="0"/>
              <w:rPr>
                <w:sz w:val="17"/>
                <w:szCs w:val="17"/>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beginning balance March 31, 2024 and 2023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Realized losses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2024 and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are recorded within Other income / (expense), net on the Consolidated Statements of Operations.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ind w:left="6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4"/>
              <w:spacing w:after="0" w:line="142" w:lineRule="exact"/>
              <w:rPr>
                <w:sz w:val="20"/>
                <w:szCs w:val="20"/>
                <w:color w:val="auto"/>
              </w:rPr>
            </w:pPr>
            <w:r>
              <w:rPr>
                <w:rFonts w:ascii="Times New Roman" w:cs="Times New Roman" w:eastAsia="Times New Roman" w:hAnsi="Times New Roman"/>
                <w:sz w:val="15"/>
                <w:szCs w:val="15"/>
                <w:b w:val="1"/>
                <w:bCs w:val="1"/>
                <w:color w:val="auto"/>
              </w:rPr>
              <w:t>Secured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b w:val="1"/>
                <w:bCs w:val="1"/>
                <w:color w:val="auto"/>
              </w:rPr>
              <w:t>Borrowing 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00" w:type="dxa"/>
            <w:vAlign w:val="bottom"/>
          </w:tcPr>
          <w:p>
            <w:pPr>
              <w:spacing w:after="0"/>
              <w:rPr>
                <w:sz w:val="14"/>
                <w:szCs w:val="14"/>
                <w:color w:val="auto"/>
              </w:rPr>
            </w:pPr>
          </w:p>
        </w:tc>
        <w:tc>
          <w:tcPr>
            <w:tcW w:w="10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Collateralized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120" w:type="dxa"/>
            <w:vAlign w:val="bottom"/>
          </w:tcPr>
          <w:p>
            <w:pPr>
              <w:spacing w:after="0"/>
              <w:rPr>
                <w:sz w:val="14"/>
                <w:szCs w:val="14"/>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202"/>
        </w:trPr>
        <w:tc>
          <w:tcPr>
            <w:tcW w:w="7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20" w:type="dxa"/>
            <w:vAlign w:val="bottom"/>
          </w:tcPr>
          <w:p>
            <w:pPr>
              <w:spacing w:after="0"/>
              <w:rPr>
                <w:sz w:val="17"/>
                <w:szCs w:val="17"/>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6"/>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beginning balance December 31, 2023 and 2022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3"/>
        </w:trPr>
        <w:tc>
          <w:tcPr>
            <w:tcW w:w="74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Realized losses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2024 and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Realized losses are recorded within Other income / (expense), net on the Consolidated Statements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we recognized asset impairment charges of $10.8 million within the MH segment to reduce the carrying value of two development properties to an aggregate fair value of $36.1 million, driven by our contemplated change in strategic plan for these properties. The fair value measurement was determined using an income approach and Level 3 inputs based on a probability weighted holding period and estimated sale price for the assets. Refer to Note 20, "Subsequent Events," for additional activity related to the two properties subsequent to June 30,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June 30, 2024. As such, our estimates of fair value could differ significantly from the actual carrying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 Class Action 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 w:cs="Times New Roman" w:eastAsia="Times New Roman" w:hAnsi="Times New Roman"/>
          <w:sz w:val="18"/>
          <w:szCs w:val="18"/>
          <w:i w:val="1"/>
          <w:iCs w:val="1"/>
          <w:color w:val="auto"/>
        </w:rPr>
        <w:t>In re Manufactured Home Lot Rents Antitrust Litigation, No. 1:23-cv-06715.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other legal proceedings arising in the ordinary course of business. All such proceedings, taken together, are not expected to have a material adverse impact on our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Catastrophic Event-Related Charges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Hurricane Ian - </w:t>
      </w:r>
      <w:r>
        <w:rPr>
          <w:rFonts w:ascii="Times New Roman" w:cs="Times New Roman" w:eastAsia="Times New Roman" w:hAnsi="Times New Roman"/>
          <w:sz w:val="18"/>
          <w:szCs w:val="18"/>
          <w:color w:val="auto"/>
        </w:rPr>
        <w:t>When Hurricane Ian made landfall on Florida's western coast in September 2022, the storm primarily affected three properties in the 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property, casualty, flood and business interruption insurance for our community portfolio, subject to customary deductibles and limits.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property insurance recoveries, excluding business interruption recoveries, of $56.6 million related to Hurricane Ian were recorded in Notes and other receivables, net, on the Consolidated Balance Sheets as of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changes in estimated property insurance recoveries, excluding business interruption recoveries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Change in estimated property insurance recoveries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Proceeds received from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June 30, 2024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spacing w:after="0"/>
              <w:rPr>
                <w:sz w:val="15"/>
                <w:szCs w:val="15"/>
                <w:color w:val="auto"/>
              </w:rPr>
            </w:pPr>
          </w:p>
        </w:tc>
        <w:tc>
          <w:tcPr>
            <w:tcW w:w="166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6"/>
        </w:trPr>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196"/>
        </w:trPr>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r>
      <w:tr>
        <w:trPr>
          <w:trHeight w:val="199"/>
        </w:trPr>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07"/>
        </w:trPr>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98"/>
        </w:trPr>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w:t>
            </w:r>
          </w:p>
        </w:tc>
      </w:tr>
      <w:tr>
        <w:trPr>
          <w:trHeight w:val="23"/>
        </w:trPr>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40" w:space="720"/>
            <w:col w:w="1880"/>
          </w:cols>
          <w:pgMar w:left="320" w:top="124" w:right="339" w:bottom="1440" w:gutter="0" w:footer="0" w:header="0"/>
          <w:type w:val="continuous"/>
        </w:sectPr>
      </w:pP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estimated property insurance recoveries related to Hurricane Ian during the six months ended June 30, 2024 were primarily the result of $6.8 million of incremental costs that exceeded the applicable deductible. 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working with our insurance providers on claims for business interruption recoveries. During the six months ended June 30, 2024 we recognized $5.2 million, net of deductibles, for lost earnings from the hurricane event covering the period from September 1, 2023 through January 31, 2024. The business interruption proceeds were recorded within Brokerage commissions and other, net in our Consolidated Statements of Operations. The related communities are under redevelopment. As such, we currently cannot estimate a date when operating results will be restored to pre-hurricane levels. Our business interruption insurance policy provides for up to 60 months of coverage from the date of restoration.</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In December 2023, one of our RV properties with approximately 300 sites sustained property damage due to heavy rainfall and flooding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Conway, New Hampshire area. Based on a preliminary review performed by an insurance adjuster, we recognized asset impairment charges of $7.0 million during the three months ended December 31, 2023, primarily related to site improvements, vacation rental cabins, and equipment. During the six months ended June 30, 2024, we recognized incremental charges of $10.6 million related to the impacted property, comprised of $3.1 million for impaired assets and $7.5 million for debris removal, cleanup and repairs. We received $2.4 million in insurance proceeds during the six months ended June 30, 2024 related to the flood event. The charges and related proceeds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land under non-cancelable operating leases at certain MH, RV, Marina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2024 where we are the lessee include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Liabilities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400" w:type="dxa"/>
            <w:vAlign w:val="bottom"/>
          </w:tcPr>
          <w:p>
            <w:pPr>
              <w:spacing w:after="0"/>
              <w:rPr>
                <w:sz w:val="17"/>
                <w:szCs w:val="17"/>
                <w:color w:val="auto"/>
              </w:rPr>
            </w:pPr>
          </w:p>
        </w:tc>
        <w:tc>
          <w:tcPr>
            <w:tcW w:w="1340" w:type="dxa"/>
            <w:vAlign w:val="bottom"/>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six months ended June 30, 2024)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20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266.6</w:t>
            </w:r>
          </w:p>
        </w:tc>
      </w:tr>
      <w:tr>
        <w:trPr>
          <w:trHeight w:val="198"/>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328.7</w:t>
            </w:r>
          </w:p>
        </w:tc>
      </w:tr>
      <w:tr>
        <w:trPr>
          <w:trHeight w:val="20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(150.8)</w:t>
            </w:r>
          </w:p>
        </w:tc>
      </w:tr>
      <w:tr>
        <w:trPr>
          <w:trHeight w:val="223"/>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("ROU") assets and lease liabilities for finance and operating leases as included in our Consolidated Balance Sheets are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196"/>
        </w:trPr>
        <w:tc>
          <w:tcPr>
            <w:tcW w:w="5440" w:type="dxa"/>
            <w:vAlign w:val="bottom"/>
          </w:tcPr>
          <w:p>
            <w:pPr>
              <w:ind w:left="23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7"/>
                <w:szCs w:val="17"/>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Pr>
          <w:p>
            <w:pPr>
              <w:spacing w:after="0"/>
              <w:rPr>
                <w:sz w:val="17"/>
                <w:szCs w:val="17"/>
                <w:color w:val="auto"/>
              </w:rPr>
            </w:pP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 - ROU asset, net of accumulated amortization</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r>
      <w:tr>
        <w:trPr>
          <w:trHeight w:val="205"/>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 ROU asset, net</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Below market operating leases, net</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05"/>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for finance and operating leases as included in our Consolidated Statements of Operations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2"/>
        </w:trPr>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8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ROU assets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340" w:type="dxa"/>
            <w:vAlign w:val="bottom"/>
          </w:tcPr>
          <w:p>
            <w:pPr>
              <w:jc w:val="right"/>
              <w:ind w:right="118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360" w:type="dxa"/>
            <w:vAlign w:val="bottom"/>
          </w:tcPr>
          <w:p>
            <w:pPr>
              <w:jc w:val="right"/>
              <w:ind w:right="118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58"/>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Operating lease cost</w:t>
            </w:r>
          </w:p>
        </w:tc>
        <w:tc>
          <w:tcPr>
            <w:tcW w:w="24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General and administrative expense,</w:t>
            </w: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Property operating and maintenance,</w:t>
            </w:r>
          </w:p>
        </w:tc>
        <w:tc>
          <w:tcPr>
            <w:tcW w:w="13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0"/>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3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9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Pr>
          <w:p>
            <w:pPr>
              <w:spacing w:after="0"/>
              <w:rPr>
                <w:sz w:val="17"/>
                <w:szCs w:val="17"/>
                <w:color w:val="auto"/>
              </w:rPr>
            </w:pPr>
          </w:p>
        </w:tc>
        <w:tc>
          <w:tcPr>
            <w:tcW w:w="206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200"/>
        </w:trPr>
        <w:tc>
          <w:tcPr>
            <w:tcW w:w="7600" w:type="dxa"/>
            <w:vAlign w:val="bottom"/>
          </w:tcPr>
          <w:p>
            <w:pPr>
              <w:spacing w:after="0"/>
              <w:rPr>
                <w:sz w:val="17"/>
                <w:szCs w:val="17"/>
                <w:color w:val="auto"/>
              </w:rPr>
            </w:pPr>
          </w:p>
        </w:tc>
        <w:tc>
          <w:tcPr>
            <w:tcW w:w="2060" w:type="dxa"/>
            <w:vAlign w:val="bottom"/>
            <w:gridSpan w:val="3"/>
          </w:tcPr>
          <w:p>
            <w:pPr>
              <w:ind w:left="4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5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02"/>
        </w:trPr>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Remaining Lease Terms (years)</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36.86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36.63</w:t>
            </w:r>
          </w:p>
        </w:tc>
      </w:tr>
      <w:tr>
        <w:trPr>
          <w:trHeight w:val="200"/>
        </w:trPr>
        <w:tc>
          <w:tcPr>
            <w:tcW w:w="7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34.59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27.71</w:t>
            </w: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Discount Rate</w:t>
            </w: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7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3.59 %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3.59 %</w:t>
            </w:r>
          </w:p>
        </w:tc>
      </w:tr>
      <w:tr>
        <w:trPr>
          <w:trHeight w:val="205"/>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3.82 %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3.82 %</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320" w:type="dxa"/>
            <w:vAlign w:val="bottom"/>
            <w:tcBorders>
              <w:bottom w:val="single" w:sz="8" w:color="auto"/>
            </w:tcBorders>
          </w:tcPr>
          <w:p>
            <w:pPr>
              <w:spacing w:after="0"/>
              <w:rPr>
                <w:sz w:val="17"/>
                <w:szCs w:val="17"/>
                <w:color w:val="auto"/>
              </w:rPr>
            </w:pPr>
          </w:p>
        </w:tc>
      </w:tr>
      <w:tr>
        <w:trPr>
          <w:trHeight w:val="200"/>
        </w:trPr>
        <w:tc>
          <w:tcPr>
            <w:tcW w:w="77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320" w:type="dxa"/>
            <w:vAlign w:val="bottom"/>
            <w:tcBorders>
              <w:bottom w:val="single" w:sz="8" w:color="auto"/>
            </w:tcBorders>
          </w:tcPr>
          <w:p>
            <w:pPr>
              <w:spacing w:after="0"/>
              <w:rPr>
                <w:sz w:val="17"/>
                <w:szCs w:val="17"/>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 (in millions)</w:t>
            </w: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5"/>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outflows for operating leases</w:t>
            </w:r>
          </w:p>
        </w:tc>
        <w:tc>
          <w:tcPr>
            <w:tcW w:w="1360" w:type="dxa"/>
            <w:vAlign w:val="bottom"/>
            <w:shd w:val="clear" w:color="auto" w:fill="CCEEFF"/>
          </w:tcPr>
          <w:p>
            <w:pPr>
              <w:jc w:val="right"/>
              <w:ind w:right="11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20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Financing cash outflows for finance leases</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23"/>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Cash Paid on Lease Liabilities</w:t>
            </w:r>
          </w:p>
        </w:tc>
        <w:tc>
          <w:tcPr>
            <w:tcW w:w="1360" w:type="dxa"/>
            <w:vAlign w:val="bottom"/>
            <w:tcBorders>
              <w:bottom w:val="single" w:sz="8" w:color="auto"/>
            </w:tcBorders>
            <w:shd w:val="clear" w:color="auto" w:fill="CCEEFF"/>
          </w:tcPr>
          <w:p>
            <w:pPr>
              <w:jc w:val="right"/>
              <w:ind w:right="11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the lessor for any finance leases at our MH, RV, Marina or UK properties as of June 30, 2024.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Nearly all of our operating leases with our residents and customers at our MH, RV and UK properties where we are the lessor are either month-to-month or for a time period not to exceed one year. As of June 30, 2024, future minimum lease payments with our residents or customers would not exceed 12 months.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operating leases with real estate operators on our MH or UK properties. At our RV communities and marinas, future minimum lease payments under non-cancellable leases with real estate operators where we are the lessor include the following as of June 30, 2024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Payments</w:t>
            </w:r>
          </w:p>
        </w:tc>
        <w:tc>
          <w:tcPr>
            <w:tcW w:w="200" w:type="dxa"/>
            <w:vAlign w:val="bottom"/>
          </w:tcPr>
          <w:p>
            <w:pPr>
              <w:spacing w:after="0"/>
              <w:rPr>
                <w:sz w:val="17"/>
                <w:szCs w:val="17"/>
                <w:color w:val="auto"/>
              </w:rPr>
            </w:pPr>
          </w:p>
        </w:tc>
        <w:tc>
          <w:tcPr>
            <w:tcW w:w="15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the six months ended June 30, 2024)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84.8</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our operating leases, as included in our Consolidated Statement of Operations are as follows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Fixed lease income</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Variable lease income</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2780" w:type="dxa"/>
            <w:vAlign w:val="bottom"/>
            <w:gridSpan w:val="4"/>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2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34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from real property; Brokerage</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156"/>
        </w:trPr>
        <w:tc>
          <w:tcPr>
            <w:tcW w:w="2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from real property; Brokerage</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-225425</wp:posOffset>
            </wp:positionV>
            <wp:extent cx="7132320"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-594360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820" w:space="720"/>
            <w:col w:w="8700"/>
          </w:cols>
          <w:pgMar w:left="320" w:top="124" w:right="339" w:bottom="1440" w:gutter="0" w:footer="0" w:header="0"/>
          <w:type w:val="continuous"/>
        </w:sect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rent primarily based on a percentage of operating revenues beyond target thresholds.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Failed Sale Leaseback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Park Holidays, we assumed ground lease arrangements for 34 UK properties that we concluded to be failed sale-leaseback transactions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$357.0 million and $359.7 million as of June 30, 2024 and December 31, 2023, respectively. The following table presents the future minimum rental payments for this financial liability as of June 30, 2024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Financial Liability</w:t>
            </w:r>
          </w:p>
        </w:tc>
        <w:tc>
          <w:tcPr>
            <w:tcW w:w="260" w:type="dxa"/>
            <w:vAlign w:val="bottom"/>
          </w:tcPr>
          <w:p>
            <w:pPr>
              <w:spacing w:after="0"/>
              <w:rPr>
                <w:sz w:val="17"/>
                <w:szCs w:val="17"/>
                <w:color w:val="auto"/>
              </w:rPr>
            </w:pPr>
          </w:p>
        </w:tc>
        <w:tc>
          <w:tcPr>
            <w:tcW w:w="14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(excluding six months ended June 30, 2024)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1,744.0</w:t>
            </w:r>
          </w:p>
        </w:tc>
      </w:tr>
      <w:tr>
        <w:trPr>
          <w:trHeight w:val="198"/>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Payments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1,797.6</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(1,440.6)</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Financial Liability</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which adds interim and annual disclosure requirements to the US GAAP codification at the request of the SEC.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disclosure of significant segment expenses that are regularly provided to the chief operating decision maker to assess segment performance, including each reported measure of segment profit or loss, an amount and description of the composition for other segment items to reconcile to segment profit or loss, interim disclosures of a reportable segment's profit or loss and assets, and the title and position of our chief operating decision maker. This ASU is effective for fiscal years beginning after December 15, 2023, and interim periods within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we sold six MH properties located in Illinois, Indiana, Iowa, Minnesota, Tennessee and Wisconsin with an aggregate of 2,087 developed sites for a gross sale price of $224.6 million. We received cash consideration of $150.7 million, net of settlement of the associated mortgage debt of $62.3 million and other closing adjustments.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we sold one MH property located in Florida with 361 total developed sites for a gross sale price of $38.0 million. We received cash consideration of $20.3 million, net of settlement of the associated mortgage debt of $16.7 million and other closing adjustments.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Sale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2024, we entered into a purchase and sale agreement to sell two development properties within the MH segment and received a non-refundable deposit from the counterparty. Accordingly, the sale is considered probable and the two properties were reclassified to held for sale in July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we entered into an interest rate swap contract with a notional amount of $25.0 million to hedge a future debt offering.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consolidated financial condition and results of operations should be read in conjunction with the Consolidated Financial Statements and the accompanying Notes, along with our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fully integrated REIT. As of June 30, 2024, we owned and operated, directly or indirectly, or had an interest in, a portfolio of 666 developed properties located in the U.S., Canada and the United Kingdom including 296 MH communities, 179 RV communities, 137 marinas, and 54 UK communities.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in the business of operating, acquiring, developing and expanding MH and RV communities since 1975, marinas since 2020,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The majority of our marinas are concentrated in coastal regions. Our marinas offer wet slip and dry storage space leases, end-to-end service (such as routine maintenance, repair and winterization), fuel sales and other high-end amenities. These services and amenities offer convenience and resort-quality experiences to our members and guests.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Total Portfolio NOI - </w:t>
      </w:r>
      <w:r>
        <w:rPr>
          <w:rFonts w:ascii="Times New Roman" w:cs="Times New Roman" w:eastAsia="Times New Roman" w:hAnsi="Times New Roman"/>
          <w:sz w:val="18"/>
          <w:szCs w:val="18"/>
          <w:color w:val="auto"/>
        </w:rPr>
        <w:t>NOI is derived from property operating revenues minus property operating expenses and real estate taxes. NOI is a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Same Property NOI </w:t>
      </w:r>
      <w:r>
        <w:rPr>
          <w:rFonts w:ascii="Times New Roman" w:cs="Times New Roman" w:eastAsia="Times New Roman" w:hAnsi="Times New Roman"/>
          <w:sz w:val="18"/>
          <w:szCs w:val="18"/>
          <w:color w:val="auto"/>
        </w:rPr>
        <w:t>- This is a management tool used when evaluating the performance and growth of our Same Property portfolio. We define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as those we have owned and operated continuously since January 1, 2023. Same properties exclude ground-up development properties, acquired properties and properties sold after December 31, 2022. The Same Property data may change from time-to-time depending on acquisitions, dispositions, management discretion, significant transactions or unique situations. Same Property NOI does not include the revenues and expenses related to home sales, and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FFO</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Core FFO - In addition, we use FFO excluding certain gain and loss items that management considers unrelated to the operational and financial performance of our core business ("Core FFO").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Net income / (loss) attributable to SUI common shareholders to NOI and summarize our consolidated financial results for the three and six months ended June 30, 2024 and 2023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540" w:type="dxa"/>
            <w:vAlign w:val="bottom"/>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5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2"/>
        </w:trPr>
        <w:tc>
          <w:tcPr>
            <w:tcW w:w="5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 (Loss) Attributable to SUI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(252.5)</w:t>
            </w: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9)</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 (see Note 16)</w:t>
            </w: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 of properties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 (see Note 4)</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 loss from nonconsolidated affiliates (see Note 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148"/>
        </w:trPr>
        <w:tc>
          <w:tcPr>
            <w:tcW w:w="566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2"/>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 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7"/>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0"/>
        </w:trPr>
        <w:tc>
          <w:tcPr>
            <w:tcW w:w="5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5"/>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Preferred return to preferred OP units / equity interests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0"/>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Add: Income / (loss) attributable to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23"/>
        </w:trPr>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NOI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540" w:type="dxa"/>
            <w:vAlign w:val="bottom"/>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5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200"/>
        </w:trPr>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 property NOI</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570.7</w:t>
            </w:r>
          </w:p>
        </w:tc>
      </w:tr>
      <w:tr>
        <w:trPr>
          <w:trHeight w:val="20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sales NOI</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r>
      <w:tr>
        <w:trPr>
          <w:trHeight w:val="20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retail, dining and entertainment NOI</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w:t>
            </w:r>
          </w:p>
        </w:tc>
      </w:tr>
      <w:tr>
        <w:trPr>
          <w:trHeight w:val="223"/>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of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RV and marina industries are seasonal and the results of operations in any one period may not be indicative of results in future periods.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RV business,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Through June 30, 2024, we recognized Real property - transient revenue of $37.7 million in the first quarter and $81.7 million in the second quarter. During the year ended December 31, 2023, we recognized Real property - transient revenue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Real property -</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During the 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transient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580" w:type="dxa"/>
            <w:vAlign w:val="bottom"/>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321.4</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27.8 %</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marina business, the majority of our wet slip and dry storage space leases have annual terms that are billed seasonally. Wet slip storage increases during the summer months for the boating season, whereas dry storage increases during the winter season as weather patterns require boat owners to store their vessels on dry docks or within covered racks. Through June 30, 2024, we recognized seasonal real property revenue of $78.1 million in the first quarter and $95.9 million in the second quarter. During the year ended December 31, 2023, we recognized seasonal real property revenue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Seasonal real</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During the 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property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Pr>
          <w:p>
            <w:pPr>
              <w:spacing w:after="0"/>
              <w:rPr>
                <w:sz w:val="17"/>
                <w:szCs w:val="17"/>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580" w:type="dxa"/>
            <w:vAlign w:val="bottom"/>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348.7</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25.9 %</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real estate operations by segment as of and for the three and six months ended June 30, 2024 and 2023 (in millions, except for statistical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MH</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MH</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property (excluding transient)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462.3</w:t>
            </w:r>
          </w:p>
        </w:tc>
        <w:tc>
          <w:tcPr>
            <w:tcW w:w="1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430.1</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property - transient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89"/>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Real Property NOI</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MH</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MH</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RV</w:t>
            </w:r>
          </w:p>
        </w:tc>
        <w:tc>
          <w:tcPr>
            <w:tcW w:w="7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UK</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Real property (excluding transient)</w:t>
            </w:r>
            <w:r>
              <w:rPr>
                <w:rFonts w:ascii="Times New Roman" w:cs="Times New Roman" w:eastAsia="Times New Roman" w:hAnsi="Times New Roman"/>
                <w:sz w:val="18"/>
                <w:szCs w:val="18"/>
                <w:color w:val="auto"/>
                <w:vertAlign w:val="superscript"/>
              </w:rPr>
              <w:t>(a)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897.7</w:t>
            </w:r>
          </w:p>
        </w:tc>
        <w:tc>
          <w:tcPr>
            <w:tcW w:w="1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447.5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828.3</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property - transient</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189"/>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1,028.3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967.6</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411.1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127.1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396.9</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Real Property NOI</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617.2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5"/>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88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8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MH</w:t>
            </w:r>
          </w:p>
        </w:tc>
        <w:tc>
          <w:tcPr>
            <w:tcW w:w="8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RV</w:t>
            </w:r>
          </w:p>
        </w:tc>
        <w:tc>
          <w:tcPr>
            <w:tcW w:w="9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6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UK</w:t>
            </w:r>
          </w:p>
        </w:tc>
        <w:tc>
          <w:tcPr>
            <w:tcW w:w="7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MH</w:t>
            </w:r>
          </w:p>
        </w:tc>
        <w:tc>
          <w:tcPr>
            <w:tcW w:w="8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RV</w:t>
            </w:r>
          </w:p>
        </w:tc>
        <w:tc>
          <w:tcPr>
            <w:tcW w:w="9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Marinas</w:t>
            </w:r>
          </w:p>
        </w:tc>
        <w:tc>
          <w:tcPr>
            <w:tcW w:w="6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UK</w:t>
            </w:r>
          </w:p>
        </w:tc>
        <w:tc>
          <w:tcPr>
            <w:tcW w:w="7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96"/>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Sites, Wet Slips and Dry Storage Spaces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Sites, wet slips and dry storage spaces</w:t>
            </w:r>
            <w:r>
              <w:rPr>
                <w:rFonts w:ascii="Times New Roman" w:cs="Times New Roman" w:eastAsia="Times New Roman" w:hAnsi="Times New Roman"/>
                <w:sz w:val="18"/>
                <w:szCs w:val="18"/>
                <w:color w:val="auto"/>
                <w:vertAlign w:val="superscript"/>
              </w:rPr>
              <w:t>(a)</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100,160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33,590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17,710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199,600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100,220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31,620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17,950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197,970</w:t>
            </w:r>
          </w:p>
        </w:tc>
        <w:tc>
          <w:tcPr>
            <w:tcW w:w="0" w:type="dxa"/>
            <w:vAlign w:val="bottom"/>
          </w:tcPr>
          <w:p>
            <w:pPr>
              <w:spacing w:after="0"/>
              <w:rPr>
                <w:sz w:val="1"/>
                <w:szCs w:val="1"/>
                <w:color w:val="auto"/>
              </w:rPr>
            </w:pPr>
          </w:p>
        </w:tc>
      </w:tr>
      <w:tr>
        <w:trPr>
          <w:trHeight w:val="196"/>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Transient sites</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25,720</w:t>
            </w:r>
          </w:p>
        </w:tc>
        <w:tc>
          <w:tcPr>
            <w:tcW w:w="80" w:type="dxa"/>
            <w:vAlign w:val="bottom"/>
          </w:tcPr>
          <w:p>
            <w:pPr>
              <w:spacing w:after="0"/>
              <w:rPr>
                <w:sz w:val="17"/>
                <w:szCs w:val="17"/>
                <w:color w:val="auto"/>
              </w:rPr>
            </w:pP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4,580</w:t>
            </w:r>
          </w:p>
        </w:tc>
        <w:tc>
          <w:tcPr>
            <w:tcW w:w="8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30,300</w:t>
            </w:r>
          </w:p>
        </w:tc>
        <w:tc>
          <w:tcPr>
            <w:tcW w:w="14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26,920</w:t>
            </w:r>
          </w:p>
        </w:tc>
        <w:tc>
          <w:tcPr>
            <w:tcW w:w="80" w:type="dxa"/>
            <w:vAlign w:val="bottom"/>
          </w:tcPr>
          <w:p>
            <w:pPr>
              <w:spacing w:after="0"/>
              <w:rPr>
                <w:sz w:val="17"/>
                <w:szCs w:val="17"/>
                <w:color w:val="auto"/>
              </w:rPr>
            </w:pP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30,270</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100,160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59,310</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48,140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22,290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229,900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100,220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58,540</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48,180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21,300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228,240</w:t>
            </w: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MH and Annual RV Occupancy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96.7 %</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96.3 %</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 N/A = Not applicable.</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line="230" w:lineRule="auto"/>
        <w:tabs>
          <w:tab w:leader="none" w:pos="169"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MH annual sites included 10,589 and 9,721 rental homes in our rental program as of June 30, 2024 and 2023, respectively. Our investment in occupied rental homes at June 30, 2024 was $709.4 million, an increase of 12.6% from $630.0 million at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 (Continued)</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 $14.9 million, or 4.7% increase in Real Property NOI as compared to the same period in 2023, consists of $9.7 million from Same Property MH, $4.1 million from Same Property Marina, $1.7 million from Same Property UK, and $2.8 million, net from other recently acquired or developed properties and other items, partially offset by a $3.4 million decrease from Same Property RV.</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$46.5 million, or 8.1% increase in Real Property NOI as compared to the same period in 2023, consists of $21.8 million from Same Property MH, $0.3 million from Same Property RV, $7.7 million from Same Property Marina, $5.0 million from Same Property UK and $11.7 million, net from other recently acquired or developed properties and other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North America Same Property Portfolio</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2024 average exchange rates for constant currency comparability.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MH, RV and Marina portfolios as of and for the three and six months ended June 30, 2024 and 2023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11"/>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00"/>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6"/>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7"/>
          </w:tcPr>
          <w:p>
            <w:pPr>
              <w:ind w:left="260"/>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(c)</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72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MH</w:t>
            </w: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9"/>
                <w:szCs w:val="19"/>
                <w:b w:val="1"/>
                <w:bCs w:val="1"/>
                <w:color w:val="auto"/>
                <w:vertAlign w:val="superscript"/>
              </w:rPr>
              <w:t>(d)</w:t>
            </w:r>
          </w:p>
        </w:tc>
      </w:tr>
      <w:tr>
        <w:trPr>
          <w:trHeight w:val="183"/>
        </w:trPr>
        <w:tc>
          <w:tcPr>
            <w:tcW w:w="20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620" w:type="dxa"/>
            <w:vAlign w:val="bottom"/>
            <w:tcBorders>
              <w:top w:val="single" w:sz="8" w:color="auto"/>
            </w:tcBorders>
            <w:gridSpan w:val="5"/>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3"/>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gridSpan w:val="4"/>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auto"/>
            </w:tcBorders>
            <w:gridSpan w:val="3"/>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gridSpan w:val="3"/>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gridSpan w:val="4"/>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4"/>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3"/>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6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spacing w:after="0"/>
              <w:rPr>
                <w:sz w:val="15"/>
                <w:szCs w:val="15"/>
                <w:color w:val="auto"/>
              </w:rPr>
            </w:pPr>
          </w:p>
        </w:tc>
      </w:tr>
      <w:tr>
        <w:trPr>
          <w:trHeight w:val="202"/>
        </w:trPr>
        <w:tc>
          <w:tcPr>
            <w:tcW w:w="11240" w:type="dxa"/>
            <w:vAlign w:val="bottom"/>
            <w:gridSpan w:val="60"/>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Revenues</w:t>
            </w:r>
          </w:p>
        </w:tc>
      </w:tr>
      <w:tr>
        <w:trPr>
          <w:trHeight w:val="149"/>
        </w:trPr>
        <w:tc>
          <w:tcPr>
            <w:tcW w:w="11240" w:type="dxa"/>
            <w:vAlign w:val="bottom"/>
            <w:gridSpan w:val="60"/>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r>
      <w:tr>
        <w:trPr>
          <w:trHeight w:val="216"/>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222.1</w:t>
            </w:r>
          </w:p>
        </w:tc>
        <w:tc>
          <w:tcPr>
            <w:tcW w:w="240" w:type="dxa"/>
            <w:vAlign w:val="bottom"/>
            <w:gridSpan w:val="3"/>
            <w:shd w:val="clear" w:color="auto" w:fill="CCEEFF"/>
          </w:tcPr>
          <w:p>
            <w:pPr>
              <w:jc w:val="center"/>
              <w:ind w:left="67"/>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96.0</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392.2</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207.1</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365.3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8"/>
              </w:rPr>
              <w:t>26.9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r>
      <w:tr>
        <w:trPr>
          <w:trHeight w:val="200"/>
        </w:trPr>
        <w:tc>
          <w:tcPr>
            <w:tcW w:w="17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60.5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75.8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11.2 %</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31"/>
        </w:trPr>
        <w:tc>
          <w:tcPr>
            <w:tcW w:w="11240" w:type="dxa"/>
            <w:vAlign w:val="bottom"/>
            <w:gridSpan w:val="60"/>
            <w:shd w:val="clear" w:color="auto" w:fill="CCEEFF"/>
          </w:tcPr>
          <w:p>
            <w:pPr>
              <w:ind w:left="240"/>
              <w:spacing w:after="0" w:line="131" w:lineRule="exact"/>
              <w:rPr>
                <w:sz w:val="20"/>
                <w:szCs w:val="20"/>
                <w:color w:val="auto"/>
              </w:rPr>
            </w:pPr>
            <w:r>
              <w:rPr>
                <w:rFonts w:ascii="Times New Roman" w:cs="Times New Roman" w:eastAsia="Times New Roman" w:hAnsi="Times New Roman"/>
                <w:sz w:val="15"/>
                <w:szCs w:val="15"/>
                <w:color w:val="auto"/>
              </w:rPr>
              <w:t>Total Same Property</w:t>
            </w:r>
          </w:p>
        </w:tc>
      </w:tr>
      <w:tr>
        <w:trPr>
          <w:trHeight w:val="216"/>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8"/>
              </w:rPr>
              <w:t>19.4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r>
      <w:tr>
        <w:trPr>
          <w:trHeight w:val="202"/>
        </w:trPr>
        <w:tc>
          <w:tcPr>
            <w:tcW w:w="11240" w:type="dxa"/>
            <w:vAlign w:val="bottom"/>
            <w:gridSpan w:val="60"/>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Expenses</w:t>
            </w:r>
          </w:p>
        </w:tc>
      </w:tr>
      <w:tr>
        <w:trPr>
          <w:trHeight w:val="149"/>
        </w:trPr>
        <w:tc>
          <w:tcPr>
            <w:tcW w:w="11240" w:type="dxa"/>
            <w:vAlign w:val="bottom"/>
            <w:gridSpan w:val="60"/>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Same Property operating</w:t>
            </w:r>
          </w:p>
        </w:tc>
      </w:tr>
      <w:tr>
        <w:trPr>
          <w:trHeight w:val="216"/>
        </w:trPr>
        <w:tc>
          <w:tcPr>
            <w:tcW w:w="16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5"/>
                <w:szCs w:val="15"/>
                <w:color w:val="auto"/>
              </w:rPr>
              <w:t>expenses</w:t>
            </w:r>
            <w:r>
              <w:rPr>
                <w:rFonts w:ascii="Times New Roman" w:cs="Times New Roman" w:eastAsia="Times New Roman" w:hAnsi="Times New Roman"/>
                <w:sz w:val="19"/>
                <w:szCs w:val="19"/>
                <w:color w:val="auto"/>
                <w:vertAlign w:val="superscript"/>
              </w:rPr>
              <w:t>(b)(d)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64.2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56.6</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149.5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r>
      <w:tr>
        <w:trPr>
          <w:trHeight w:val="196"/>
        </w:trPr>
        <w:tc>
          <w:tcPr>
            <w:tcW w:w="1680" w:type="dxa"/>
            <w:vAlign w:val="bottom"/>
          </w:tcPr>
          <w:p>
            <w:pPr>
              <w:ind w:left="140"/>
              <w:spacing w:after="0" w:line="196" w:lineRule="exact"/>
              <w:rPr>
                <w:sz w:val="20"/>
                <w:szCs w:val="20"/>
                <w:color w:val="auto"/>
              </w:rPr>
            </w:pPr>
            <w:r>
              <w:rPr>
                <w:rFonts w:ascii="Times New Roman" w:cs="Times New Roman" w:eastAsia="Times New Roman" w:hAnsi="Times New Roman"/>
                <w:sz w:val="15"/>
                <w:szCs w:val="15"/>
                <w:b w:val="1"/>
                <w:bCs w:val="1"/>
                <w:color w:val="auto"/>
              </w:rPr>
              <w:t>Real Property NOI</w:t>
            </w:r>
            <w:r>
              <w:rPr>
                <w:rFonts w:ascii="Times New Roman" w:cs="Times New Roman" w:eastAsia="Times New Roman" w:hAnsi="Times New Roman"/>
                <w:sz w:val="19"/>
                <w:szCs w:val="19"/>
                <w:b w:val="1"/>
                <w:bCs w:val="1"/>
                <w:color w:val="auto"/>
                <w:vertAlign w:val="superscript"/>
              </w:rPr>
              <w:t>(d)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160.5</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71.1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150.8</w:t>
            </w: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291.6</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8"/>
              </w:rPr>
              <w:t>10.4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3.6 %</w:t>
            </w:r>
          </w:p>
        </w:tc>
      </w:tr>
      <w:tr>
        <w:trPr>
          <w:trHeight w:val="20"/>
        </w:trPr>
        <w:tc>
          <w:tcPr>
            <w:tcW w:w="204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r>
      <w:tr>
        <w:trPr>
          <w:trHeight w:val="530"/>
        </w:trPr>
        <w:tc>
          <w:tcPr>
            <w:tcW w:w="1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00"/>
        </w:trPr>
        <w:tc>
          <w:tcPr>
            <w:tcW w:w="1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7"/>
          </w:tcPr>
          <w:p>
            <w:pPr>
              <w:ind w:left="320"/>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(c)</w:t>
            </w: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center"/>
              <w:ind w:right="3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74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60" w:type="dxa"/>
            <w:vAlign w:val="bottom"/>
          </w:tcPr>
          <w:p>
            <w:pPr>
              <w:spacing w:after="0"/>
              <w:rPr>
                <w:sz w:val="17"/>
                <w:szCs w:val="17"/>
                <w:color w:val="auto"/>
              </w:rPr>
            </w:pPr>
          </w:p>
        </w:tc>
        <w:tc>
          <w:tcPr>
            <w:tcW w:w="5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MH</w:t>
            </w:r>
            <w:r>
              <w:rPr>
                <w:rFonts w:ascii="Times New Roman" w:cs="Times New Roman" w:eastAsia="Times New Roman" w:hAnsi="Times New Roman"/>
                <w:sz w:val="8"/>
                <w:szCs w:val="8"/>
                <w:b w:val="1"/>
                <w:bCs w:val="1"/>
                <w:color w:val="auto"/>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RV</w:t>
            </w:r>
            <w:r>
              <w:rPr>
                <w:rFonts w:ascii="Times New Roman" w:cs="Times New Roman" w:eastAsia="Times New Roman" w:hAnsi="Times New Roman"/>
                <w:sz w:val="8"/>
                <w:szCs w:val="8"/>
                <w:b w:val="1"/>
                <w:bCs w:val="1"/>
                <w:color w:val="auto"/>
              </w:rPr>
              <w:t>(a)</w:t>
            </w:r>
          </w:p>
        </w:tc>
        <w:tc>
          <w:tcPr>
            <w:tcW w:w="16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5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MH</w:t>
            </w:r>
          </w:p>
        </w:tc>
        <w:tc>
          <w:tcPr>
            <w:tcW w:w="60" w:type="dxa"/>
            <w:vAlign w:val="bottom"/>
          </w:tcPr>
          <w:p>
            <w:pPr>
              <w:spacing w:after="0"/>
              <w:rPr>
                <w:sz w:val="17"/>
                <w:szCs w:val="17"/>
                <w:color w:val="auto"/>
              </w:rPr>
            </w:pP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RV</w:t>
            </w:r>
          </w:p>
        </w:tc>
        <w:tc>
          <w:tcPr>
            <w:tcW w:w="20" w:type="dxa"/>
            <w:vAlign w:val="bottom"/>
          </w:tcPr>
          <w:p>
            <w:pPr>
              <w:spacing w:after="0"/>
              <w:rPr>
                <w:sz w:val="17"/>
                <w:szCs w:val="17"/>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9"/>
                <w:szCs w:val="19"/>
                <w:b w:val="1"/>
                <w:bCs w:val="1"/>
                <w:color w:val="auto"/>
                <w:vertAlign w:val="superscript"/>
              </w:rPr>
              <w:t>(d)</w:t>
            </w:r>
          </w:p>
        </w:tc>
      </w:tr>
      <w:tr>
        <w:trPr>
          <w:trHeight w:val="183"/>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600" w:type="dxa"/>
            <w:vAlign w:val="bottom"/>
            <w:tcBorders>
              <w:top w:val="single" w:sz="8" w:color="auto"/>
            </w:tcBorders>
            <w:gridSpan w:val="4"/>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5"/>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3"/>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4"/>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4"/>
            <w:shd w:val="clear" w:color="auto" w:fill="CCEEFF"/>
          </w:tcPr>
          <w:p>
            <w:pPr>
              <w:spacing w:after="0"/>
              <w:rPr>
                <w:sz w:val="15"/>
                <w:szCs w:val="15"/>
                <w:color w:val="auto"/>
              </w:rPr>
            </w:pPr>
          </w:p>
        </w:tc>
        <w:tc>
          <w:tcPr>
            <w:tcW w:w="240" w:type="dxa"/>
            <w:vAlign w:val="bottom"/>
            <w:tcBorders>
              <w:top w:val="single" w:sz="8" w:color="CCEEFF"/>
            </w:tcBorders>
            <w:gridSpan w:val="3"/>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spacing w:after="0"/>
              <w:rPr>
                <w:sz w:val="15"/>
                <w:szCs w:val="15"/>
                <w:color w:val="auto"/>
              </w:rPr>
            </w:pPr>
          </w:p>
        </w:tc>
        <w:tc>
          <w:tcPr>
            <w:tcW w:w="24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auto"/>
            </w:tcBorders>
            <w:gridSpan w:val="4"/>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4"/>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4"/>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r>
      <w:tr>
        <w:trPr>
          <w:trHeight w:val="148"/>
        </w:trPr>
        <w:tc>
          <w:tcPr>
            <w:tcW w:w="11240" w:type="dxa"/>
            <w:vAlign w:val="bottom"/>
            <w:gridSpan w:val="60"/>
          </w:tcPr>
          <w:p>
            <w:pPr>
              <w:ind w:left="140"/>
              <w:spacing w:after="0" w:line="149" w:lineRule="exact"/>
              <w:rPr>
                <w:sz w:val="20"/>
                <w:szCs w:val="20"/>
                <w:color w:val="auto"/>
              </w:rPr>
            </w:pPr>
            <w:r>
              <w:rPr>
                <w:rFonts w:ascii="Times New Roman" w:cs="Times New Roman" w:eastAsia="Times New Roman" w:hAnsi="Times New Roman"/>
                <w:sz w:val="15"/>
                <w:szCs w:val="15"/>
                <w:b w:val="1"/>
                <w:bCs w:val="1"/>
                <w:color w:val="auto"/>
              </w:rPr>
              <w:t>Same Property</w:t>
            </w:r>
          </w:p>
        </w:tc>
      </w:tr>
      <w:tr>
        <w:trPr>
          <w:trHeight w:val="209"/>
        </w:trPr>
        <w:tc>
          <w:tcPr>
            <w:tcW w:w="11240" w:type="dxa"/>
            <w:vAlign w:val="bottom"/>
            <w:gridSpan w:val="60"/>
          </w:tcPr>
          <w:p>
            <w:pPr>
              <w:ind w:left="140"/>
              <w:spacing w:after="0"/>
              <w:rPr>
                <w:sz w:val="20"/>
                <w:szCs w:val="20"/>
                <w:color w:val="auto"/>
              </w:rPr>
            </w:pPr>
            <w:r>
              <w:rPr>
                <w:rFonts w:ascii="Times New Roman" w:cs="Times New Roman" w:eastAsia="Times New Roman" w:hAnsi="Times New Roman"/>
                <w:sz w:val="15"/>
                <w:szCs w:val="15"/>
                <w:b w:val="1"/>
                <w:bCs w:val="1"/>
                <w:color w:val="auto"/>
              </w:rPr>
              <w:t>Revenues</w:t>
            </w:r>
          </w:p>
        </w:tc>
      </w:tr>
      <w:tr>
        <w:trPr>
          <w:trHeight w:val="155"/>
        </w:trPr>
        <w:tc>
          <w:tcPr>
            <w:tcW w:w="11240" w:type="dxa"/>
            <w:vAlign w:val="bottom"/>
            <w:gridSpan w:val="60"/>
            <w:shd w:val="clear" w:color="auto" w:fill="CCEEFF"/>
          </w:tcPr>
          <w:p>
            <w:pPr>
              <w:ind w:left="240"/>
              <w:spacing w:after="0" w:line="156" w:lineRule="exact"/>
              <w:rPr>
                <w:sz w:val="20"/>
                <w:szCs w:val="20"/>
                <w:color w:val="auto"/>
              </w:rPr>
            </w:pPr>
            <w:r>
              <w:rPr>
                <w:rFonts w:ascii="Times New Roman" w:cs="Times New Roman" w:eastAsia="Times New Roman" w:hAnsi="Times New Roman"/>
                <w:sz w:val="15"/>
                <w:szCs w:val="15"/>
                <w:color w:val="auto"/>
              </w:rPr>
              <w:t>Real property</w:t>
            </w:r>
          </w:p>
        </w:tc>
      </w:tr>
      <w:tr>
        <w:trPr>
          <w:trHeight w:val="216"/>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(excluding 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754.1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8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700.3</w:t>
            </w: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center"/>
              <w:ind w:left="64"/>
              <w:spacing w:after="0"/>
              <w:rPr>
                <w:sz w:val="20"/>
                <w:szCs w:val="20"/>
                <w:color w:val="auto"/>
              </w:rPr>
            </w:pPr>
            <w:r>
              <w:rPr>
                <w:rFonts w:ascii="Times New Roman" w:cs="Times New Roman" w:eastAsia="Times New Roman" w:hAnsi="Times New Roman"/>
                <w:sz w:val="15"/>
                <w:szCs w:val="15"/>
                <w:color w:val="auto"/>
                <w:w w:val="98"/>
              </w:rPr>
              <w:t>53.8</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7.0 %</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12.1 %</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6.1 %</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r>
      <w:tr>
        <w:trPr>
          <w:trHeight w:val="149"/>
        </w:trPr>
        <w:tc>
          <w:tcPr>
            <w:tcW w:w="11240" w:type="dxa"/>
            <w:vAlign w:val="bottom"/>
            <w:gridSpan w:val="60"/>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w:t>
            </w:r>
          </w:p>
        </w:tc>
      </w:tr>
      <w:tr>
        <w:trPr>
          <w:trHeight w:val="212"/>
        </w:trPr>
        <w:tc>
          <w:tcPr>
            <w:tcW w:w="1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4"/>
              </w:rPr>
              <w:t>103.7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115.9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(12.2)</w:t>
            </w:r>
          </w:p>
        </w:tc>
        <w:tc>
          <w:tcPr>
            <w:tcW w:w="6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6.6 %</w:t>
            </w: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(12.4)%</w:t>
            </w: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8.9 %</w:t>
            </w: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133"/>
        </w:trPr>
        <w:tc>
          <w:tcPr>
            <w:tcW w:w="11240" w:type="dxa"/>
            <w:vAlign w:val="bottom"/>
            <w:gridSpan w:val="60"/>
            <w:shd w:val="clear" w:color="auto" w:fill="CCEEFF"/>
          </w:tcPr>
          <w:p>
            <w:pPr>
              <w:ind w:left="240"/>
              <w:spacing w:after="0" w:line="133" w:lineRule="exact"/>
              <w:rPr>
                <w:sz w:val="20"/>
                <w:szCs w:val="20"/>
                <w:color w:val="auto"/>
              </w:rPr>
            </w:pPr>
            <w:r>
              <w:rPr>
                <w:rFonts w:ascii="Times New Roman" w:cs="Times New Roman" w:eastAsia="Times New Roman" w:hAnsi="Times New Roman"/>
                <w:sz w:val="15"/>
                <w:szCs w:val="15"/>
                <w:color w:val="auto"/>
              </w:rPr>
              <w:t>Total Same Property</w:t>
            </w:r>
          </w:p>
        </w:tc>
      </w:tr>
      <w:tr>
        <w:trPr>
          <w:trHeight w:val="216"/>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857.8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816.2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64"/>
              <w:spacing w:after="0"/>
              <w:rPr>
                <w:sz w:val="20"/>
                <w:szCs w:val="20"/>
                <w:color w:val="auto"/>
              </w:rPr>
            </w:pPr>
            <w:r>
              <w:rPr>
                <w:rFonts w:ascii="Times New Roman" w:cs="Times New Roman" w:eastAsia="Times New Roman" w:hAnsi="Times New Roman"/>
                <w:sz w:val="15"/>
                <w:szCs w:val="15"/>
                <w:color w:val="auto"/>
                <w:w w:val="98"/>
              </w:rPr>
              <w:t>41.6</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7.0 %</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0.9 %</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6.2 %</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148"/>
        </w:trPr>
        <w:tc>
          <w:tcPr>
            <w:tcW w:w="11240" w:type="dxa"/>
            <w:vAlign w:val="bottom"/>
            <w:gridSpan w:val="60"/>
          </w:tcPr>
          <w:p>
            <w:pPr>
              <w:ind w:left="140"/>
              <w:spacing w:after="0" w:line="149" w:lineRule="exact"/>
              <w:rPr>
                <w:sz w:val="20"/>
                <w:szCs w:val="20"/>
                <w:color w:val="auto"/>
              </w:rPr>
            </w:pPr>
            <w:r>
              <w:rPr>
                <w:rFonts w:ascii="Times New Roman" w:cs="Times New Roman" w:eastAsia="Times New Roman" w:hAnsi="Times New Roman"/>
                <w:sz w:val="15"/>
                <w:szCs w:val="15"/>
                <w:b w:val="1"/>
                <w:bCs w:val="1"/>
                <w:color w:val="auto"/>
              </w:rPr>
              <w:t>Same Property</w:t>
            </w:r>
          </w:p>
        </w:tc>
      </w:tr>
      <w:tr>
        <w:trPr>
          <w:trHeight w:val="209"/>
        </w:trPr>
        <w:tc>
          <w:tcPr>
            <w:tcW w:w="11240" w:type="dxa"/>
            <w:vAlign w:val="bottom"/>
            <w:gridSpan w:val="60"/>
          </w:tcPr>
          <w:p>
            <w:pPr>
              <w:ind w:left="140"/>
              <w:spacing w:after="0"/>
              <w:rPr>
                <w:sz w:val="20"/>
                <w:szCs w:val="20"/>
                <w:color w:val="auto"/>
              </w:rPr>
            </w:pPr>
            <w:r>
              <w:rPr>
                <w:rFonts w:ascii="Times New Roman" w:cs="Times New Roman" w:eastAsia="Times New Roman" w:hAnsi="Times New Roman"/>
                <w:sz w:val="15"/>
                <w:szCs w:val="15"/>
                <w:b w:val="1"/>
                <w:bCs w:val="1"/>
                <w:color w:val="auto"/>
              </w:rPr>
              <w:t>Expenses</w:t>
            </w:r>
          </w:p>
        </w:tc>
      </w:tr>
      <w:tr>
        <w:trPr>
          <w:trHeight w:val="155"/>
        </w:trPr>
        <w:tc>
          <w:tcPr>
            <w:tcW w:w="11240" w:type="dxa"/>
            <w:vAlign w:val="bottom"/>
            <w:gridSpan w:val="60"/>
            <w:shd w:val="clear" w:color="auto" w:fill="CCEEFF"/>
          </w:tcPr>
          <w:p>
            <w:pPr>
              <w:ind w:left="240"/>
              <w:spacing w:after="0" w:line="156" w:lineRule="exact"/>
              <w:rPr>
                <w:sz w:val="20"/>
                <w:szCs w:val="20"/>
                <w:color w:val="auto"/>
              </w:rPr>
            </w:pPr>
            <w:r>
              <w:rPr>
                <w:rFonts w:ascii="Times New Roman" w:cs="Times New Roman" w:eastAsia="Times New Roman" w:hAnsi="Times New Roman"/>
                <w:sz w:val="15"/>
                <w:szCs w:val="15"/>
                <w:color w:val="auto"/>
              </w:rPr>
              <w:t>Same Property</w:t>
            </w:r>
          </w:p>
        </w:tc>
      </w:tr>
      <w:tr>
        <w:trPr>
          <w:trHeight w:val="216"/>
        </w:trPr>
        <w:tc>
          <w:tcPr>
            <w:tcW w:w="16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5"/>
                <w:szCs w:val="15"/>
                <w:color w:val="auto"/>
                <w:w w:val="98"/>
              </w:rPr>
              <w:t>operating expenses</w:t>
            </w:r>
            <w:r>
              <w:rPr>
                <w:rFonts w:ascii="Times New Roman" w:cs="Times New Roman" w:eastAsia="Times New Roman" w:hAnsi="Times New Roman"/>
                <w:sz w:val="19"/>
                <w:szCs w:val="19"/>
                <w:color w:val="auto"/>
                <w:w w:val="98"/>
                <w:vertAlign w:val="superscript"/>
              </w:rPr>
              <w:t>(b)(d)</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291.8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60.5</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280.0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center"/>
              <w:ind w:left="64"/>
              <w:spacing w:after="0"/>
              <w:rPr>
                <w:sz w:val="20"/>
                <w:szCs w:val="20"/>
                <w:color w:val="auto"/>
              </w:rPr>
            </w:pPr>
            <w:r>
              <w:rPr>
                <w:rFonts w:ascii="Times New Roman" w:cs="Times New Roman" w:eastAsia="Times New Roman" w:hAnsi="Times New Roman"/>
                <w:sz w:val="15"/>
                <w:szCs w:val="15"/>
                <w:color w:val="auto"/>
                <w:w w:val="98"/>
              </w:rPr>
              <w:t>11.8</w:t>
            </w: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6.3 %</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1.5 %</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5.3 %</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196"/>
        </w:trPr>
        <w:tc>
          <w:tcPr>
            <w:tcW w:w="1680" w:type="dxa"/>
            <w:vAlign w:val="bottom"/>
          </w:tcPr>
          <w:p>
            <w:pPr>
              <w:ind w:left="140"/>
              <w:spacing w:after="0" w:line="196" w:lineRule="exact"/>
              <w:rPr>
                <w:sz w:val="20"/>
                <w:szCs w:val="20"/>
                <w:color w:val="auto"/>
              </w:rPr>
            </w:pPr>
            <w:r>
              <w:rPr>
                <w:rFonts w:ascii="Times New Roman" w:cs="Times New Roman" w:eastAsia="Times New Roman" w:hAnsi="Times New Roman"/>
                <w:sz w:val="15"/>
                <w:szCs w:val="15"/>
                <w:b w:val="1"/>
                <w:bCs w:val="1"/>
                <w:color w:val="auto"/>
              </w:rPr>
              <w:t>Real Property NOI</w:t>
            </w:r>
            <w:r>
              <w:rPr>
                <w:rFonts w:ascii="Times New Roman" w:cs="Times New Roman" w:eastAsia="Times New Roman" w:hAnsi="Times New Roman"/>
                <w:sz w:val="19"/>
                <w:szCs w:val="19"/>
                <w:b w:val="1"/>
                <w:bCs w:val="1"/>
                <w:color w:val="auto"/>
                <w:vertAlign w:val="superscript"/>
              </w:rPr>
              <w:t>(d)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322.7</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220" w:type="dxa"/>
            <w:vAlign w:val="bottom"/>
          </w:tcPr>
          <w:p>
            <w:pPr>
              <w:spacing w:after="0"/>
              <w:rPr>
                <w:sz w:val="17"/>
                <w:szCs w:val="17"/>
                <w:color w:val="auto"/>
              </w:rPr>
            </w:pPr>
          </w:p>
        </w:tc>
        <w:tc>
          <w:tcPr>
            <w:tcW w:w="200" w:type="dxa"/>
            <w:vAlign w:val="bottom"/>
            <w:tcBorders>
              <w:bottom w:val="single" w:sz="8" w:color="auto"/>
            </w:tcBorders>
            <w:gridSpan w:val="2"/>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4"/>
              </w:rPr>
              <w:t>566.0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300.9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114.7</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536.2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gridSpan w:val="2"/>
          </w:tcPr>
          <w:p>
            <w:pPr>
              <w:jc w:val="center"/>
              <w:ind w:left="64"/>
              <w:spacing w:after="0"/>
              <w:rPr>
                <w:sz w:val="20"/>
                <w:szCs w:val="20"/>
                <w:color w:val="auto"/>
              </w:rPr>
            </w:pPr>
            <w:r>
              <w:rPr>
                <w:rFonts w:ascii="Times New Roman" w:cs="Times New Roman" w:eastAsia="Times New Roman" w:hAnsi="Times New Roman"/>
                <w:sz w:val="15"/>
                <w:szCs w:val="15"/>
                <w:color w:val="auto"/>
                <w:w w:val="98"/>
              </w:rPr>
              <w:t>29.8</w:t>
            </w:r>
          </w:p>
        </w:tc>
        <w:tc>
          <w:tcPr>
            <w:tcW w:w="40" w:type="dxa"/>
            <w:vAlign w:val="bottom"/>
            <w:tcBorders>
              <w:bottom w:val="single" w:sz="8" w:color="auto"/>
            </w:tcBorders>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7.2 %</w:t>
            </w:r>
          </w:p>
        </w:tc>
        <w:tc>
          <w:tcPr>
            <w:tcW w:w="2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0.3 %</w:t>
            </w:r>
          </w:p>
        </w:tc>
        <w:tc>
          <w:tcPr>
            <w:tcW w:w="6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6.7 %</w:t>
            </w: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800" w:type="dxa"/>
            <w:vAlign w:val="bottom"/>
            <w:tcBorders>
              <w:bottom w:val="single" w:sz="8" w:color="CCEEFF"/>
            </w:tcBorders>
            <w:gridSpan w:val="14"/>
          </w:tcPr>
          <w:p>
            <w:pPr>
              <w:spacing w:after="0" w:line="20" w:lineRule="exact"/>
              <w:rPr>
                <w:sz w:val="1"/>
                <w:szCs w:val="1"/>
                <w:color w:val="auto"/>
              </w:rPr>
            </w:pPr>
          </w:p>
        </w:tc>
      </w:tr>
      <w:tr>
        <w:trPr>
          <w:trHeight w:val="75"/>
        </w:trPr>
        <w:tc>
          <w:tcPr>
            <w:tcW w:w="11240" w:type="dxa"/>
            <w:vAlign w:val="bottom"/>
            <w:gridSpan w:val="60"/>
            <w:shd w:val="clear" w:color="auto" w:fill="CCEEFF"/>
          </w:tcPr>
          <w:p>
            <w:pPr>
              <w:spacing w:after="0"/>
              <w:rPr>
                <w:sz w:val="6"/>
                <w:szCs w:val="6"/>
                <w:color w:val="auto"/>
              </w:rPr>
            </w:pPr>
          </w:p>
        </w:tc>
      </w:tr>
      <w:tr>
        <w:trPr>
          <w:trHeight w:val="202"/>
        </w:trPr>
        <w:tc>
          <w:tcPr>
            <w:tcW w:w="11240" w:type="dxa"/>
            <w:vAlign w:val="bottom"/>
            <w:gridSpan w:val="60"/>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r>
      <w:tr>
        <w:trPr>
          <w:trHeight w:val="203"/>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Number of properties</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48"/>
        </w:trPr>
        <w:tc>
          <w:tcPr>
            <w:tcW w:w="11240" w:type="dxa"/>
            <w:vAlign w:val="bottom"/>
            <w:gridSpan w:val="60"/>
          </w:tcPr>
          <w:p>
            <w:pPr>
              <w:ind w:left="240"/>
              <w:spacing w:after="0" w:line="149" w:lineRule="exact"/>
              <w:rPr>
                <w:sz w:val="20"/>
                <w:szCs w:val="20"/>
                <w:color w:val="auto"/>
              </w:rPr>
            </w:pPr>
            <w:r>
              <w:rPr>
                <w:rFonts w:ascii="Times New Roman" w:cs="Times New Roman" w:eastAsia="Times New Roman" w:hAnsi="Times New Roman"/>
                <w:sz w:val="15"/>
                <w:szCs w:val="15"/>
                <w:color w:val="auto"/>
              </w:rPr>
              <w:t>Sites, wet slips and dry</w:t>
            </w:r>
          </w:p>
        </w:tc>
      </w:tr>
      <w:tr>
        <w:trPr>
          <w:trHeight w:val="208"/>
        </w:trPr>
        <w:tc>
          <w:tcPr>
            <w:tcW w:w="1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storage spaces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99,390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55,590</w:t>
            </w: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43,380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198,360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99,380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55,200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198,200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93" w:lineRule="exact"/>
        <w:rPr>
          <w:sz w:val="20"/>
          <w:szCs w:val="20"/>
          <w:color w:val="auto"/>
        </w:rPr>
      </w:pPr>
    </w:p>
    <w:p>
      <w:pPr>
        <w:ind w:left="180" w:hanging="172"/>
        <w:spacing w:after="0" w:line="256" w:lineRule="auto"/>
        <w:tabs>
          <w:tab w:leader="none" w:pos="162"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results for our MH and RV properties reflect constant currency for comparative purposes. Canadian currency figures in the prior comparative period have been translated at the average exchange rate during the three and six months ended June 30, 2024 of $0.7309 and $0.7364 USD per Canadian dollar,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North America Same Property Portfolio (Continued)</w:t>
      </w:r>
    </w:p>
    <w:p>
      <w:pPr>
        <w:spacing w:after="0" w:line="273"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net certain utilities revenues (which include utility reimbursement revenues from residents) against related utility expenses in property operating expenses as follows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Three Months Ended June 30, 2024</w:t>
            </w: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Three Months Ended June 30, 2023</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20" w:type="dxa"/>
            <w:vAlign w:val="bottom"/>
          </w:tcPr>
          <w:p>
            <w:pPr>
              <w:spacing w:after="0"/>
              <w:rPr>
                <w:sz w:val="17"/>
                <w:szCs w:val="17"/>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29"/>
        </w:trPr>
        <w:tc>
          <w:tcPr>
            <w:tcW w:w="31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Utility  revenue  netted  against  related  utility</w:t>
            </w: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expense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6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9"/>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9"/>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Six Months Ended June 30, 2023</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MH</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RV</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0" w:type="dxa"/>
            <w:vAlign w:val="bottom"/>
          </w:tcPr>
          <w:p>
            <w:pPr>
              <w:spacing w:after="0"/>
              <w:rPr>
                <w:sz w:val="17"/>
                <w:szCs w:val="17"/>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MH</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RV</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38"/>
        </w:trPr>
        <w:tc>
          <w:tcPr>
            <w:tcW w:w="314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Utility  revenue  netted  against  related  utility</w:t>
            </w: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expense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720" w:type="dxa"/>
            <w:vAlign w:val="bottom"/>
            <w:gridSpan w:val="3"/>
            <w:vMerge w:val="restart"/>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1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740" w:type="dxa"/>
            <w:vAlign w:val="bottom"/>
            <w:gridSpan w:val="3"/>
            <w:vMerge w:val="restart"/>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are calculated based on unrounded numbers.</w:t>
      </w:r>
    </w:p>
    <w:p>
      <w:pPr>
        <w:spacing w:after="0" w:line="55" w:lineRule="exact"/>
        <w:rPr>
          <w:rFonts w:ascii="Times New Roman" w:cs="Times New Roman" w:eastAsia="Times New Roman" w:hAnsi="Times New Roman"/>
          <w:sz w:val="17"/>
          <w:szCs w:val="17"/>
          <w:color w:val="auto"/>
          <w:vertAlign w:val="superscript"/>
        </w:rPr>
      </w:pPr>
    </w:p>
    <w:p>
      <w:pPr>
        <w:ind w:left="180" w:hanging="172"/>
        <w:spacing w:after="0" w:line="221" w:lineRule="auto"/>
        <w:tabs>
          <w:tab w:leader="none" w:pos="16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Same Property operating expenses consist of the following components for the periods shown (in millions), and exclude amounts invested into recently acquired properties to bring them up to our standards.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46"/>
        </w:trPr>
        <w:tc>
          <w:tcPr>
            <w:tcW w:w="2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2"/>
                <w:szCs w:val="12"/>
                <w:color w:val="auto"/>
              </w:rPr>
            </w:pPr>
          </w:p>
        </w:tc>
        <w:tc>
          <w:tcPr>
            <w:tcW w:w="86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296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60" w:type="dxa"/>
            <w:vAlign w:val="bottom"/>
          </w:tcPr>
          <w:p>
            <w:pPr>
              <w:spacing w:after="0"/>
              <w:rPr>
                <w:sz w:val="18"/>
                <w:szCs w:val="18"/>
                <w:color w:val="auto"/>
              </w:rPr>
            </w:pP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2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(c)</w:t>
            </w:r>
          </w:p>
        </w:tc>
        <w:tc>
          <w:tcPr>
            <w:tcW w:w="140" w:type="dxa"/>
            <w:vAlign w:val="bottom"/>
          </w:tcPr>
          <w:p>
            <w:pPr>
              <w:spacing w:after="0"/>
              <w:rPr>
                <w:sz w:val="18"/>
                <w:szCs w:val="18"/>
                <w:color w:val="auto"/>
              </w:rPr>
            </w:pPr>
          </w:p>
        </w:tc>
        <w:tc>
          <w:tcPr>
            <w:tcW w:w="76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0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(c)</w:t>
            </w: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and benefits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r>
      <w:tr>
        <w:trPr>
          <w:trHeight w:val="200"/>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 estate taxes</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3.5 %</w:t>
            </w: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and repairs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8.7 %</w:t>
            </w:r>
          </w:p>
        </w:tc>
      </w:tr>
      <w:tr>
        <w:trPr>
          <w:trHeight w:val="200"/>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Utilities</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0.2 %</w:t>
            </w: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Legal, state / local taxes, and insurance</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1.5 %</w:t>
            </w:r>
          </w:p>
        </w:tc>
      </w:tr>
      <w:tr>
        <w:trPr>
          <w:trHeight w:val="20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13.8 %</w:t>
            </w:r>
          </w:p>
        </w:tc>
      </w:tr>
      <w:tr>
        <w:trPr>
          <w:trHeight w:val="22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Same Property Operating Expenses</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 Same Property Summary (in whole units)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00"/>
        </w:trPr>
        <w:tc>
          <w:tcPr>
            <w:tcW w:w="6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5"/>
                <w:szCs w:val="15"/>
                <w:b w:val="1"/>
                <w:bCs w:val="1"/>
                <w:color w:val="auto"/>
                <w:w w:val="98"/>
              </w:rPr>
              <w:t>June 30, 2023</w:t>
            </w:r>
          </w:p>
        </w:tc>
        <w:tc>
          <w:tcPr>
            <w:tcW w:w="640" w:type="dxa"/>
            <w:vAlign w:val="bottom"/>
            <w:tcBorders>
              <w:bottom w:val="single" w:sz="8" w:color="auto"/>
            </w:tcBorders>
          </w:tcPr>
          <w:p>
            <w:pPr>
              <w:spacing w:after="0"/>
              <w:rPr>
                <w:sz w:val="17"/>
                <w:szCs w:val="17"/>
                <w:color w:val="auto"/>
              </w:rPr>
            </w:pPr>
          </w:p>
        </w:tc>
      </w:tr>
      <w:tr>
        <w:trPr>
          <w:trHeight w:val="196"/>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400" w:type="dxa"/>
            <w:vAlign w:val="bottom"/>
          </w:tcPr>
          <w:p>
            <w:pPr>
              <w:spacing w:after="0"/>
              <w:rPr>
                <w:sz w:val="17"/>
                <w:szCs w:val="17"/>
                <w:color w:val="auto"/>
              </w:rPr>
            </w:pP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2"/>
              </w:rPr>
              <w:t>RV</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400" w:type="dxa"/>
            <w:vAlign w:val="bottom"/>
          </w:tcPr>
          <w:p>
            <w:pPr>
              <w:spacing w:after="0"/>
              <w:rPr>
                <w:sz w:val="17"/>
                <w:szCs w:val="17"/>
                <w:color w:val="auto"/>
              </w:rPr>
            </w:pP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2"/>
              </w:rPr>
              <w:t>RV</w:t>
            </w:r>
          </w:p>
        </w:tc>
      </w:tr>
      <w:tr>
        <w:trPr>
          <w:trHeight w:val="18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164</w:t>
            </w:r>
          </w:p>
        </w:tc>
      </w:tr>
      <w:tr>
        <w:trPr>
          <w:trHeight w:val="162"/>
        </w:trPr>
        <w:tc>
          <w:tcPr>
            <w:tcW w:w="6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MH and annual RV sites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99,390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33,100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99,380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31,450</w:t>
            </w:r>
          </w:p>
        </w:tc>
      </w:tr>
      <w:tr>
        <w:trPr>
          <w:trHeight w:val="200"/>
        </w:trPr>
        <w:tc>
          <w:tcPr>
            <w:tcW w:w="6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 RV sites</w:t>
            </w:r>
          </w:p>
        </w:tc>
        <w:tc>
          <w:tcPr>
            <w:tcW w:w="240" w:type="dxa"/>
            <w:vAlign w:val="bottom"/>
          </w:tcPr>
          <w:p>
            <w:pPr>
              <w:spacing w:after="0"/>
              <w:rPr>
                <w:sz w:val="17"/>
                <w:szCs w:val="17"/>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400" w:type="dxa"/>
            <w:vAlign w:val="bottom"/>
          </w:tcPr>
          <w:p>
            <w:pPr>
              <w:spacing w:after="0"/>
              <w:rPr>
                <w:sz w:val="17"/>
                <w:szCs w:val="17"/>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22,490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400" w:type="dxa"/>
            <w:vAlign w:val="bottom"/>
          </w:tcPr>
          <w:p>
            <w:pPr>
              <w:spacing w:after="0"/>
              <w:rPr>
                <w:sz w:val="17"/>
                <w:szCs w:val="17"/>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23,750</w:t>
            </w:r>
          </w:p>
        </w:tc>
      </w:tr>
      <w:tr>
        <w:trPr>
          <w:trHeight w:val="198"/>
        </w:trPr>
        <w:tc>
          <w:tcPr>
            <w:tcW w:w="6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99,390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55,590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99,380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55,200</w:t>
            </w:r>
          </w:p>
        </w:tc>
      </w:tr>
      <w:tr>
        <w:trPr>
          <w:trHeight w:val="162"/>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MH and Annual RV Occupancy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78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(a)</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Monthly base rent per site</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692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612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575</w:t>
            </w:r>
          </w:p>
        </w:tc>
      </w:tr>
      <w:tr>
        <w:trPr>
          <w:trHeight w:val="203"/>
        </w:trPr>
        <w:tc>
          <w:tcPr>
            <w:tcW w:w="678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 change in monthly base rent</w:t>
            </w:r>
            <w:r>
              <w:rPr>
                <w:rFonts w:ascii="Times New Roman" w:cs="Times New Roman" w:eastAsia="Times New Roman" w:hAnsi="Times New Roman"/>
                <w:sz w:val="19"/>
                <w:szCs w:val="19"/>
                <w:color w:val="auto"/>
                <w:vertAlign w:val="superscript"/>
              </w:rPr>
              <w:t>(b)</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40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162"/>
        </w:trPr>
        <w:tc>
          <w:tcPr>
            <w:tcW w:w="6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Rental Program Statistics included in MH:</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8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5"/>
                <w:szCs w:val="15"/>
                <w:color w:val="auto"/>
              </w:rPr>
              <w:t>Number of occupied sites, end of period</w:t>
            </w:r>
            <w:r>
              <w:rPr>
                <w:rFonts w:ascii="Times New Roman" w:cs="Times New Roman" w:eastAsia="Times New Roman" w:hAnsi="Times New Roman"/>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10,300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9,680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6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Monthly rent per site - MH rental program</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1,264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5"/>
        </w:trPr>
        <w:tc>
          <w:tcPr>
            <w:tcW w:w="6780" w:type="dxa"/>
            <w:vAlign w:val="bottom"/>
            <w:shd w:val="clear" w:color="auto" w:fill="CCEEFF"/>
          </w:tcPr>
          <w:p>
            <w:pPr>
              <w:ind w:left="240"/>
              <w:spacing w:after="0" w:line="204" w:lineRule="exact"/>
              <w:rPr>
                <w:sz w:val="20"/>
                <w:szCs w:val="20"/>
                <w:color w:val="auto"/>
              </w:rPr>
            </w:pPr>
            <w:r>
              <w:rPr>
                <w:rFonts w:ascii="Times New Roman" w:cs="Times New Roman" w:eastAsia="Times New Roman" w:hAnsi="Times New Roman"/>
                <w:sz w:val="15"/>
                <w:szCs w:val="15"/>
                <w:color w:val="auto"/>
              </w:rPr>
              <w:t>% change</w:t>
            </w:r>
            <w:r>
              <w:rPr>
                <w:rFonts w:ascii="Times New Roman" w:cs="Times New Roman" w:eastAsia="Times New Roman" w:hAnsi="Times New Roman"/>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N/A</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69" w:lineRule="exact"/>
        <w:rPr>
          <w:sz w:val="20"/>
          <w:szCs w:val="20"/>
          <w:color w:val="auto"/>
        </w:rPr>
      </w:pPr>
    </w:p>
    <w:p>
      <w:pPr>
        <w:jc w:val="both"/>
        <w:ind w:left="180" w:hanging="172"/>
        <w:spacing w:after="0" w:line="239" w:lineRule="auto"/>
        <w:tabs>
          <w:tab w:leader="none" w:pos="169"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adjusted blended occupancy for MH and RV combined increased to 98.7% at June 30, 2024, from 97.2% at June 30, 2023. The 150 basis point increase was driven by MH expansion fills and the conversion of transient RV sites to annual sites. Same Property blended occupancy for MH and RV was 97.9% at June 30, 2024, up 30 basis points from 97.6% at June 30, 2023. The 30 basis point increase was driven by MH expansion fills and the conversion of transient RV sites to annual sites.</w:t>
      </w:r>
    </w:p>
    <w:p>
      <w:pPr>
        <w:spacing w:after="0" w:line="1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using actual results without rounding.</w:t>
      </w:r>
    </w:p>
    <w:p>
      <w:pPr>
        <w:spacing w:after="0" w:line="43"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Occupied rental program sites in Same Property are included in total sites.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UK Same Property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UK portfolio as of and for the three and six months ended June 30, 2024 and 2023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7"/>
          </w:tcPr>
          <w:p>
            <w:pPr>
              <w:ind w:left="6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20" w:type="dxa"/>
            <w:vAlign w:val="bottom"/>
          </w:tcPr>
          <w:p>
            <w:pPr>
              <w:spacing w:after="0"/>
              <w:rPr>
                <w:sz w:val="17"/>
                <w:szCs w:val="17"/>
                <w:color w:val="auto"/>
              </w:rPr>
            </w:pPr>
          </w:p>
        </w:tc>
      </w:tr>
      <w:tr>
        <w:trPr>
          <w:trHeight w:val="200"/>
        </w:trPr>
        <w:tc>
          <w:tcPr>
            <w:tcW w:w="4380" w:type="dxa"/>
            <w:vAlign w:val="bottom"/>
          </w:tcPr>
          <w:p>
            <w:pPr>
              <w:spacing w:after="0"/>
              <w:rPr>
                <w:sz w:val="17"/>
                <w:szCs w:val="17"/>
                <w:color w:val="auto"/>
              </w:rPr>
            </w:pPr>
          </w:p>
        </w:tc>
        <w:tc>
          <w:tcPr>
            <w:tcW w:w="10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(b)</w:t>
            </w:r>
          </w:p>
        </w:tc>
        <w:tc>
          <w:tcPr>
            <w:tcW w:w="100" w:type="dxa"/>
            <w:vAlign w:val="bottom"/>
          </w:tcPr>
          <w:p>
            <w:pPr>
              <w:spacing w:after="0"/>
              <w:rPr>
                <w:sz w:val="17"/>
                <w:szCs w:val="17"/>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020" w:type="dxa"/>
            <w:vAlign w:val="bottom"/>
            <w:tcBorders>
              <w:top w:val="single" w:sz="8" w:color="auto"/>
            </w:tcBorders>
          </w:tcPr>
          <w:p>
            <w:pPr>
              <w:jc w:val="right"/>
              <w:ind w:right="8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(b)</w:t>
            </w:r>
          </w:p>
        </w:tc>
      </w:tr>
      <w:tr>
        <w:trPr>
          <w:trHeight w:val="183"/>
        </w:trPr>
        <w:tc>
          <w:tcPr>
            <w:tcW w:w="43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5"/>
                <w:szCs w:val="15"/>
                <w:b w:val="1"/>
                <w:bCs w:val="1"/>
                <w:color w:val="auto"/>
              </w:rPr>
              <w:t>Financial Information</w:t>
            </w:r>
            <w:r>
              <w:rPr>
                <w:rFonts w:ascii="Times New Roman" w:cs="Times New Roman" w:eastAsia="Times New Roman" w:hAnsi="Times New Roman"/>
                <w:sz w:val="19"/>
                <w:szCs w:val="19"/>
                <w:b w:val="1"/>
                <w:bCs w:val="1"/>
                <w:color w:val="auto"/>
                <w:vertAlign w:val="superscript"/>
              </w:rPr>
              <w:t>(a)</w:t>
            </w:r>
          </w:p>
        </w:tc>
        <w:tc>
          <w:tcPr>
            <w:tcW w:w="3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Revenues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49.6</w:t>
            </w:r>
          </w:p>
        </w:tc>
        <w:tc>
          <w:tcPr>
            <w:tcW w:w="4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r>
      <w:tr>
        <w:trPr>
          <w:trHeight w:val="200"/>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13.5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16.2</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8.3 %</w:t>
            </w:r>
          </w:p>
        </w:tc>
      </w:tr>
      <w:tr>
        <w:trPr>
          <w:trHeight w:val="198"/>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Same Property operating revenues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36.6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65.8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Same Property Expenses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38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5"/>
                <w:szCs w:val="15"/>
                <w:color w:val="auto"/>
              </w:rPr>
              <w:t>Same Property operating expenses</w:t>
            </w:r>
            <w:r>
              <w:rPr>
                <w:rFonts w:ascii="Times New Roman" w:cs="Times New Roman" w:eastAsia="Times New Roman" w:hAnsi="Times New Roman"/>
                <w:sz w:val="19"/>
                <w:szCs w:val="19"/>
                <w:color w:val="auto"/>
                <w:vertAlign w:val="superscript"/>
              </w:rPr>
              <w:t>(c)</w:t>
            </w: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35.2</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196"/>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Real Property NOI</w:t>
            </w: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30.6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19.4 %</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69"/>
        </w:trPr>
        <w:tc>
          <w:tcPr>
            <w:tcW w:w="4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Other Information</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8"/>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34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bl>
    <w:p>
      <w:pPr>
        <w:spacing w:after="0" w:line="89" w:lineRule="exact"/>
        <w:rPr>
          <w:sz w:val="20"/>
          <w:szCs w:val="20"/>
          <w:color w:val="auto"/>
        </w:rPr>
      </w:pPr>
    </w:p>
    <w:p>
      <w:pPr>
        <w:ind w:left="180" w:hanging="172"/>
        <w:spacing w:after="0" w:line="288" w:lineRule="auto"/>
        <w:tabs>
          <w:tab w:leader="none" w:pos="145"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Same Property results for the Company's properties reflect constant currency for comparative purposes. United Kingdom currency figures in the prior comparative period have been translated at the average exchange rate of $1.2618 and $1.2649 USD per Pound sterling, during the three and six months ended June 30, 2024, respectively.</w:t>
      </w:r>
    </w:p>
    <w:p>
      <w:pPr>
        <w:ind w:left="160" w:hanging="152"/>
        <w:spacing w:after="0"/>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are calculated based on unrounded numbers.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14" w:lineRule="auto"/>
        <w:tabs>
          <w:tab w:leader="none" w:pos="14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net certain utility revenues (which include utility reimbursement revenues from residents) against related utility expenses in property operating expenses as follows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0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29"/>
        </w:trPr>
        <w:tc>
          <w:tcPr>
            <w:tcW w:w="67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Utility revenue netted against related utility expense</w:t>
            </w: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Same Property Summary (in whole units)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80" w:type="dxa"/>
            <w:vAlign w:val="bottom"/>
          </w:tcPr>
          <w:p>
            <w:pPr>
              <w:spacing w:after="0"/>
              <w:rPr>
                <w:sz w:val="17"/>
                <w:szCs w:val="17"/>
                <w:color w:val="auto"/>
              </w:rPr>
            </w:pPr>
          </w:p>
        </w:tc>
        <w:tc>
          <w:tcPr>
            <w:tcW w:w="960" w:type="dxa"/>
            <w:vAlign w:val="bottom"/>
          </w:tcPr>
          <w:p>
            <w:pPr>
              <w:jc w:val="right"/>
              <w:ind w:right="184"/>
              <w:spacing w:after="0" w:line="200"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b w:val="1"/>
                <w:bCs w:val="1"/>
                <w:color w:val="auto"/>
                <w:vertAlign w:val="superscript"/>
              </w:rPr>
              <w:t>(a)</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2"/>
        </w:trPr>
        <w:tc>
          <w:tcPr>
            <w:tcW w:w="75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10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75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UK</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16,560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16,440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120</w:t>
            </w:r>
          </w:p>
        </w:tc>
      </w:tr>
      <w:tr>
        <w:trPr>
          <w:trHeight w:val="200"/>
        </w:trPr>
        <w:tc>
          <w:tcPr>
            <w:tcW w:w="7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UK Transient</w:t>
            </w:r>
          </w:p>
        </w:tc>
        <w:tc>
          <w:tcPr>
            <w:tcW w:w="10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3,420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3,200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220</w:t>
            </w:r>
          </w:p>
        </w:tc>
      </w:tr>
      <w:tr>
        <w:trPr>
          <w:trHeight w:val="218"/>
        </w:trPr>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54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(b)</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Monthly base rent per site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38</w:t>
            </w:r>
          </w:p>
        </w:tc>
      </w:tr>
    </w:tbl>
    <w:p>
      <w:pPr>
        <w:spacing w:after="0" w:line="78"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Calculated using actual results without rounding.</w:t>
      </w:r>
    </w:p>
    <w:p>
      <w:pPr>
        <w:spacing w:after="0" w:line="55" w:lineRule="exact"/>
        <w:rPr>
          <w:rFonts w:ascii="Times New Roman" w:cs="Times New Roman" w:eastAsia="Times New Roman" w:hAnsi="Times New Roman"/>
          <w:sz w:val="17"/>
          <w:szCs w:val="17"/>
          <w:color w:val="auto"/>
          <w:vertAlign w:val="superscript"/>
        </w:rPr>
      </w:pPr>
    </w:p>
    <w:p>
      <w:pPr>
        <w:ind w:left="180" w:right="20" w:hanging="172"/>
        <w:spacing w:after="0" w:line="228" w:lineRule="auto"/>
        <w:tabs>
          <w:tab w:leader="none" w:pos="15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Adjusting for recently delivered and vacant expansion sites, Same Property adjusted occupancy decreased by 40 basis points year over year, to 90.8% at June 30, 2024, from 91.2% at June 30, 2023.</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and 2023:</w:t>
      </w:r>
    </w:p>
    <w:p>
      <w:pPr>
        <w:spacing w:after="0" w:line="252" w:lineRule="exact"/>
        <w:rPr>
          <w:sz w:val="20"/>
          <w:szCs w:val="20"/>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$9.7 million, or 6.4%, when compared to the same period in 2023 is primarily due to an increase in Real property (excluding transient) revenue of $15.0 million, or 7.2%. Real property (excluding transient) revenue increased primarily due to a 6.0%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decrease in NOI of $3.4 million, or 4.6%, when compared to the same period in 2023 is primarily due to a decrease in Real property transient revenue of $8.4 million, or 12.0%, and an increase in Same property operating expenses of $2.3 million, or 4.0%, partially offset by an increase in Real property (excluding transient revenue) of $7.3 million, or 11.0%. The increase in Real property (excluding transient) revenue was primarily due to a 6.4% increase in monthly base rent and conversions of transient RV sites to annual RV sites.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 segment increase in NOI of $4.1 million, or 6.1%, when compared to the same period in 2023 is primarily due to the $4.6 million, or 5.1%, increase in Real property (excluding transient) revenue.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segment increase in NOI of $1.7 million, or 9.3%, when compared to the same period in 2023 is primarily due to the $1.6 million, or 7.1%, increase in Real property (excluding transient) revenue. The increase in Real property (excluding transient) revenue was primarily due to a</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increase in monthly base rent per site.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and 2023</w:t>
      </w:r>
    </w:p>
    <w:p>
      <w:pPr>
        <w:spacing w:after="0" w:line="252" w:lineRule="exact"/>
        <w:rPr>
          <w:sz w:val="20"/>
          <w:szCs w:val="20"/>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$21.8 million, or 7.2%, when compared to the same period in 2023 is primarily due to an increase in Real property (excluding transient) revenue of $28.8 million, or 7.0%. Real property (excluding transient) revenue increased primarily due to a 6.0%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$0.3 million, or 0.3%, when compared to the same period in 2023 is primarily due to an increase in Real property (excluding transient) revenue of $15.0 million, or 12.1%, partially offset by a decrease in Real property transient revenue of $13.1 million, or 12.4%. The increase in Real property (excluding transient) revenue was primarily due to a 6.4% increase in monthly base rent and conversions of transient RV sites to annual RV sites. The decrease in Real property transient revenue was primarily due to transient to annual RV site conversions.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 segment increase in NOI of $7.7 million, or 6.7%, when compared to the same period in 2023 is primarily due to the $10.0 million, or 6.1%, increase in Real property (excluding transient) revenue.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UK segment increase in NOI of $5.0 million, or 19.4%, when compared to the same period in 2023 is primarily due to the $3.6 million, or 7.7%, increase in Real property (excluding transient) revenue, and a decrease of $0.2 million, or 0.5%, in Same property operating expenses. The increase in Real property (excluding transient) revenue was primarily due to a 7.9% increase in monthly base rent per site. The decrease in Same property operating expenses was primarily due to efficient expense management related to leasing costs and utility expenses, net of utility revenue.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Sales Summary</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sell new and pre-owned homes to current and prospective residents and customers in our communities. This inventory is purchased from manufacturers, lenders, dealers, former residents or customers.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statistical information for our home sales program for the three and six months ended June 30, 2024 and 2023 (in millions, except for average selling price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6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8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2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91.0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109.5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(16.9)%</w:t>
            </w:r>
          </w:p>
        </w:tc>
      </w:tr>
      <w:tr>
        <w:trPr>
          <w:trHeight w:val="151"/>
        </w:trPr>
        <w:tc>
          <w:tcPr>
            <w:tcW w:w="218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2"/>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71.2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82.0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(28.0)%</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97"/>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UK</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99.4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51"/>
        </w:trPr>
        <w:tc>
          <w:tcPr>
            <w:tcW w:w="218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2"/>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67.0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32.4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96"/>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21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176.4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208.9</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w:t>
            </w:r>
          </w:p>
        </w:tc>
      </w:tr>
      <w:tr>
        <w:trPr>
          <w:trHeight w:val="151"/>
        </w:trPr>
        <w:tc>
          <w:tcPr>
            <w:tcW w:w="218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2"/>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86.4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128.7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36.2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47.7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97"/>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Units Sold: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MH</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203"/>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UK</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837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1,408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1,426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8"/>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home sales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1,410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1,521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2,358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2,699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83"/>
        </w:trPr>
        <w:tc>
          <w:tcPr>
            <w:tcW w:w="2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1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Average Selling Price: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MH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93,419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91,082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2,337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95,789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86,017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9,772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11.4 %</w:t>
            </w:r>
          </w:p>
        </w:tc>
      </w:tr>
      <w:tr>
        <w:trPr>
          <w:trHeight w:val="198"/>
        </w:trPr>
        <w:tc>
          <w:tcPr>
            <w:tcW w:w="2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UK</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62,643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72,043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60,653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69,705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(9,052)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MH</w:t>
      </w:r>
    </w:p>
    <w:p>
      <w:pPr>
        <w:spacing w:after="0" w:line="29"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2024, the 19.0% decrease in NOI is primarily driven by an 8.9% decrease in total home sales volume as compared to the same period in 2023, primarily driven by fewer available sites in conjunction with reduced expansion and development activity, partially offset by a 2.6% increase in average selling price.</w:t>
      </w:r>
    </w:p>
    <w:p>
      <w:pPr>
        <w:spacing w:after="0" w:line="21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28.0% decrease in NOI is primarily driven by a 25.4% decrease in total home sales volume as compared to the same period in 2023, partially offset by an 11.4% increase in average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UK</w:t>
      </w:r>
    </w:p>
    <w:p>
      <w:pPr>
        <w:spacing w:after="0" w:line="29"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2024, the 12.1% decrease in NOI is primarily driven by a 13.0% decrease in average selling price in addition to a 6.0% decrease in total home sales volume as compared to the same period in 2023.</w:t>
      </w:r>
    </w:p>
    <w:p>
      <w:pPr>
        <w:spacing w:after="0" w:line="20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13.9% decrease in NOI is primarily driven by a 13.0% decrease in average selling price as compared to the same period in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 - Statements of Operations</w:t>
      </w:r>
      <w:r>
        <w:rPr>
          <w:rFonts w:ascii="Times New Roman" w:cs="Times New Roman" w:eastAsia="Times New Roman" w:hAnsi="Times New Roman"/>
          <w:sz w:val="23"/>
          <w:szCs w:val="23"/>
          <w:color w:val="auto"/>
          <w:vertAlign w:val="superscript"/>
        </w:rPr>
        <w:t>(1)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and expenses for the three and six months ended June 30, 2024 and 2023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60" w:type="dxa"/>
            <w:vAlign w:val="bottom"/>
            <w:tcBorders>
              <w:bottom w:val="single" w:sz="8" w:color="auto"/>
            </w:tcBorders>
          </w:tcPr>
          <w:p>
            <w:pPr>
              <w:spacing w:after="0"/>
              <w:rPr>
                <w:sz w:val="17"/>
                <w:szCs w:val="17"/>
                <w:color w:val="auto"/>
              </w:rPr>
            </w:pPr>
          </w:p>
        </w:tc>
      </w:tr>
      <w:tr>
        <w:trPr>
          <w:trHeight w:val="200"/>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0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96"/>
        </w:trPr>
        <w:tc>
          <w:tcPr>
            <w:tcW w:w="2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48"/>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0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13.4 %</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Business combinations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5.8 %</w:t>
            </w: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 impairments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262.9 %</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51"/>
        </w:trPr>
        <w:tc>
          <w:tcPr>
            <w:tcW w:w="2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Loss on extinguishment of debt (see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r>
      <w:tr>
        <w:trPr>
          <w:trHeight w:val="151"/>
        </w:trPr>
        <w:tc>
          <w:tcPr>
            <w:tcW w:w="2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Interest on mandatorily redeemable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preferred OP units /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48"/>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Gain / (loss) on remeasurement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marketable securities (see Note 16)</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53"/>
        </w:trPr>
        <w:tc>
          <w:tcPr>
            <w:tcW w:w="26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Gain / (loss) on foreign currency</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 / (loss) on dispositions of properties $</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49"/>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Loss on remeasurement of notes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receivable (see Note 4)</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r>
      <w:tr>
        <w:trPr>
          <w:trHeight w:val="153"/>
        </w:trPr>
        <w:tc>
          <w:tcPr>
            <w:tcW w:w="26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Income / (loss) from nonconsolidated</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affiliates (see Note 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49"/>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 (loss) on remeasurement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8"/>
        </w:trPr>
        <w:tc>
          <w:tcPr>
            <w:tcW w:w="26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investment in nonconsolidated affiliates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(see Note 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tax expense (see Note 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benefit (see Note 13)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r>
      <w:tr>
        <w:trPr>
          <w:trHeight w:val="151"/>
        </w:trPr>
        <w:tc>
          <w:tcPr>
            <w:tcW w:w="2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Preferred return to preferred OP units /</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interests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48"/>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 (loss) attributable to</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8"/>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bl>
    <w:p>
      <w:pPr>
        <w:spacing w:after="0" w:line="93" w:lineRule="exact"/>
        <w:rPr>
          <w:sz w:val="20"/>
          <w:szCs w:val="20"/>
          <w:color w:val="auto"/>
        </w:rPr>
      </w:pPr>
    </w:p>
    <w:p>
      <w:pPr>
        <w:ind w:right="3720" w:firstLine="8"/>
        <w:spacing w:after="0" w:line="314" w:lineRule="auto"/>
        <w:tabs>
          <w:tab w:leader="none" w:pos="149"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Only items determined by management to be material, of interest, or unique to the periods disclosed above are explained below. N/M = Percentage change is not meaningful.</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retail, dining and entertainment, net </w:t>
      </w:r>
      <w:r>
        <w:rPr>
          <w:rFonts w:ascii="Times New Roman" w:cs="Times New Roman" w:eastAsia="Times New Roman" w:hAnsi="Times New Roman"/>
          <w:sz w:val="18"/>
          <w:szCs w:val="18"/>
          <w:color w:val="auto"/>
        </w:rPr>
        <w:t>- for the three and six months ended June 30, 2024, decreased primarily due to a decrease in boat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increased costs related to service and retail activities in our Marina segment.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the three and six months ended June 30, 2024, decreased primarily due to having a lower receivable balance outstanding with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operators than during the same period in 2023. Refer to Note 4, "Notes and Other Receivables," in our accompanying Consolidated Financial Statements for additional information.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and other, net </w:t>
      </w:r>
      <w:r>
        <w:rPr>
          <w:rFonts w:ascii="Times New Roman" w:cs="Times New Roman" w:eastAsia="Times New Roman" w:hAnsi="Times New Roman"/>
          <w:sz w:val="18"/>
          <w:szCs w:val="18"/>
          <w:color w:val="auto"/>
        </w:rPr>
        <w:t>- for the six months ended June 30, 2024, decreased primarily due to a decrease in the number of brokered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reducing total brokerage commissions as compared to the same period in 2023, and a decrease in dividend income as a result of the sale of our publicly traded marketable securities in Ingenia in 2023, partially offset by business interruption recoveries of $5.2 million recognized in 2024. Refer to Note 17, "Commitments and Contingencies" in our accompanying Consolidated Financial Statements for additional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 for the six months ended June 30, 2024, increased primarily due to non-recurring transaction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a loan provided to a real estate operator, other costs associated with potential acquisitions that will not close, and an increase in payroll costs at our UK segment, as compared to the same periods in 2023.</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Catastrophic event-related charges, net </w:t>
      </w:r>
      <w:r>
        <w:rPr>
          <w:rFonts w:ascii="Times New Roman" w:cs="Times New Roman" w:eastAsia="Times New Roman" w:hAnsi="Times New Roman"/>
          <w:sz w:val="18"/>
          <w:szCs w:val="18"/>
          <w:color w:val="auto"/>
        </w:rPr>
        <w:t>- for the six months ended June 30, 2024, increased primarily due to incremental asset impairment and debris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charges, net of insurance recoveries, of $10.6 million driven by flooding at an RV community in New Hampshire.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 for the three and six months ended June 30, 2024, increased due to asset impairment charges related to non-continuing expansion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properties as well as the write off of other financial assets within our MH and UK segments in 2024. Refer to Note 16, "Fair Value Measurements,"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 for the three and six months ended June 30, 2024, there were no goodwill impairment charges, as compared to charges of $309.7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$325.1 million driven by a decline in the fair value of the UK reporting segment during the same periods in 2023. Refer to Note 6, "Goodwill and Other Intangible Assets,"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for the three and six months ended June 30, 2024, increased due to a higher debt balance and higher weighted average interest rate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2023. Refer to Note 9, "Debt and Line of Credit," of our accompanying Consolidated Financial Statements for additional information.</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 (loss) on remeasurement of marketable securities </w:t>
      </w:r>
      <w:r>
        <w:rPr>
          <w:rFonts w:ascii="Times New Roman" w:cs="Times New Roman" w:eastAsia="Times New Roman" w:hAnsi="Times New Roman"/>
          <w:sz w:val="18"/>
          <w:szCs w:val="18"/>
          <w:color w:val="auto"/>
        </w:rPr>
        <w:t>- for the three and six months ended June 30, 2024, was zero due to the sale of our publicly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in Ingenia in 2023, as compared to a loss of $5.8 million and gain of $14.1 million during the same periods in 2023, respectively.</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foreign currency exchanges </w:t>
      </w:r>
      <w:r>
        <w:rPr>
          <w:rFonts w:ascii="Times New Roman" w:cs="Times New Roman" w:eastAsia="Times New Roman" w:hAnsi="Times New Roman"/>
          <w:sz w:val="18"/>
          <w:szCs w:val="18"/>
          <w:color w:val="auto"/>
        </w:rPr>
        <w:t>- for the three months ended June 30, 2024, was a loss of $2.8 million, as compared to a gain of $2.7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same period in 2023 primarily due to the termination of the Pound sterling denominated term loan under our Senior Credit Facility in the current period. Refer to Note 9, "Debt and Line of Credit" in our accompanying Consolidated Financial Statements for additional information.</w:t>
      </w:r>
    </w:p>
    <w:p>
      <w:pPr>
        <w:spacing w:after="0" w:line="20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dispositions of properties </w:t>
      </w:r>
      <w:r>
        <w:rPr>
          <w:rFonts w:ascii="Times New Roman" w:cs="Times New Roman" w:eastAsia="Times New Roman" w:hAnsi="Times New Roman"/>
          <w:sz w:val="18"/>
          <w:szCs w:val="18"/>
          <w:color w:val="auto"/>
        </w:rPr>
        <w:t>- for the three and six months ended June 30, 2024 was a gain of $2.5 million and $7.9 million on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properties as compared to a loss of $0.6 million and $2.2 million on the sale of two land parcels during the same periods in 2023, respectively. Refer to Note 3, "Real Estate Acquisitions and Dispositions,"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 for the six months ended June 30, 2024, was a gain of $6.4 million in 2024, primarily due to a litigation settlement gain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 million related to our Marina segment, as compared to an expense of $1.8 million related to long-term lease termination expenses during the same period in 2023.</w:t>
      </w:r>
    </w:p>
    <w:p>
      <w:pPr>
        <w:spacing w:after="0" w:line="20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 (loss) from nonconsolidated affiliates </w:t>
      </w:r>
      <w:r>
        <w:rPr>
          <w:rFonts w:ascii="Times New Roman" w:cs="Times New Roman" w:eastAsia="Times New Roman" w:hAnsi="Times New Roman"/>
          <w:sz w:val="18"/>
          <w:szCs w:val="18"/>
          <w:color w:val="auto"/>
        </w:rPr>
        <w:t>- for the three and six months ended June 30, 2024, increased primarily due to the improved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nonconsolidated affiliates, primarily driven by the Sungenia joint venture. Refer to Note 7, "Investments in Nonconsolidated Affiliates,"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 (loss) on remeasurement of investment in nonconsolidated affiliates </w:t>
      </w:r>
      <w:r>
        <w:rPr>
          <w:rFonts w:ascii="Times New Roman" w:cs="Times New Roman" w:eastAsia="Times New Roman" w:hAnsi="Times New Roman"/>
          <w:sz w:val="18"/>
          <w:szCs w:val="18"/>
          <w:color w:val="auto"/>
        </w:rPr>
        <w:t>- for the six months ended June 30, 2024, was a gain of $5.3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loss of $4.5 million during the same period in 2023 due to the fluctuation of the fair value of our nonconsolidated affiliates. Refer to Note 7, "Investments in Nonconsolidated Affiliates,"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tax benefit </w:t>
      </w:r>
      <w:r>
        <w:rPr>
          <w:rFonts w:ascii="Times New Roman" w:cs="Times New Roman" w:eastAsia="Times New Roman" w:hAnsi="Times New Roman"/>
          <w:sz w:val="18"/>
          <w:szCs w:val="18"/>
          <w:color w:val="auto"/>
        </w:rPr>
        <w:t>- for the three months ended June 30, 2024, decreased primarily due to timing differences for book and tax purposes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 off of financial assets at our UK operations. Refer to Note 13, "Income Taxes,"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 (LOSS) ATTRIBUTABLE TO SUI COMMON SHAREHOLDERS TO FFO</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 (loss) attributable to SUI common shareholders to FFO for the three and six months ended June 30, 2024 and 2023 (in millions, except for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48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0"/>
        </w:trPr>
        <w:tc>
          <w:tcPr>
            <w:tcW w:w="5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202"/>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 (Loss) Attributable to SUI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(252.5)</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318.3</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on nonconsolidated affiliates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 impairment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remeasurement of notes receivable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including tax effect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 Returns on preferred OP units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Income / (loss) attributable to noncontrolling interests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200"/>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Gain on dispositions of assets, net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198"/>
        </w:trPr>
        <w:tc>
          <w:tcPr>
            <w:tcW w:w="5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399.0</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Acquisition and other transaction costs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Loss of earnings - catastrophic event-related charges, net</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580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w:t>
            </w:r>
            <w:r>
              <w:rPr>
                <w:rFonts w:ascii="Times New Roman" w:cs="Times New Roman" w:eastAsia="Times New Roman" w:hAnsi="Times New Roman"/>
                <w:sz w:val="19"/>
                <w:szCs w:val="19"/>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129"/>
        </w:trPr>
        <w:tc>
          <w:tcPr>
            <w:tcW w:w="5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Core FFO Attributable to SUI Common Shareholders and Dilutive Convertible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252.9</w:t>
            </w:r>
          </w:p>
        </w:tc>
        <w:tc>
          <w:tcPr>
            <w:tcW w:w="2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411.6</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 - Diluted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Dilutive Convertible</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Securities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the effect of certain anti-dilutive convertible securities.</w:t>
      </w:r>
    </w:p>
    <w:p>
      <w:pPr>
        <w:spacing w:after="0" w:line="55" w:lineRule="exact"/>
        <w:rPr>
          <w:rFonts w:ascii="Times New Roman" w:cs="Times New Roman" w:eastAsia="Times New Roman" w:hAnsi="Times New Roman"/>
          <w:sz w:val="19"/>
          <w:szCs w:val="19"/>
          <w:color w:val="auto"/>
          <w:vertAlign w:val="superscript"/>
        </w:rPr>
      </w:pPr>
    </w:p>
    <w:p>
      <w:pPr>
        <w:jc w:val="both"/>
        <w:ind w:left="180" w:hanging="172"/>
        <w:spacing w:after="0" w:line="227" w:lineRule="auto"/>
        <w:tabs>
          <w:tab w:leader="none" w:pos="167"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costs represent (i) nonrecurring integration expenses associated with acquisitions during the three and six months ended June 30, 2024, and 2023, (ii) costs associated with potential acquisitions that will not close, (iii) expenses incurred to bring recently acquired properties up to our operating standards, including items such as tree trimming and painting costs that do not meet our capitalization policy.</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Loss of earnings - catastrophic event-related charges, net include the following:</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20" w:type="dxa"/>
            <w:vAlign w:val="bottom"/>
            <w:gridSpan w:val="4"/>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7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Hurricane Ian - three Fort Myers, Florida RV communities impaired</w:t>
            </w: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3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Estimated loss of earnings in excess of the applicable business interruption deductible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6"/>
                <w:szCs w:val="16"/>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Pr>
          <w:p>
            <w:pPr>
              <w:spacing w:after="0"/>
              <w:rPr>
                <w:sz w:val="16"/>
                <w:szCs w:val="16"/>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64"/>
        </w:trPr>
        <w:tc>
          <w:tcPr>
            <w:tcW w:w="53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Insurance recoveries received for previously estimated loss of earnings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Hurricane Irma - three Florida Keys communities impaired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Estimated loss of earnings in excess of the applicable business interruption deductible</w:t>
            </w:r>
          </w:p>
        </w:tc>
        <w:tc>
          <w:tcPr>
            <w:tcW w:w="16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68"/>
        </w:trPr>
        <w:tc>
          <w:tcPr>
            <w:tcW w:w="53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of earnings - catastrophic event-related charges,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hanging="172"/>
        <w:spacing w:after="0" w:line="221" w:lineRule="auto"/>
        <w:tabs>
          <w:tab w:leader="none" w:pos="167"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adjustments, net relates primarily to (i) litigation settlement gains during the three and six months ended June 30, 2024, (ii) deferred tax benefit during the three and six months ended June 30, 2024 and 2023, and (iii) long-term lease termination expense during the three and six months ended June 30, 2024 and 2023.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Liquidity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 generated from operations, draws on our Senior Credit Facility, and the use of debt and equity offerings under our shelf registration statement. Refer to Note 9, "Debt and Line of Credit," and Note 10, "Equity and Temporary Equity," in our accompanying Consolidated Financial Statements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Our investment grade credit ratings remain unchanged from the initial rating. We plan to continue to capitalize on our unsecured bond market access to optimize our cost of capital and increase our financial flexibility.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market and economic conditions, including relating to, among other things, interest rates, currency fluctuations, equity valuations and inflation, may adversely affect our ability to obtain debt and equity capital in the short term on attractive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In 2024, we expect rental rate growth that exceeds headline inflation with ongoing focus on expense management to continue generating strong organic cash flow growth.</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a macroeconomic backdrop of sustained higher interest rates, we intend to prioritize debt reduction as our primary use of free cash flow from our operations and of proceeds from selective capital recycling. In addition, we are reducing our development activity considering the more challenging macroeconomic and capital market environment. Capital spending besides projects that are underway will be solely focused on the most strategic opportunities. We also attempt to manage interest rate risks by using interest rate hedging instruments and by monitoring our overall leverage levels. We engage in certain hedging transactions to limit our exposure from the adverse effects of changes in interest rates on borrowing costs of our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Dispositions, Development and Expansion Activities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makes it more expensive to finance acquisitions and fund developments and expansions. We will continue to very selectively pursue acquisition and development opportunities that meet our underwriting criteria.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we acquired four marinas with an aggregate 193 wet slips and dry storage spaces for an aggregate purchase price of approximately $12.0 million. Two of the acquired marinas were combined with an existing marina property. During the same period, we entered into a ground lease that can support one marina with eight wet slips and dry storage spaces. Subsequent to the six months ended June 30, 2024, we sold seven MH properties with an aggregate of 2,448 sites for a gross sale price of approximately $262.6 million, and received total cash consideration of approximately $171.0 million. Refer to Note 20, "Subsequent Events," in our accompanying Consolidated Financial Statements for additional information.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acquired two land parcels located in the U.S. for an aggregate purchase price of $12.9 million. The parcels can accommodate the potential development of over 1,100 sites. We also acquired one land parcel, previously subject to a ground lease, located in the U.K. for an aggregate purchase price of $9.6 million. We also expanded one of our existing communities by nearly 30 sites and delivered nearly 100 sites at two ground-up development properties.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selectively expand our properties utilizing our inventory of owned and entitled land. We have 17,650 MH and RV sites suitable for future development.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"Real Estate Acquisitions and Dispositions," in our accompanying Consolidated Financial Statements for additional detail on acquisitions completed to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(excluding Acquisition Costs)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include lot modifications, growth projects, rebranding, acquisition-related capital expenditures, expansion and development construction costs, rental home purchases and recurring 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 activity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Recurring Capital Expenditures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Non-Recurring Capital Expenditures and Related Activities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Lot modifications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Growth projects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Rebranding</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improvements to recent acquisitions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Expansion and development</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166.6</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Rental program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r>
      <w:tr>
        <w:trPr>
          <w:trHeight w:val="20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Non-Recurring Capital Expenditure and Related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269.8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524.7</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Capital Expenditure and Related Activities</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333.2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564.7</w:t>
            </w:r>
          </w:p>
        </w:tc>
      </w:tr>
      <w:tr>
        <w:trPr>
          <w:trHeight w:val="21"/>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Capital Expenditures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recurring capital expenditures are necessary to maintain asset quality, including purchasing and replacing items used to operate the communities and marinas. Recurring capital expenditures at our MH, RV and UK properties include major road, driveway and pool improvements; clubhouse renovations; adding or replacing streetlights; playground equipment; signage; maintenance facilities; manager housing and property vehicles. Recurring capital expenditures at our marinas include dredging, dock repairs and improvements, and equipment maintenance and upgrades. The minimum capitalized amount is five hundred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Capital Expenditures and Related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Lot modifications </w:t>
      </w:r>
      <w:r>
        <w:rPr>
          <w:rFonts w:ascii="Times New Roman" w:cs="Times New Roman" w:eastAsia="Times New Roman" w:hAnsi="Times New Roman"/>
          <w:sz w:val="18"/>
          <w:szCs w:val="18"/>
          <w:color w:val="auto"/>
        </w:rPr>
        <w:t>- lot modification capital expenditures are incurred to modify the foundational structures required to set a new home after a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projects </w:t>
      </w:r>
      <w:r>
        <w:rPr>
          <w:rFonts w:ascii="Times New Roman" w:cs="Times New Roman" w:eastAsia="Times New Roman" w:hAnsi="Times New Roman"/>
          <w:sz w:val="18"/>
          <w:szCs w:val="18"/>
          <w:color w:val="auto"/>
        </w:rPr>
        <w:t>- growth projects consist of revenue generating or expense reducing activities at the properties. These include, but are not limited to, utility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and renewable energy projects, site, slip or amenity upgrades such as the addition of a garage, shed or boat lift, and other special capital projects that substantiate an incremental rental increase.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Rebranding </w:t>
      </w:r>
      <w:r>
        <w:rPr>
          <w:rFonts w:ascii="Times New Roman" w:cs="Times New Roman" w:eastAsia="Times New Roman" w:hAnsi="Times New Roman"/>
          <w:sz w:val="18"/>
          <w:szCs w:val="18"/>
          <w:color w:val="auto"/>
        </w:rPr>
        <w:t>- rebranding includes new signage at our RV communities and the costs of building an RV mobile application and updated website.</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improvements to recent acquisitions </w:t>
      </w:r>
      <w:r>
        <w:rPr>
          <w:rFonts w:ascii="Times New Roman" w:cs="Times New Roman" w:eastAsia="Times New Roman" w:hAnsi="Times New Roman"/>
          <w:sz w:val="18"/>
          <w:szCs w:val="18"/>
          <w:color w:val="auto"/>
        </w:rPr>
        <w:t>- often require 24 to 36 months to complete after closing and include upgrading clubhouses; landscaping;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light systems; new mail delivery systems; pool renovations including larger decks, heaters and furniture; new maintenance facilities; lot modifications; and new signage including main signs and internal road signs.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and development expenditures </w:t>
      </w:r>
      <w:r>
        <w:rPr>
          <w:rFonts w:ascii="Times New Roman" w:cs="Times New Roman" w:eastAsia="Times New Roman" w:hAnsi="Times New Roman"/>
          <w:sz w:val="18"/>
          <w:szCs w:val="18"/>
          <w:color w:val="auto"/>
        </w:rPr>
        <w:t>- consist primarily of construction costs such as roads, activities, and amenities, and costs necessary to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 improvements, such as driveways, sidewalks and landscaping at our MH, RV and UK communities. Expenditures also include costs to rebuild after damage has been incurred at MH, RV, marina or UK properties, and research and development.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program </w:t>
      </w:r>
      <w:r>
        <w:rPr>
          <w:rFonts w:ascii="Times New Roman" w:cs="Times New Roman" w:eastAsia="Times New Roman" w:hAnsi="Times New Roman"/>
          <w:sz w:val="18"/>
          <w:szCs w:val="18"/>
          <w:color w:val="auto"/>
        </w:rPr>
        <w:t>- consists of investment in the acquisition of homes intended for the Rental Program and the purchase of vacation rental homes at our RV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Expenditures for these investments depend upon the condition of the markets for repossessions and new home sales, rental homes and vacation rental homes.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are summarized as follows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2023</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553.8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449.9</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(319.9)</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(581.8)</w:t>
            </w:r>
          </w:p>
        </w:tc>
      </w:tr>
      <w:tr>
        <w:trPr>
          <w:trHeight w:val="20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 (Used For) Financing Activities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increased by $61.5 million from $42.7 million as of December 31, 2023, to $104.2 million as of June 30, 2024.</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operating activities increased by $103.9 million to $553.8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$449.9 million for the six months ended June 30, 2023. The increase in operating cash flow was primarily due to improved Same Property operating performance at our MH and RV communities, marinas, and UK communities, partially offset by an increase in interest expense during the six months ended June 30, 2024 as compared to the corresponding period in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flows provided by operating activities from continuing operations may be adversely impacted by, among other things:</w:t>
      </w:r>
    </w:p>
    <w:p>
      <w:pPr>
        <w:spacing w:after="0" w:line="25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and economic conditions in our current markets generally, and specifically in the metropolitan areas of our current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occupancy and rental rates of our properties;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insurance premiums;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operating costs, such as wage and benefit costs, real estate taxes and utilities;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manufactured homes;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volatility in economic conditions and the financial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outbreaks of disease and related restrictions on business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 Part I, Item 1A of our 2023 Annual Report.</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investing activities decreased by $261.9 million to $319.9 million for the six months ended June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$581.8 million for the six months ended June 30, 2023. The decrease in Net cash used for investing activities was primarily driven by a decrease in cash deployed to invest in existing properties and acquire new properties, and proceeds received from the disposition of three MH properties during the six months ended June 30, 2024 as compared to the corresponding period in 2023. Refer to the Consolidated Statements of Cash Flows for detail on the net cash used for investing activities during the six months ended June 30, 2024 and 2023. Refer to Note 3, "Real Estate Acquisitions and Dispositions," and Note 20, "Subsequent Events," in our accompanying Consolidated Financial Statements for additional information on acquisitions and investment activity subsequent to June 30, 2024.</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financing activities was $172.1 million for the six months ended June 30, 2024, compared to net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of $109.4 million for the six months ended June 30, 2023. The change in Net cash provided by / (used for) financing activities was primarily driven by a decrease in total debt issued during the six months ended June 30, 2024 as compared to the corresponding period in 2023 as part of our strategy to optimize the strength of our balance sheet. Refer to the Consolidated Statements of Cash Flows for detail on the net cash provided by financing activities during the six months ended June 30, 2024 and 2023. Refer to Note 9, "Debt and Line of Credit," in our accompanying Consolidated Financial Statements for additional information.</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variability associated with our outstanding floating rate debt and any maturing debt that has to be refinanced. Interest rate movements impact our borrowing costs and, while as of June 30, 2024, approximately 89% of our total debt was fixed rate financing, including the impact of hedge activity, increases in interest costs are likely to adversely affect our financial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Debt Activity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May 2024, we renewed our 2021 ATM with certain sales agents and forward sellers pursuant to which we may sell, from time to time, up to an aggregate gross sales price of $1.25 billion of our common stock. Through June 30, 2024, we had entered into and settled forward sales agreements under the ATM for an aggregate gross sales price of $160.6 million, leaving $1.1 billion available for sale under the ATM.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outstanding senior unsecured notes (in millions). All senior unsecured notes include interest payments on a semi-annual basis in arrears.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rPr>
              <w:t>Carrying Amount</w:t>
            </w:r>
          </w:p>
        </w:tc>
      </w:t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5.5% notes, issued in January 2024 and due in January 2029</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5.7% notes, issued in January 2023 and due in January 2033</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592.6</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446.8</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r>
      <w:tr>
        <w:trPr>
          <w:trHeight w:val="198"/>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2,700.0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2,674.6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2,177.5</w:t>
            </w:r>
          </w:p>
        </w:tc>
      </w:tr>
      <w:tr>
        <w:trPr>
          <w:trHeight w:val="21"/>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46" w:lineRule="auto"/>
        <w:tabs>
          <w:tab w:leader="none" w:pos="15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January 2024, the Operating Partnership issued $500.0 million of senior unsecured notes with an interest rate of 5.5% and a five-year term, due January 15, 2029 (the "2029 Notes"). Interest on the 2029 Notes is payable semi-annually in arrears on January 15 and July 15 of each year, beginning on July 15, 2024. The net proceeds from the offering were $495.4 million, after deducting underwriters' discounts and offering expenses. We used the majority of the net proceeds to repay borrowings outstanding under our Senior Credit Facility.</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Partnership (as borrower), SUI (as guarantor), and certain lenders are parties to a credit agreement which governs our Senior Credit Facility.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term loan facility is April 7, 2026. At our option that maturity date may be extended two additional six-month periods.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terminated the term loan facility and settled the associated $1.1 billion of borrowings outstanding under the term loan by increasing our borrowings under the revolving loan of the Senior Credit Facility. By terminating the term loan, we reduced our aggregate borrowing capacity under the Senior Credit Facility to $3.05 billion under the revolving loan. During the six months ended June 30, 2024, we recognized a Loss on extinguishment of debt in our Consolidated Statements of Operations of $0.6 million related to the termination of the term loan facility. In June 2024, we amended the Senior Credit Facility to replace the Canadian Dollar Offered Rate with the CORRA as the benchmark rate for borrowings denominated in Canadian Dollars, with no other significant changes to the terms of the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the Adjusted Term SOFR, the Adjusted Eurocurrency Rate, the Australian BBSY, the Daily SONIA Rate or the CORRA, as applicable, plus a margin, in all cases, which can range from 0.725% to 1.6%, subject to certain adjustments. As of June 30, 2024, the margins based on our credit ratings were 0.85% on the revolving loan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Agreement. We had $1.7 billion and $944.1 million of borrowings outstanding under the revolving loan as of June 30, 2024 and December 31, 2023, respectively. We also had zero and $1.1 billion of borrowings outstanding under the term loan on the Senior Credit Facility as of June 30, 2024 and December 31, 2023, respectively.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$11.2 million and $26.2 million of outstanding letters of credit at June 30, 2024 and December 31,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Senior Credit Facility, we are subject to various financial and other covenants. The most restrictive financial covenants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As of June 30, 2024</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leverage ratio</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&lt;65.0%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33.9%</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Minimum fixed charge coverage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2.90</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secured leverage ratio</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&lt;40.0%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As of June 30, 2024</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to total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41.1%</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18.3%</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3.90</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337.6%</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were in compliance with the above covenants and do not anticipate that we will be unable to meet these covenants in the near term.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treasury rate lock contracts, interest rate swaps, and forward swaps for interest rate risk management purposes. We do not enter into derivative instruments for speculative purposes. The risks being hedged are the interest rate risk related to outstanding floating rate debt and forecasted debt issuance transactions, and the benchmark interest rates used are the SOFR and the SONIA Rate.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entered into four interest rate swap contracts with an aggregate notional value of $125.0 million to hedge interest rate risk associated with a future debt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in connection with the issuance of $500.0 million of senior unsecured notes with an interest rate of 5.5% and a five-year term, due January 15, 2029, we settled seven forward swap contracts totaling $255.0 million and paid a net settlement payment of $2.3 million to several counterparties. Refer to Note 15, "Derivative Financial Instruments,"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had unrestricted cash on hand of $89.1 million, $1.3 billion of remaining capacity on the Senior Credit Facility, and a total of 510 unencumbered MH, RV, marina and UK properties.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2023 Annual Report. If we are unable to obtain additional debt or equity financing on acceptable terms, our business, results of operations and financial condition would be adversely impacted.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our net debt to enterprise value was 33.2% (assuming conversion of all common and preferred OP units to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has a weighted average interest rate of 4.21% and a weighted average years to maturity of 6.5.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7, "Investments in Nonconsolidated Affiliates," in the accompanying Consolidated Financial Statements for additional information about these entities.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GTSC </w:t>
      </w:r>
      <w:r>
        <w:rPr>
          <w:rFonts w:ascii="Times New Roman" w:cs="Times New Roman" w:eastAsia="Times New Roman" w:hAnsi="Times New Roman"/>
          <w:sz w:val="18"/>
          <w:szCs w:val="18"/>
          <w:color w:val="auto"/>
        </w:rPr>
        <w:t>- During September 2019, GTSC entered into a warehouse line of credit with a maximum loan amount of $125.0 million. The line of credit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amended, with the maximum amount increased to $325.0 million as of December 31, 2022, with an option to increase to $375.0 million subject to the lender's consent. As of June 30, 2024 and December 31, 2023, the aggregate carrying amount of debt, including both our and our partner's share, incurred by GTSC was $259.6 million (of which our proportionate share is $103.9 million), and $261.3 million (of which our proportionate share is $104.5 million), respectively. The debt bears interest at a variable rate based on a Commercial Paper or adjusted SOFR plus a margin ranging from 1.65% to 2.5% per annum and matures on December 15, 2026.</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Sungenia JV </w:t>
      </w:r>
      <w:r>
        <w:rPr>
          <w:rFonts w:ascii="Times New Roman" w:cs="Times New Roman" w:eastAsia="Times New Roman" w:hAnsi="Times New Roman"/>
          <w:sz w:val="18"/>
          <w:szCs w:val="18"/>
          <w:color w:val="auto"/>
        </w:rPr>
        <w:t>- During May 2020, Sungenia JV, entered into a debt facility agreement with a maximum loan amount of $27.0 million Australian dollars,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million converted at the June 30, 2024 exchange rate. During July 2022, the maximum amount was increased to $50.0 million Australian dollars, or $33.3 million converted at the June 30, 2024 exchange rate. During June 2024, the maximum amount was increased to $54.1 million Australian dollars, or $36.1 million converted at the June 30, 2024 exchange rate. As of June 30, 2024 and December 31, 2023, the aggregate carrying amount of the debt, including both our and our partners' share, incurred by Sungenia JV was $26.9 million (of which our proportionate share is approximately $13.4 million), and $25.2 million (of which our proportionate share is $12.6 million), respectively. The debt bears interest at a variable rate based on the BBSY rate plus a margin ranging from 0.95% to 1.4%, subject to adjustment for additional future commitments, per annum and matures on June 30,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and uncertainties and other factors may cause our actual results to be materially different from any future results expressed or implied by such forward-looking statements. In addition to the risks disclosed under "Risk Factors" in our 2023 Annual Report, and in our other filings with the SEC, from time to time, such risks, uncertainties and other factors include, but are not limited to:</w:t>
      </w:r>
    </w:p>
    <w:p>
      <w:pPr>
        <w:sectPr>
          <w:pgSz w:w="11900" w:h="16838" w:orient="portrait"/>
          <w:cols w:equalWidth="0" w:num="1">
            <w:col w:w="11240"/>
          </w:cols>
          <w:pgMar w:left="320" w:top="117" w:right="339" w:bottom="947" w:gutter="0" w:footer="0" w:header="0"/>
        </w:sect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18"/>
          <w:szCs w:val="18"/>
          <w:color w:val="auto"/>
        </w:rPr>
        <w:t>Changes in general economic conditions, including inflation, deflation, energy costs, the real estate industry and the markets within which we operate;</w:t>
      </w:r>
    </w:p>
    <w:p>
      <w:pPr>
        <w:spacing w:after="0" w:line="69" w:lineRule="exact"/>
        <w:rPr>
          <w:sz w:val="20"/>
          <w:szCs w:val="20"/>
          <w:color w:val="auto"/>
        </w:rPr>
      </w:pPr>
    </w:p>
    <w:p>
      <w:pPr>
        <w:ind w:right="1600"/>
        <w:spacing w:after="0" w:line="438" w:lineRule="auto"/>
        <w:rPr>
          <w:sz w:val="20"/>
          <w:szCs w:val="20"/>
          <w:color w:val="auto"/>
        </w:rPr>
      </w:pPr>
      <w:r>
        <w:rPr>
          <w:rFonts w:ascii="Times New Roman" w:cs="Times New Roman" w:eastAsia="Times New Roman" w:hAnsi="Times New Roman"/>
          <w:sz w:val="18"/>
          <w:szCs w:val="18"/>
          <w:color w:val="auto"/>
        </w:rPr>
        <w:t>Difficulties in our ability to evaluate, finance, complete and integrate acquisitions, developments and expansions successfully; Our liquidity and refinancing demands;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obtain or refinance maturing debt;</w:t>
      </w:r>
    </w:p>
    <w:p>
      <w:pPr>
        <w:spacing w:after="0" w:line="171" w:lineRule="exact"/>
        <w:rPr>
          <w:sz w:val="20"/>
          <w:szCs w:val="20"/>
          <w:color w:val="auto"/>
        </w:rPr>
      </w:pPr>
    </w:p>
    <w:p>
      <w:pPr>
        <w:ind w:right="2940"/>
        <w:spacing w:after="0" w:line="430" w:lineRule="auto"/>
        <w:rPr>
          <w:sz w:val="20"/>
          <w:szCs w:val="20"/>
          <w:color w:val="auto"/>
        </w:rPr>
      </w:pPr>
      <w:r>
        <w:rPr>
          <w:rFonts w:ascii="Times New Roman" w:cs="Times New Roman" w:eastAsia="Times New Roman" w:hAnsi="Times New Roman"/>
          <w:sz w:val="18"/>
          <w:szCs w:val="18"/>
          <w:color w:val="auto"/>
        </w:rPr>
        <w:t>Our ability to maintain compliance with covenants contained in our debt facilities and our unsecured notes; Availability of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Outbreaks of disease and related restrictions on business operations;</w:t>
      </w:r>
    </w:p>
    <w:p>
      <w:pPr>
        <w:spacing w:after="0" w:line="117" w:lineRule="exact"/>
        <w:rPr>
          <w:sz w:val="20"/>
          <w:szCs w:val="20"/>
          <w:color w:val="auto"/>
        </w:rPr>
      </w:pPr>
    </w:p>
    <w:p>
      <w:pPr>
        <w:ind w:right="620"/>
        <w:spacing w:after="0" w:line="234" w:lineRule="auto"/>
        <w:rPr>
          <w:sz w:val="20"/>
          <w:szCs w:val="20"/>
          <w:color w:val="auto"/>
        </w:rPr>
      </w:pPr>
      <w:r>
        <w:rPr>
          <w:rFonts w:ascii="Times New Roman" w:cs="Times New Roman" w:eastAsia="Times New Roman" w:hAnsi="Times New Roman"/>
          <w:sz w:val="18"/>
          <w:szCs w:val="18"/>
          <w:color w:val="auto"/>
        </w:rPr>
        <w:t>Changes in foreign currency exchange rates, including between the U.S. dollar and each of the Canadian dollar, Australian dollar and Pound sterling;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rental rates and occupancy levels;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remediation plan and our ability to remediate the material weaknesses in our internal control over financial reporting;</w:t>
      </w:r>
    </w:p>
    <w:p>
      <w:pPr>
        <w:spacing w:after="0" w:line="104"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18"/>
          <w:szCs w:val="18"/>
          <w:color w:val="auto"/>
        </w:rPr>
        <w:t>Expectations regarding the amount or frequency of impairment losses, including as a result of the write-down of intangible assets, including goodwill;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interest rates and operating costs, including insurance premiums and real estate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natural disasters such as hurricanes, earthquakes, floods, droughts and wildfires;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volatility of the capital markets and the market price of shares of our capital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maintain our status as a REIT;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real estate and zoning laws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Legislative or regulatory changes, including changes to laws governing the taxation of REITs;</w:t>
      </w:r>
    </w:p>
    <w:p>
      <w:pPr>
        <w:spacing w:after="0" w:line="185" w:lineRule="exact"/>
        <w:rPr>
          <w:sz w:val="20"/>
          <w:szCs w:val="20"/>
          <w:color w:val="auto"/>
        </w:rPr>
      </w:pPr>
    </w:p>
    <w:p>
      <w:pPr>
        <w:ind w:right="1420"/>
        <w:spacing w:after="0" w:line="430" w:lineRule="auto"/>
        <w:rPr>
          <w:sz w:val="20"/>
          <w:szCs w:val="20"/>
          <w:color w:val="auto"/>
        </w:rPr>
      </w:pPr>
      <w:r>
        <w:rPr>
          <w:rFonts w:ascii="Times New Roman" w:cs="Times New Roman" w:eastAsia="Times New Roman" w:hAnsi="Times New Roman"/>
          <w:sz w:val="18"/>
          <w:szCs w:val="18"/>
          <w:color w:val="auto"/>
        </w:rPr>
        <w:t>Litigation, judgments or settlements, including costs associated with prosecuting or defending claims and any adverse outcomes; Competitive market forces;</w:t>
      </w:r>
    </w:p>
    <w:p>
      <w:pPr>
        <w:spacing w:after="0" w:line="1" w:lineRule="exact"/>
        <w:rPr>
          <w:sz w:val="20"/>
          <w:szCs w:val="20"/>
          <w:color w:val="auto"/>
        </w:rPr>
      </w:pPr>
    </w:p>
    <w:p>
      <w:pPr>
        <w:ind w:right="4600"/>
        <w:spacing w:after="0" w:line="463" w:lineRule="auto"/>
        <w:rPr>
          <w:sz w:val="20"/>
          <w:szCs w:val="20"/>
          <w:color w:val="auto"/>
        </w:rPr>
      </w:pPr>
      <w:r>
        <w:rPr>
          <w:rFonts w:ascii="Times New Roman" w:cs="Times New Roman" w:eastAsia="Times New Roman" w:hAnsi="Times New Roman"/>
          <w:sz w:val="18"/>
          <w:szCs w:val="18"/>
          <w:color w:val="auto"/>
        </w:rPr>
        <w:t>The ability of purchasers of manufactured homes and boats to obtain financing; and The level of repossessions by manufactured home and boat lenders;</w:t>
      </w:r>
    </w:p>
    <w:p>
      <w:pPr>
        <w:spacing w:after="0" w:line="200" w:lineRule="exact"/>
        <w:rPr>
          <w:sz w:val="20"/>
          <w:szCs w:val="20"/>
          <w:color w:val="auto"/>
        </w:rPr>
      </w:pPr>
    </w:p>
    <w:p>
      <w:pPr>
        <w:sectPr>
          <w:pgSz w:w="11900" w:h="16838" w:orient="portrait"/>
          <w:cols w:equalWidth="0" w:num="2">
            <w:col w:w="380" w:space="380"/>
            <w:col w:w="10480"/>
          </w:cols>
          <w:pgMar w:left="320" w:top="117" w:right="339" w:bottom="947" w:gutter="0" w:footer="0" w:header="0"/>
          <w:type w:val="continuous"/>
        </w:sectPr>
      </w:pP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17" w:right="339" w:bottom="947"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947"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variable rate debt totaled $889.7 million and $1.4 billion as of June 30, 2024 and 2023 respectively, after adjusting for the impact of hedging in place through the use of interest rate swaps. As of June 30, 2024 and 2023, our variable debt bore interest at the Adjusted Term SOFR, the Adjusted Eurocurrency Rate, the Australian BBSY rate, the Daily SONIA Rate or the CORRA, and the Eurodollar rate or Prime rate plus a margin. If the above rates increased or decreased by 1.0%, our interest expense would have increased or decreased by $4.7 million and $6.9 million for the six months ended June 30, 2024 and 2023, respectively, based on the $948.5 million and $1.4 billion average balance outstanding under our variable rate debt facilities, respectively. Our variable rate debt, interest expense and average balance outstanding under our variable rate debt facility includes the impact of hedge activity.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and December 31, 2023, our shareholder's equity included $827.4 million and $893.9 million from our investments and operations in the United Kingdom, Canada and Australia which collectively represented 11.9% and 12.5% of total shareholder's equity, respectively. Based on our sensitivity analysis, a 10.0% strengthening of the U.S. dollar against the Pound sterling, Canadian dollar and Australian dollar would have caused a reduction of $82.7 million and $89.4 million to our total shareholder's equity at June 30, 2024 and December 31,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Rules 13a-15(e) or 15d-15(e) of the Exchange Act) at June 30, 2024. Based upon this evaluation, our Chief Executive Officer and Chief Financial Officer concluded that our disclosure controls and procedures were not effective because of the material weaknesses in internal control over financial reporting described below. These material weaknesses have not been remediated as of 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Weaknesses in Internal Control Over Financial Reporting</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Part II, Item 9A "Controls and Procedures" of our 2023 Annual Report, as of December 31, 2023, management identified a material weakness relating to the design of management's review controls of potential triggering events related to the evaluation for impairment of goodwill relating to our Park Holidays business within the UK reporting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quarter ended March 31, 2024, management identified a material weakness relating to the design of management's review controls of the testing for long-lived asset impairments as of March 31, 2024, relating to certain other properties within the UK reporting segment. Management has concluded that this material weakness did not create any material misstatement to previously issued financial statements for any prior periods or the current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Remediation of Material Weaknesses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Board of Directors are committed to maintaining a strong internal control environment. Management, with oversight from the Audit Committee of the Board of Directors, has developed, and is implementing, a comprehensive plan to remediate the material weaknesses. Remediation efforts are focused on more rigorous policies and procedures and sufficiency of reviews for the Company's evaluation of impairment for goodwill and long-lived assets. These efforts will include enhanced education and training, including continuing professional education related to the evaluation of goodwill and long-lived assets for impairment, development of a continuous process for monitoring, assessment and communication, as well as involvement of additional key stakeholders in reviews.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measures described above will remediate the material weaknesses that we have identified. As management continues to evaluate and improve our disclosure controls and procedures and internal control over financial reporting, we may decide to take additional measures to address control deficiencies or determine to modify certain of the remediation measures identified.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be able to conclude whether these efforts will fully remediate the material weaknesses until the updated controls have operated for a sufficient period of time and management has concluded, through testing, that such controls are operating effectively.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we continued to enhance and refine our processes, procedures, and controls in conjunction with the launch and adoption of a new integrated ERP system, which replaced many of our existing core financial systems. The system enhances efficiencies and simplifies our accounting and reporting processes.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and above under "Remediation of Material Weaknesses," there were no changes in internal control over financial reporting during the quarter ended June 30, 2024, that have materially affected, or are reasonably likely to materially affect, our internal control over financial reporting.</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Refer to "Legal Proceedings" in Part 1 - Item 1 - Note 17, "Commitments and Contingencies," in our accompanying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described in Part 1, Item 1A., "Risk Factors," in our 2023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OP units have converted the following units during the three months ended June 30,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0"/>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78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142"/>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260" w:type="dxa"/>
            <w:vAlign w:val="bottom"/>
          </w:tcPr>
          <w:p>
            <w:pPr>
              <w:spacing w:after="0"/>
              <w:rPr>
                <w:sz w:val="12"/>
                <w:szCs w:val="12"/>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13,002</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13,002</w:t>
            </w:r>
          </w:p>
        </w:tc>
      </w:tr>
      <w:tr>
        <w:trPr>
          <w:trHeight w:val="19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9,003</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9,993</w:t>
            </w:r>
          </w:p>
        </w:tc>
      </w:tr>
    </w:tbl>
    <w:p>
      <w:pPr>
        <w:spacing w:after="0" w:line="59" w:lineRule="exact"/>
        <w:rPr>
          <w:sz w:val="20"/>
          <w:szCs w:val="20"/>
          <w:color w:val="auto"/>
        </w:rPr>
      </w:pPr>
    </w:p>
    <w:p>
      <w:pPr>
        <w:ind w:left="160" w:hanging="152"/>
        <w:spacing w:after="0"/>
        <w:tabs>
          <w:tab w:leader="none" w:pos="1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repurchases during the three months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8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approximate dollar value)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20" w:type="dxa"/>
            <w:vAlign w:val="bottom"/>
          </w:tcPr>
          <w:p>
            <w:pPr>
              <w:spacing w:after="0"/>
              <w:rPr>
                <w:sz w:val="12"/>
                <w:szCs w:val="12"/>
                <w:color w:val="auto"/>
              </w:rPr>
            </w:pPr>
          </w:p>
        </w:tc>
        <w:tc>
          <w:tcPr>
            <w:tcW w:w="1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purchased under the plans</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140" w:type="dxa"/>
            <w:vAlign w:val="bottom"/>
          </w:tcPr>
          <w:p>
            <w:pPr>
              <w:spacing w:after="0"/>
              <w:rPr>
                <w:sz w:val="18"/>
                <w:szCs w:val="18"/>
                <w:color w:val="auto"/>
              </w:rPr>
            </w:pP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0" w:type="dxa"/>
            <w:vAlign w:val="bottom"/>
          </w:tcPr>
          <w:p>
            <w:pPr>
              <w:spacing w:after="0"/>
              <w:rPr>
                <w:sz w:val="1"/>
                <w:szCs w:val="1"/>
                <w:color w:val="auto"/>
              </w:rPr>
            </w:pPr>
          </w:p>
        </w:tc>
      </w:tr>
      <w:tr>
        <w:trPr>
          <w:trHeight w:val="207"/>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w:t>
            </w:r>
          </w:p>
        </w:tc>
        <w:tc>
          <w:tcPr>
            <w:tcW w:w="140" w:type="dxa"/>
            <w:vAlign w:val="bottom"/>
          </w:tcPr>
          <w:p>
            <w:pPr>
              <w:spacing w:after="0"/>
              <w:rPr>
                <w:sz w:val="17"/>
                <w:szCs w:val="17"/>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w:t>
            </w:r>
          </w:p>
        </w:tc>
        <w:tc>
          <w:tcPr>
            <w:tcW w:w="0" w:type="dxa"/>
            <w:vAlign w:val="bottom"/>
          </w:tcPr>
          <w:p>
            <w:pPr>
              <w:spacing w:after="0"/>
              <w:rPr>
                <w:sz w:val="1"/>
                <w:szCs w:val="1"/>
                <w:color w:val="auto"/>
              </w:rPr>
            </w:pPr>
          </w:p>
        </w:tc>
      </w:tr>
      <w:tr>
        <w:trPr>
          <w:trHeight w:val="20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 1, 2024 - April 30, 2024</w:t>
            </w: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123.52</w:t>
            </w: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May 1, 2024 - May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115.57</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1, 2024 - June 30, 2024</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120.80</w:t>
            </w: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withheld 10,954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600" w:type="dxa"/>
            <w:vAlign w:val="bottom"/>
            <w:tcBorders>
              <w:right w:val="single" w:sz="8" w:color="auto"/>
            </w:tcBorders>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Sun Communities, Inc. Articles of Restatement</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3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840" w:type="dxa"/>
            <w:vAlign w:val="bottom"/>
            <w:tcBorders>
              <w:top w:val="single" w:sz="8" w:color="CCEEFF"/>
              <w:right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Report on Form 10-K filed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2018</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6600" w:type="dxa"/>
            <w:vAlign w:val="bottom"/>
            <w:tcBorders>
              <w:right w:val="single" w:sz="8" w:color="auto"/>
            </w:tcBorders>
            <w:gridSpan w:val="9"/>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Fourth Amended and Restated Bylaws</w:t>
              </w:r>
            </w:hyperlink>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20" w:type="dxa"/>
            <w:vAlign w:val="bottom"/>
            <w:tcBorders>
              <w:left w:val="single" w:sz="8" w:color="auto"/>
              <w:right w:val="single" w:sz="8" w:color="auto"/>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6600" w:type="dxa"/>
            <w:vAlign w:val="bottom"/>
            <w:tcBorders>
              <w:right w:val="single" w:sz="8" w:color="auto"/>
            </w:tcBorders>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Sun Communities, Inc. Articles of Amendment effective May 18, 2023</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0" w:type="dxa"/>
            <w:vAlign w:val="bottom"/>
          </w:tcPr>
          <w:p>
            <w:pPr>
              <w:spacing w:after="0"/>
              <w:rPr>
                <w:sz w:val="1"/>
                <w:szCs w:val="1"/>
                <w:color w:val="auto"/>
              </w:rPr>
            </w:pPr>
          </w:p>
        </w:tc>
      </w:tr>
      <w:tr>
        <w:trPr>
          <w:trHeight w:val="151"/>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3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720" w:type="dxa"/>
            <w:vAlign w:val="bottom"/>
            <w:tcBorders>
              <w:top w:val="single" w:sz="8" w:color="0000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840" w:type="dxa"/>
            <w:vAlign w:val="bottom"/>
            <w:tcBorders>
              <w:top w:val="single" w:sz="8" w:color="CCEEFF"/>
              <w:right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3.1 to Sun Communities, Inc.'s</w:t>
            </w: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19, 2023</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22.1</w:t>
            </w:r>
          </w:p>
        </w:tc>
        <w:tc>
          <w:tcPr>
            <w:tcW w:w="6600" w:type="dxa"/>
            <w:vAlign w:val="bottom"/>
            <w:tcBorders>
              <w:right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List of issuers of guaranteed securities</w:t>
            </w:r>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bottom w:val="single" w:sz="8" w:color="CCEEFF"/>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360" w:type="dxa"/>
            <w:vAlign w:val="bottom"/>
            <w:tcBorders>
              <w:bottom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Rules 13a-</w:t>
            </w:r>
          </w:p>
        </w:tc>
        <w:tc>
          <w:tcPr>
            <w:tcW w:w="24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2840" w:type="dxa"/>
            <w:vAlign w:val="bottom"/>
            <w:tcBorders>
              <w:bottom w:val="single" w:sz="8" w:color="CCEEFF"/>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bottom w:val="single" w:sz="8" w:color="auto"/>
              <w:right w:val="single" w:sz="8" w:color="auto"/>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600" w:type="dxa"/>
            <w:vAlign w:val="bottom"/>
            <w:tcBorders>
              <w:right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w:t>
            </w:r>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right w:val="single" w:sz="8" w:color="auto"/>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600" w:type="dxa"/>
            <w:vAlign w:val="bottom"/>
            <w:tcBorders>
              <w:right w:val="single" w:sz="8" w:color="auto"/>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w:t>
            </w:r>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0"/>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top w:val="single" w:sz="8" w:color="0000FF"/>
              <w:bottom w:val="single" w:sz="8" w:color="auto"/>
              <w:right w:val="single" w:sz="8" w:color="auto"/>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84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0" w:type="dxa"/>
            <w:vAlign w:val="bottom"/>
          </w:tcPr>
          <w:p>
            <w:pPr>
              <w:spacing w:after="0"/>
              <w:rPr>
                <w:sz w:val="1"/>
                <w:szCs w:val="1"/>
                <w:color w:val="auto"/>
              </w:rPr>
            </w:pPr>
          </w:p>
        </w:tc>
      </w:tr>
      <w:tr>
        <w:trPr>
          <w:trHeight w:val="36"/>
        </w:trPr>
        <w:tc>
          <w:tcPr>
            <w:tcW w:w="1820" w:type="dxa"/>
            <w:vAlign w:val="bottom"/>
            <w:tcBorders>
              <w:left w:val="single" w:sz="8" w:color="auto"/>
              <w:right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8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because its XBRL tags are embedded</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94"/>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6600" w:type="dxa"/>
            <w:vAlign w:val="bottom"/>
            <w:tcBorders>
              <w:right w:val="single" w:sz="8" w:color="auto"/>
            </w:tcBorders>
            <w:gridSpan w:val="9"/>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w:t>
            </w:r>
          </w:p>
        </w:tc>
        <w:tc>
          <w:tcPr>
            <w:tcW w:w="28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60" w:right="40" w:hanging="334"/>
        <w:spacing w:after="0" w:line="266" w:lineRule="auto"/>
        <w:tabs>
          <w:tab w:leader="none" w:pos="3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tabs>
          <w:tab w:leader="none" w:pos="4200" w:val="left"/>
          <w:tab w:leader="none" w:pos="4660" w:val="left"/>
        </w:tabs>
        <w:rPr>
          <w:sz w:val="20"/>
          <w:szCs w:val="20"/>
          <w:color w:val="auto"/>
        </w:rPr>
      </w:pPr>
      <w:r>
        <w:rPr>
          <w:rFonts w:ascii="Times New Roman" w:cs="Times New Roman" w:eastAsia="Times New Roman" w:hAnsi="Times New Roman"/>
          <w:sz w:val="18"/>
          <w:szCs w:val="18"/>
          <w:color w:val="auto"/>
        </w:rPr>
        <w:t>Dated: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3617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ind w:left="4680" w:right="920"/>
        <w:spacing w:after="0" w:line="237" w:lineRule="auto"/>
        <w:rPr>
          <w:sz w:val="20"/>
          <w:szCs w:val="20"/>
          <w:color w:val="auto"/>
        </w:rPr>
      </w:pPr>
      <w:r>
        <w:rPr>
          <w:rFonts w:ascii="Times New Roman" w:cs="Times New Roman" w:eastAsia="Times New Roman" w:hAnsi="Times New Roman"/>
          <w:sz w:val="18"/>
          <w:szCs w:val="18"/>
          <w:color w:val="auto"/>
        </w:rPr>
        <w:t>Executive Vice President, Chief Financial Officer, Treasurer and Secretary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01, 2024,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 Senior Notes due 2029</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 Senior Notes due 2031</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 Senior Notes due 2032</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 Senior Notes due 2033</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bl>
    <w:p>
      <w:pPr>
        <w:sectPr>
          <w:pgSz w:w="11900" w:h="16838" w:orient="portrait"/>
          <w:cols w:equalWidth="0" w:num="1">
            <w:col w:w="11240"/>
          </w:cols>
          <w:pgMar w:left="320" w:top="140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1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157"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20"/>
        <w:spacing w:after="0"/>
        <w:tabs>
          <w:tab w:leader="none" w:pos="4800" w:val="left"/>
        </w:tabs>
        <w:rPr>
          <w:sz w:val="20"/>
          <w:szCs w:val="20"/>
          <w:color w:val="auto"/>
        </w:rPr>
      </w:pPr>
      <w:r>
        <w:rPr>
          <w:rFonts w:ascii="Times New Roman" w:cs="Times New Roman" w:eastAsia="Times New Roman" w:hAnsi="Times New Roman"/>
          <w:sz w:val="18"/>
          <w:szCs w:val="18"/>
          <w:color w:val="auto"/>
        </w:rPr>
        <w:t>Dated: August 1, 2024</w:t>
      </w:r>
      <w:r>
        <w:rPr>
          <w:sz w:val="20"/>
          <w:szCs w:val="20"/>
          <w:color w:val="auto"/>
        </w:rPr>
        <w:tab/>
      </w:r>
      <w:r>
        <w:rPr>
          <w:rFonts w:ascii="Times New Roman" w:cs="Times New Roman" w:eastAsia="Times New Roman" w:hAnsi="Times New Roman"/>
          <w:sz w:val="17"/>
          <w:szCs w:val="17"/>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3643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Gary A. Shiffman, Chief Executive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14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15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Dated: August 1, 2024</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5833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p>
      <w:pPr>
        <w:sectPr>
          <w:pgSz w:w="11900" w:h="16838" w:orient="portrait"/>
          <w:cols w:equalWidth="0" w:num="1">
            <w:col w:w="11240"/>
          </w:cols>
          <w:pgMar w:left="320" w:top="76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(Adopted Under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officers, Gary A. Shiffman and Fernando Castro-Caratini, hereby certify that to the best of their knowledge: (a) this Quarterly Report on Form 10-Q of Sun Communities, Inc., for the period ended June 30, 2024,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Gary A. Shiffman</w:t>
            </w:r>
          </w:p>
        </w:tc>
        <w:tc>
          <w:tcPr>
            <w:tcW w:w="262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Fernando Castro-Caratini</w:t>
            </w:r>
          </w:p>
        </w:tc>
        <w:tc>
          <w:tcPr>
            <w:tcW w:w="262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3"/>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6" Type="http://schemas.openxmlformats.org/officeDocument/2006/relationships/hyperlink" Target="https://www.sec.gov/Archives/edgar/data/912593/000091259318000049/exhibit31-suncommunitiesin.htm" TargetMode="External"/><Relationship Id="rId87" Type="http://schemas.openxmlformats.org/officeDocument/2006/relationships/hyperlink" Target="https://www.sec.gov/Archives/edgar/data/912593/000091259323000066/suncommunitiesinc-fourtham.htm" TargetMode="External"/><Relationship Id="rId88" Type="http://schemas.openxmlformats.org/officeDocument/2006/relationships/hyperlink" Target="https://www.sec.gov/Archives/edgar/data/912593/000091259323000182/articlesofamendment-incr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2024-08-01T14:23:56Z</dcterms:created>
  <dcterms:modified xsi:type="dcterms:W3CDTF">2024-08-01T14:23:56Z</dcterms:modified>
</cp:coreProperties>
</file>