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UNITED STATES</w:t>
      </w:r>
    </w:p>
    <w:p>
      <w:pPr>
        <w:pStyle w:val="TextBody"/>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SECURITIES AND EXCHANGE COMMISSION</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spacing w:before="0" w:after="0"/>
        <w:rPr/>
      </w:pPr>
      <w:r>
        <w:rPr/>
      </w:r>
    </w:p>
    <w:p>
      <w:pPr>
        <w:pStyle w:val="TextBody"/>
        <w:spacing w:lineRule="auto" w:line="288" w:before="0" w:after="0"/>
        <w:jc w:val="center"/>
        <w:rPr/>
      </w:pPr>
      <w:r>
        <w:rPr>
          <w:color w:val="000000"/>
        </w:rPr>
        <w:t xml:space="preserve">☒ </w:t>
      </w:r>
      <w:r>
        <w:rPr>
          <w:rFonts w:ascii="Times New Roman;sans-serif" w:hAnsi="Times New Roman;sans-serif"/>
          <w:b/>
          <w:color w:val="000000"/>
          <w:sz w:val="20"/>
        </w:rPr>
        <w:t xml:space="preserve">QUARTERLY REPORT PURSUANT TO SECTION 13 OR 15(D) OF THE SECURITIES EXCHANGE ACT OF 1934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spacing w:before="0" w:after="0"/>
        <w:jc w:val="center"/>
        <w:rPr/>
      </w:pPr>
      <w:r>
        <w:rPr/>
      </w:r>
    </w:p>
    <w:p>
      <w:pPr>
        <w:pStyle w:val="TextBody"/>
        <w:spacing w:lineRule="auto" w:line="288" w:before="0" w:after="0"/>
        <w:jc w:val="center"/>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spacing w:before="0" w:after="0"/>
        <w:jc w:val="center"/>
        <w:rPr/>
      </w:pPr>
      <w:r>
        <w:rPr/>
        <w:drawing>
          <wp:inline distT="0" distB="63500" distL="0" distR="0">
            <wp:extent cx="219075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90750" cy="533400"/>
                    </a:xfrm>
                    <a:prstGeom prst="rect">
                      <a:avLst/>
                    </a:prstGeom>
                  </pic:spPr>
                </pic:pic>
              </a:graphicData>
            </a:graphic>
          </wp:inline>
        </w:drawing>
      </w:r>
    </w:p>
    <w:p>
      <w:pPr>
        <w:pStyle w:val="TextBody"/>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SUN COMMUNITIES,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spacing w:before="0" w:after="0"/>
        <w:rPr/>
      </w:pPr>
      <w:r>
        <w:rPr/>
      </w:r>
    </w:p>
    <w:tbl>
      <w:tblPr>
        <w:tblW w:w="7137" w:type="dxa"/>
        <w:jc w:val="center"/>
        <w:tblInd w:w="0" w:type="dxa"/>
        <w:tblCellMar>
          <w:top w:w="28" w:type="dxa"/>
          <w:left w:w="28" w:type="dxa"/>
          <w:bottom w:w="28" w:type="dxa"/>
          <w:right w:w="28" w:type="dxa"/>
        </w:tblCellMar>
      </w:tblPr>
      <w:tblGrid>
        <w:gridCol w:w="726"/>
        <w:gridCol w:w="640"/>
        <w:gridCol w:w="643"/>
        <w:gridCol w:w="697"/>
        <w:gridCol w:w="697"/>
        <w:gridCol w:w="705"/>
        <w:gridCol w:w="884"/>
        <w:gridCol w:w="884"/>
        <w:gridCol w:w="1261"/>
      </w:tblGrid>
      <w:tr>
        <w:trPr/>
        <w:tc>
          <w:tcPr>
            <w:tcW w:w="726"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Maryland</w:t>
            </w:r>
          </w:p>
        </w:tc>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1-12616</w:t>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38-2730780</w:t>
            </w:r>
          </w:p>
        </w:tc>
      </w:tr>
      <w:tr>
        <w:trPr/>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of Incorporation)</w:t>
            </w:r>
          </w:p>
        </w:tc>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tbl>
      <w:tblPr>
        <w:tblW w:w="5981" w:type="dxa"/>
        <w:jc w:val="center"/>
        <w:tblInd w:w="0" w:type="dxa"/>
        <w:tblCellMar>
          <w:top w:w="28" w:type="dxa"/>
          <w:left w:w="28" w:type="dxa"/>
          <w:bottom w:w="28" w:type="dxa"/>
          <w:right w:w="28" w:type="dxa"/>
        </w:tblCellMar>
      </w:tblPr>
      <w:tblGrid>
        <w:gridCol w:w="640"/>
        <w:gridCol w:w="563"/>
        <w:gridCol w:w="567"/>
        <w:gridCol w:w="309"/>
        <w:gridCol w:w="309"/>
        <w:gridCol w:w="311"/>
        <w:gridCol w:w="334"/>
        <w:gridCol w:w="334"/>
        <w:gridCol w:w="336"/>
        <w:gridCol w:w="305"/>
        <w:gridCol w:w="305"/>
        <w:gridCol w:w="306"/>
        <w:gridCol w:w="109"/>
        <w:gridCol w:w="109"/>
        <w:gridCol w:w="109"/>
        <w:gridCol w:w="303"/>
        <w:gridCol w:w="303"/>
        <w:gridCol w:w="429"/>
      </w:tblGrid>
      <w:tr>
        <w:trPr/>
        <w:tc>
          <w:tcPr>
            <w:tcW w:w="640"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27777 Franklin Rd,</w:t>
            </w:r>
          </w:p>
        </w:tc>
        <w:tc>
          <w:tcPr>
            <w:tcW w:w="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Suite 300,</w:t>
            </w:r>
          </w:p>
        </w:tc>
        <w:tc>
          <w:tcPr>
            <w:tcW w:w="10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Southfield,</w:t>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Michigan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48034</w:t>
            </w:r>
          </w:p>
        </w:tc>
      </w:tr>
      <w:tr>
        <w:trPr/>
        <w:tc>
          <w:tcPr>
            <w:tcW w:w="4619"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(248) 208-2500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before="0" w:after="0"/>
        <w:ind w:left="0" w:right="0" w:firstLine="45"/>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707" w:type="dxa"/>
        <w:jc w:val="center"/>
        <w:tblInd w:w="0" w:type="dxa"/>
        <w:tblCellMar>
          <w:top w:w="28" w:type="dxa"/>
          <w:left w:w="28" w:type="dxa"/>
          <w:bottom w:w="28" w:type="dxa"/>
          <w:right w:w="28" w:type="dxa"/>
        </w:tblCellMar>
      </w:tblPr>
      <w:tblGrid>
        <w:gridCol w:w="988"/>
        <w:gridCol w:w="865"/>
        <w:gridCol w:w="876"/>
        <w:gridCol w:w="109"/>
        <w:gridCol w:w="109"/>
        <w:gridCol w:w="109"/>
        <w:gridCol w:w="539"/>
        <w:gridCol w:w="539"/>
        <w:gridCol w:w="541"/>
        <w:gridCol w:w="109"/>
        <w:gridCol w:w="109"/>
        <w:gridCol w:w="109"/>
        <w:gridCol w:w="1085"/>
        <w:gridCol w:w="1085"/>
        <w:gridCol w:w="1535"/>
      </w:tblGrid>
      <w:tr>
        <w:trPr/>
        <w:tc>
          <w:tcPr>
            <w:tcW w:w="988"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7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 xml:space="preserve">No </w:t>
      </w:r>
      <w:r>
        <w:rPr>
          <w:color w:val="000000"/>
        </w:rPr>
        <w:t>☐</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20"/>
        </w:rPr>
        <w:t xml:space="preserve">No </w:t>
      </w:r>
      <w:r>
        <w:rPr>
          <w:color w:val="000000"/>
        </w:rPr>
        <w: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821" w:type="dxa"/>
        <w:jc w:val="center"/>
        <w:tblInd w:w="0" w:type="dxa"/>
        <w:tblCellMar>
          <w:top w:w="28" w:type="dxa"/>
          <w:left w:w="28" w:type="dxa"/>
          <w:bottom w:w="28" w:type="dxa"/>
          <w:right w:w="28" w:type="dxa"/>
        </w:tblCellMar>
      </w:tblPr>
      <w:tblGrid>
        <w:gridCol w:w="695"/>
        <w:gridCol w:w="611"/>
        <w:gridCol w:w="613"/>
        <w:gridCol w:w="479"/>
        <w:gridCol w:w="479"/>
        <w:gridCol w:w="481"/>
        <w:gridCol w:w="599"/>
        <w:gridCol w:w="599"/>
        <w:gridCol w:w="601"/>
        <w:gridCol w:w="769"/>
        <w:gridCol w:w="769"/>
        <w:gridCol w:w="772"/>
        <w:gridCol w:w="689"/>
        <w:gridCol w:w="689"/>
        <w:gridCol w:w="976"/>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17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23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7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23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bl>
    <w:p>
      <w:pPr>
        <w:pStyle w:val="TextBody"/>
        <w:spacing w:lineRule="auto" w:line="288"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 xml:space="preserve">No </w:t>
      </w:r>
      <w:r>
        <w:rPr>
          <w:color w:val="000000"/>
        </w:rPr>
        <w: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Number of shares of Common Stock, $0.01 par value per share, outstanding as of April 20, 2023: 124,408,144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left"/>
        <w:tblInd w:w="0" w:type="dxa"/>
        <w:tblCellMar>
          <w:top w:w="28" w:type="dxa"/>
          <w:left w:w="28" w:type="dxa"/>
          <w:bottom w:w="28" w:type="dxa"/>
          <w:right w:w="28" w:type="dxa"/>
        </w:tblCellMar>
      </w:tblPr>
      <w:tblGrid>
        <w:gridCol w:w="358"/>
        <w:gridCol w:w="315"/>
        <w:gridCol w:w="315"/>
        <w:gridCol w:w="2843"/>
        <w:gridCol w:w="2639"/>
        <w:gridCol w:w="2646"/>
        <w:gridCol w:w="315"/>
        <w:gridCol w:w="315"/>
        <w:gridCol w:w="459"/>
      </w:tblGrid>
      <w:tr>
        <w:trPr/>
        <w:tc>
          <w:tcPr>
            <w:tcW w:w="358"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2843" w:type="dxa"/>
            <w:tcBorders/>
            <w:shd w:fill="auto" w:val="clear"/>
            <w:vAlign w:val="center"/>
          </w:tcPr>
          <w:p>
            <w:pPr>
              <w:pStyle w:val="TableContents"/>
              <w:spacing w:before="0" w:after="283"/>
              <w:rPr>
                <w:sz w:val="4"/>
                <w:szCs w:val="4"/>
              </w:rPr>
            </w:pPr>
            <w:r>
              <w:rPr>
                <w:sz w:val="4"/>
                <w:szCs w:val="4"/>
              </w:rPr>
            </w:r>
          </w:p>
        </w:tc>
        <w:tc>
          <w:tcPr>
            <w:tcW w:w="2639" w:type="dxa"/>
            <w:tcBorders/>
            <w:shd w:fill="auto" w:val="clear"/>
            <w:vAlign w:val="center"/>
          </w:tcPr>
          <w:p>
            <w:pPr>
              <w:pStyle w:val="TableContents"/>
              <w:spacing w:before="0" w:after="283"/>
              <w:rPr>
                <w:sz w:val="4"/>
                <w:szCs w:val="4"/>
              </w:rPr>
            </w:pPr>
            <w:r>
              <w:rPr>
                <w:sz w:val="4"/>
                <w:szCs w:val="4"/>
              </w:rPr>
            </w:r>
          </w:p>
        </w:tc>
        <w:tc>
          <w:tcPr>
            <w:tcW w:w="2646"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r>
      <w:tr>
        <w:trPr/>
        <w:tc>
          <w:tcPr>
            <w:tcW w:w="9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br/>
              <w:t> </w:t>
            </w:r>
          </w:p>
        </w:tc>
      </w:tr>
      <w:tr>
        <w:trPr/>
        <w:tc>
          <w:tcPr>
            <w:tcW w:w="9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1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w:t>
            </w:r>
          </w:p>
        </w:tc>
        <w:tc>
          <w:tcPr>
            <w:tcW w:w="1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March 31, 2023 (Unaudited) and December 31, 2022</w:t>
            </w:r>
          </w:p>
        </w:tc>
        <w:tc>
          <w:tcPr>
            <w:tcW w:w="10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558bad69b8847369427c77aeab7bbed_16">
              <w:r>
                <w:rPr>
                  <w:rStyle w:val="InternetLink"/>
                  <w:rFonts w:ascii="Times New Roman;sans-serif" w:hAnsi="Times New Roman;sans-serif"/>
                  <w:b w:val="false"/>
                  <w:color w:val="0000FF"/>
                  <w:sz w:val="20"/>
                  <w:u w:val="single"/>
                </w:rPr>
                <w:t>1</w:t>
              </w:r>
            </w:hyperlink>
          </w:p>
        </w:tc>
      </w:tr>
      <w:tr>
        <w:trPr/>
        <w:tc>
          <w:tcPr>
            <w:tcW w:w="9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Operations for the Three Months Ended March 31, 2023 and 2022 (Unaudited)</w:t>
            </w:r>
          </w:p>
        </w:tc>
        <w:tc>
          <w:tcPr>
            <w:tcW w:w="10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558bad69b8847369427c77aeab7bbed_19">
              <w:r>
                <w:rPr>
                  <w:rStyle w:val="InternetLink"/>
                  <w:rFonts w:ascii="Times New Roman;sans-serif" w:hAnsi="Times New Roman;sans-serif"/>
                  <w:b w:val="false"/>
                  <w:color w:val="0000FF"/>
                  <w:sz w:val="20"/>
                  <w:u w:val="single"/>
                </w:rPr>
                <w:t>2</w:t>
              </w:r>
            </w:hyperlink>
          </w:p>
        </w:tc>
      </w:tr>
      <w:tr>
        <w:trPr/>
        <w:tc>
          <w:tcPr>
            <w:tcW w:w="9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 (Loss) for the Three Months Ended March 31, 2023 and 2022 (Unaudited)</w:t>
            </w:r>
          </w:p>
        </w:tc>
        <w:tc>
          <w:tcPr>
            <w:tcW w:w="10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558bad69b8847369427c77aeab7bbed_22">
              <w:r>
                <w:rPr>
                  <w:rStyle w:val="InternetLink"/>
                  <w:rFonts w:ascii="Times New Roman;sans-serif" w:hAnsi="Times New Roman;sans-serif"/>
                  <w:b w:val="false"/>
                  <w:color w:val="0000FF"/>
                  <w:sz w:val="20"/>
                  <w:u w:val="single"/>
                </w:rPr>
                <w:t>3</w:t>
              </w:r>
            </w:hyperlink>
          </w:p>
        </w:tc>
      </w:tr>
      <w:tr>
        <w:trPr/>
        <w:tc>
          <w:tcPr>
            <w:tcW w:w="9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Equity for the Three Months Ended March 31, 2023 and 2022 (Unaudited)</w:t>
            </w:r>
          </w:p>
        </w:tc>
        <w:tc>
          <w:tcPr>
            <w:tcW w:w="10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558bad69b8847369427c77aeab7bbed_25">
              <w:r>
                <w:rPr>
                  <w:rStyle w:val="InternetLink"/>
                  <w:rFonts w:ascii="Times New Roman;sans-serif" w:hAnsi="Times New Roman;sans-serif"/>
                  <w:b w:val="false"/>
                  <w:color w:val="0000FF"/>
                  <w:sz w:val="20"/>
                  <w:u w:val="single"/>
                </w:rPr>
                <w:t>4</w:t>
              </w:r>
            </w:hyperlink>
          </w:p>
        </w:tc>
      </w:tr>
      <w:tr>
        <w:trPr/>
        <w:tc>
          <w:tcPr>
            <w:tcW w:w="9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for the Three Months Ended March 31, 2023 and 2022 (Unaudited)</w:t>
            </w:r>
          </w:p>
        </w:tc>
        <w:tc>
          <w:tcPr>
            <w:tcW w:w="10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558bad69b8847369427c77aeab7bbed_28">
              <w:r>
                <w:rPr>
                  <w:rStyle w:val="InternetLink"/>
                  <w:rFonts w:ascii="Times New Roman;sans-serif" w:hAnsi="Times New Roman;sans-serif"/>
                  <w:b w:val="false"/>
                  <w:color w:val="0000FF"/>
                  <w:sz w:val="20"/>
                  <w:u w:val="single"/>
                </w:rPr>
                <w:t>5</w:t>
              </w:r>
            </w:hyperlink>
          </w:p>
        </w:tc>
      </w:tr>
      <w:tr>
        <w:trPr/>
        <w:tc>
          <w:tcPr>
            <w:tcW w:w="9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w:t>
            </w:r>
          </w:p>
        </w:tc>
        <w:tc>
          <w:tcPr>
            <w:tcW w:w="10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558bad69b8847369427c77aeab7bbed_34">
              <w:r>
                <w:rPr>
                  <w:rStyle w:val="InternetLink"/>
                  <w:rFonts w:ascii="Times New Roman;sans-serif" w:hAnsi="Times New Roman;sans-serif"/>
                  <w:b w:val="false"/>
                  <w:color w:val="0000FF"/>
                  <w:sz w:val="20"/>
                  <w:u w:val="single"/>
                </w:rPr>
                <w:t>7</w:t>
              </w:r>
            </w:hyperlink>
          </w:p>
        </w:tc>
      </w:tr>
      <w:tr>
        <w:trPr/>
        <w:tc>
          <w:tcPr>
            <w:tcW w:w="9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1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 </w:t>
            </w:r>
          </w:p>
        </w:tc>
        <w:tc>
          <w:tcPr>
            <w:tcW w:w="10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558bad69b8847369427c77aeab7bbed_91">
              <w:r>
                <w:rPr>
                  <w:rStyle w:val="InternetLink"/>
                  <w:rFonts w:ascii="Times New Roman;sans-serif" w:hAnsi="Times New Roman;sans-serif"/>
                  <w:b w:val="false"/>
                  <w:color w:val="0000FF"/>
                  <w:sz w:val="20"/>
                  <w:u w:val="single"/>
                </w:rPr>
                <w:t>38</w:t>
              </w:r>
            </w:hyperlink>
          </w:p>
        </w:tc>
      </w:tr>
      <w:tr>
        <w:trPr/>
        <w:tc>
          <w:tcPr>
            <w:tcW w:w="9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1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Quantitative and Qualitative Disclosures about Market Risk </w:t>
            </w:r>
          </w:p>
        </w:tc>
        <w:tc>
          <w:tcPr>
            <w:tcW w:w="10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558bad69b8847369427c77aeab7bbed_145">
              <w:r>
                <w:rPr>
                  <w:rStyle w:val="InternetLink"/>
                  <w:rFonts w:ascii="Times New Roman;sans-serif" w:hAnsi="Times New Roman;sans-serif"/>
                  <w:b w:val="false"/>
                  <w:color w:val="0000FF"/>
                  <w:sz w:val="20"/>
                  <w:u w:val="single"/>
                </w:rPr>
                <w:t>58</w:t>
              </w:r>
            </w:hyperlink>
          </w:p>
        </w:tc>
      </w:tr>
      <w:tr>
        <w:trPr/>
        <w:tc>
          <w:tcPr>
            <w:tcW w:w="9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1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Controls and Procedures </w:t>
            </w:r>
          </w:p>
        </w:tc>
        <w:tc>
          <w:tcPr>
            <w:tcW w:w="10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558bad69b8847369427c77aeab7bbed_151">
              <w:r>
                <w:rPr>
                  <w:rStyle w:val="InternetLink"/>
                  <w:rFonts w:ascii="Times New Roman;sans-serif" w:hAnsi="Times New Roman;sans-serif"/>
                  <w:b w:val="false"/>
                  <w:color w:val="0000FF"/>
                  <w:sz w:val="20"/>
                  <w:u w:val="single"/>
                </w:rPr>
                <w:t>59</w:t>
              </w:r>
            </w:hyperlink>
          </w:p>
        </w:tc>
      </w:tr>
      <w:tr>
        <w:trPr/>
        <w:tc>
          <w:tcPr>
            <w:tcW w:w="9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br/>
              <w:t> </w:t>
            </w:r>
          </w:p>
        </w:tc>
      </w:tr>
      <w:tr>
        <w:trPr/>
        <w:tc>
          <w:tcPr>
            <w:tcW w:w="9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1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Proceedings </w:t>
            </w:r>
          </w:p>
        </w:tc>
        <w:tc>
          <w:tcPr>
            <w:tcW w:w="10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558bad69b8847369427c77aeab7bbed_157">
              <w:r>
                <w:rPr>
                  <w:rStyle w:val="InternetLink"/>
                  <w:rFonts w:ascii="Times New Roman;sans-serif" w:hAnsi="Times New Roman;sans-serif"/>
                  <w:b w:val="false"/>
                  <w:color w:val="0000FF"/>
                  <w:sz w:val="20"/>
                  <w:u w:val="single"/>
                </w:rPr>
                <w:t>60</w:t>
              </w:r>
            </w:hyperlink>
          </w:p>
        </w:tc>
      </w:tr>
      <w:tr>
        <w:trPr/>
        <w:tc>
          <w:tcPr>
            <w:tcW w:w="9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1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Factors </w:t>
            </w:r>
          </w:p>
        </w:tc>
        <w:tc>
          <w:tcPr>
            <w:tcW w:w="10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558bad69b8847369427c77aeab7bbed_160">
              <w:r>
                <w:rPr>
                  <w:rStyle w:val="InternetLink"/>
                  <w:rFonts w:ascii="Times New Roman;sans-serif" w:hAnsi="Times New Roman;sans-serif"/>
                  <w:b w:val="false"/>
                  <w:color w:val="0000FF"/>
                  <w:sz w:val="20"/>
                  <w:u w:val="single"/>
                </w:rPr>
                <w:t>60</w:t>
              </w:r>
            </w:hyperlink>
          </w:p>
        </w:tc>
      </w:tr>
      <w:tr>
        <w:trPr/>
        <w:tc>
          <w:tcPr>
            <w:tcW w:w="9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1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Unregistered Sales of Equity Securities and Use of Proceeds</w:t>
            </w:r>
          </w:p>
        </w:tc>
        <w:tc>
          <w:tcPr>
            <w:tcW w:w="10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558bad69b8847369427c77aeab7bbed_163">
              <w:r>
                <w:rPr>
                  <w:rStyle w:val="InternetLink"/>
                  <w:rFonts w:ascii="Times New Roman;sans-serif" w:hAnsi="Times New Roman;sans-serif"/>
                  <w:b w:val="false"/>
                  <w:color w:val="0000FF"/>
                  <w:sz w:val="20"/>
                  <w:u w:val="single"/>
                </w:rPr>
                <w:t>61</w:t>
              </w:r>
            </w:hyperlink>
          </w:p>
        </w:tc>
      </w:tr>
      <w:tr>
        <w:trPr/>
        <w:tc>
          <w:tcPr>
            <w:tcW w:w="9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1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 </w:t>
            </w:r>
          </w:p>
        </w:tc>
        <w:tc>
          <w:tcPr>
            <w:tcW w:w="10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558bad69b8847369427c77aeab7bbed_169">
              <w:r>
                <w:rPr>
                  <w:rStyle w:val="InternetLink"/>
                  <w:rFonts w:ascii="Times New Roman;sans-serif" w:hAnsi="Times New Roman;sans-serif"/>
                  <w:b w:val="false"/>
                  <w:color w:val="0000FF"/>
                  <w:sz w:val="20"/>
                  <w:u w:val="single"/>
                </w:rPr>
                <w:t>62</w:t>
              </w:r>
            </w:hyperlink>
          </w:p>
        </w:tc>
      </w:tr>
      <w:tr>
        <w:trPr/>
        <w:tc>
          <w:tcPr>
            <w:tcW w:w="988" w:type="dxa"/>
            <w:gridSpan w:val="3"/>
            <w:tcBorders/>
            <w:shd w:fill="auto" w:val="clear"/>
            <w:vAlign w:val="center"/>
          </w:tcPr>
          <w:p>
            <w:pPr>
              <w:pStyle w:val="TableContents"/>
              <w:spacing w:before="0" w:after="283"/>
              <w:rPr>
                <w:sz w:val="4"/>
                <w:szCs w:val="4"/>
              </w:rPr>
            </w:pPr>
            <w:r>
              <w:rPr>
                <w:sz w:val="4"/>
                <w:szCs w:val="4"/>
              </w:rPr>
            </w:r>
          </w:p>
        </w:tc>
        <w:tc>
          <w:tcPr>
            <w:tcW w:w="8128"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9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Signatures </w:t>
            </w:r>
          </w:p>
        </w:tc>
        <w:tc>
          <w:tcPr>
            <w:tcW w:w="10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558bad69b8847369427c77aeab7bbed_172">
              <w:r>
                <w:rPr>
                  <w:rStyle w:val="InternetLink"/>
                  <w:rFonts w:ascii="Times New Roman;sans-serif" w:hAnsi="Times New Roman;sans-serif"/>
                  <w:b w:val="false"/>
                  <w:color w:val="0000FF"/>
                  <w:sz w:val="20"/>
                  <w:u w:val="single"/>
                </w:rPr>
                <w:t>63</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 except for per share amounts)</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635"/>
        <w:gridCol w:w="2298"/>
        <w:gridCol w:w="2325"/>
        <w:gridCol w:w="217"/>
        <w:gridCol w:w="866"/>
        <w:gridCol w:w="120"/>
        <w:gridCol w:w="109"/>
        <w:gridCol w:w="109"/>
        <w:gridCol w:w="109"/>
        <w:gridCol w:w="244"/>
        <w:gridCol w:w="977"/>
        <w:gridCol w:w="196"/>
      </w:tblGrid>
      <w:tr>
        <w:trPr/>
        <w:tc>
          <w:tcPr>
            <w:tcW w:w="2635" w:type="dxa"/>
            <w:tcBorders/>
            <w:shd w:fill="auto" w:val="clear"/>
            <w:vAlign w:val="center"/>
          </w:tcPr>
          <w:p>
            <w:pPr>
              <w:pStyle w:val="TableContents"/>
              <w:spacing w:before="0" w:after="283"/>
              <w:rPr>
                <w:sz w:val="4"/>
                <w:szCs w:val="4"/>
              </w:rPr>
            </w:pPr>
            <w:r>
              <w:rPr>
                <w:sz w:val="4"/>
                <w:szCs w:val="4"/>
              </w:rPr>
            </w:r>
          </w:p>
        </w:tc>
        <w:tc>
          <w:tcPr>
            <w:tcW w:w="2298" w:type="dxa"/>
            <w:tcBorders/>
            <w:shd w:fill="auto" w:val="clear"/>
            <w:vAlign w:val="center"/>
          </w:tcPr>
          <w:p>
            <w:pPr>
              <w:pStyle w:val="TableContents"/>
              <w:spacing w:before="0" w:after="283"/>
              <w:rPr>
                <w:sz w:val="4"/>
                <w:szCs w:val="4"/>
              </w:rPr>
            </w:pPr>
            <w:r>
              <w:rPr>
                <w:sz w:val="4"/>
                <w:szCs w:val="4"/>
              </w:rPr>
            </w:r>
          </w:p>
        </w:tc>
        <w:tc>
          <w:tcPr>
            <w:tcW w:w="2325"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72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72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Assets</w:t>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2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Land</w:t>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3,974.1 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4,322.3 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Land improvements and buildings</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11,202.1 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10,903.4 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Rental homes and improvements</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672.8 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645.2 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Furniture, fixtures and equipment</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869.7 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839.0 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property</w:t>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16,718.7 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16,709.9 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depreciation</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(2,867.9)</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(2,738.9)</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Investment property, net (see Note 7 at VIEs)</w:t>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13,850.8 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13,971.0 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Cash, cash equivalents and restricted cash (see Note 7 at VIEs)</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74.8 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Marketable securities (see Note 15)</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105.5 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127.3 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Inventory of manufactured homes</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232.5 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202.7 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Notes and other receivables, net</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716.7 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617.3 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8"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Goodwill</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1,092.6 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1,018.4 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Other intangible assets, net (see Note 7 at VIEs)</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392.7 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402.0 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 net (see Note 7 at VIEs)</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898.2 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655.1 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Assets</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17,363.8 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17,084.2 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Liabilities</w:t>
            </w:r>
          </w:p>
        </w:tc>
        <w:tc>
          <w:tcPr>
            <w:tcW w:w="1203"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25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Secured debt (see Note 8; Note 7 at VIEs)</w:t>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3,386.4 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3,217.8 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Unsecured debt (see Note 8; Note 7 at VIEs)</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4,075.6 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3,979.4 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8"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r>
      <w:tr>
        <w:trPr/>
        <w:tc>
          <w:tcPr>
            <w:tcW w:w="7258"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r>
      <w:tr>
        <w:trPr/>
        <w:tc>
          <w:tcPr>
            <w:tcW w:w="7258"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r>
      <w:tr>
        <w:trPr/>
        <w:tc>
          <w:tcPr>
            <w:tcW w:w="7258"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r>
      <w:tr>
        <w:trPr/>
        <w:tc>
          <w:tcPr>
            <w:tcW w:w="7258"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r>
      <w:tr>
        <w:trPr/>
        <w:tc>
          <w:tcPr>
            <w:tcW w:w="7258"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payable</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118.0 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111.3 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Advanced reservation deposits and rent (see Note 7 at VIEs)</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433.8 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352.1 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Accrued expenses and accounts payable (see Note 7 at VIEs)</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340.9 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396.3 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Other liabilities (see Note 7 at VIEs)</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940.1 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935.9 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Liabilities</w:t>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9,294.8 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8,992.8 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Commitments and contingencies (see Note 16)</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Temporary equity (see Note 9; Note 7 at VIEs)</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298.9 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202.9 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8"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r>
      <w:tr>
        <w:trPr/>
        <w:tc>
          <w:tcPr>
            <w:tcW w:w="7258"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r>
      <w:tr>
        <w:trPr/>
        <w:tc>
          <w:tcPr>
            <w:tcW w:w="7258"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r>
      <w:tr>
        <w:trPr/>
        <w:tc>
          <w:tcPr>
            <w:tcW w:w="7258"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r>
      <w:tr>
        <w:trPr/>
        <w:tc>
          <w:tcPr>
            <w:tcW w:w="7258"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r>
      <w:tr>
        <w:trPr/>
        <w:tc>
          <w:tcPr>
            <w:tcW w:w="7258"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r>
      <w:tr>
        <w:trPr/>
        <w:tc>
          <w:tcPr>
            <w:tcW w:w="7258"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r>
      <w:tr>
        <w:trPr/>
        <w:tc>
          <w:tcPr>
            <w:tcW w:w="7258"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r>
      <w:tr>
        <w:trPr/>
        <w:tc>
          <w:tcPr>
            <w:tcW w:w="7258"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Shareholders' Equity</w:t>
            </w:r>
          </w:p>
        </w:tc>
        <w:tc>
          <w:tcPr>
            <w:tcW w:w="12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258"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$0.01 par value. Authorized: 180.0 shares; Issued and outstanding: 124.4 at March 31, 2023 and 124.0 at December 31, 2022</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Additional paid-in capital</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9,556.4 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9,549.7 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other comprehensive income / (loss)</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in excess of accumulated earnings</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(1,875.0)</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(1,731.2)</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SUI shareholders' equity</w:t>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7,690.3 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7,809.8 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Noncontrolling interests</w:t>
            </w:r>
          </w:p>
        </w:tc>
        <w:tc>
          <w:tcPr>
            <w:tcW w:w="12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2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and preferred OP units</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79.8 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78.7 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8"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noncontrolling interests</w:t>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Shareholders' Equity</w:t>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7,770.1 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7,888.5 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Liabilities, Temporary Equity and Shareholders' Equity</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17,363.8 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17,084.2 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 except for per share amounts) (Unaudited)</w:t>
      </w:r>
    </w:p>
    <w:p>
      <w:pPr>
        <w:pStyle w:val="TextBody"/>
        <w:spacing w:before="0" w:after="0"/>
        <w:jc w:val="center"/>
        <w:rPr/>
      </w:pPr>
      <w:r>
        <w:rPr/>
      </w:r>
    </w:p>
    <w:tbl>
      <w:tblPr>
        <w:tblW w:w="9492" w:type="dxa"/>
        <w:jc w:val="center"/>
        <w:tblInd w:w="0" w:type="dxa"/>
        <w:tblCellMar>
          <w:top w:w="28" w:type="dxa"/>
          <w:left w:w="28" w:type="dxa"/>
          <w:bottom w:w="28" w:type="dxa"/>
          <w:right w:w="28" w:type="dxa"/>
        </w:tblCellMar>
      </w:tblPr>
      <w:tblGrid>
        <w:gridCol w:w="2226"/>
        <w:gridCol w:w="1954"/>
        <w:gridCol w:w="1984"/>
        <w:gridCol w:w="287"/>
        <w:gridCol w:w="814"/>
        <w:gridCol w:w="159"/>
        <w:gridCol w:w="109"/>
        <w:gridCol w:w="109"/>
        <w:gridCol w:w="109"/>
        <w:gridCol w:w="287"/>
        <w:gridCol w:w="814"/>
        <w:gridCol w:w="159"/>
        <w:gridCol w:w="109"/>
        <w:gridCol w:w="109"/>
        <w:gridCol w:w="109"/>
        <w:gridCol w:w="154"/>
      </w:tblGrid>
      <w:tr>
        <w:trPr/>
        <w:tc>
          <w:tcPr>
            <w:tcW w:w="2226" w:type="dxa"/>
            <w:tcBorders/>
            <w:shd w:fill="auto" w:val="clear"/>
            <w:vAlign w:val="center"/>
          </w:tcPr>
          <w:p>
            <w:pPr>
              <w:pStyle w:val="TableContents"/>
              <w:spacing w:before="0" w:after="283"/>
              <w:rPr>
                <w:sz w:val="4"/>
                <w:szCs w:val="4"/>
              </w:rPr>
            </w:pPr>
            <w:r>
              <w:rPr>
                <w:sz w:val="4"/>
                <w:szCs w:val="4"/>
              </w:rPr>
            </w:r>
          </w:p>
        </w:tc>
        <w:tc>
          <w:tcPr>
            <w:tcW w:w="1954" w:type="dxa"/>
            <w:tcBorders/>
            <w:shd w:fill="auto" w:val="clear"/>
            <w:vAlign w:val="center"/>
          </w:tcPr>
          <w:p>
            <w:pPr>
              <w:pStyle w:val="TableContents"/>
              <w:spacing w:before="0" w:after="283"/>
              <w:rPr>
                <w:sz w:val="4"/>
                <w:szCs w:val="4"/>
              </w:rPr>
            </w:pPr>
            <w:r>
              <w:rPr>
                <w:sz w:val="4"/>
                <w:szCs w:val="4"/>
              </w:rPr>
            </w:r>
          </w:p>
        </w:tc>
        <w:tc>
          <w:tcPr>
            <w:tcW w:w="1984"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1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Revenues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 property</w:t>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441.4 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387.8 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Home sales</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64.7 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Service, retail, dining and entertainment</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Brokerage commissions and other, net</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Revenues</w:t>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651.2 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548.5 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Expenses</w:t>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Property operating and maintenance</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156.6 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124.1 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 estate tax</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Home costs and selling</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45.9 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Service, retail, dining and entertainment</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General and administrative</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63.9 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55.7 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Catastrophic event-related charges, net</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Business combinations</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148.5 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Loss on extinguishment of debt (see Note 8)</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on mandatorily redeemable preferred OP units / equity</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Expenses</w:t>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653.2 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523.0 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Income / (Loss) Before Other Items</w:t>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Loss on remeasurement of marketable securities (see Note 15)</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(19.9)</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(34.5)</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Loss on foreign currency exchanges</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dispositions of properties</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expense, net</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notes receivable (see Note 4)</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Income / (loss) from nonconsolidated affiliates</w:t>
            </w:r>
            <w:r>
              <w:rPr>
                <w:color w:val="000000"/>
              </w:rPr>
              <w:t xml:space="preserve"> </w:t>
            </w:r>
            <w:r>
              <w:rPr>
                <w:rFonts w:ascii="Times New Roman;sans-serif" w:hAnsi="Times New Roman;sans-serif"/>
                <w:b w:val="false"/>
                <w:color w:val="000000"/>
                <w:sz w:val="17"/>
              </w:rPr>
              <w:t>(see Note 6)</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Gain / (loss) on remeasurement of investment in nonconsolidated affiliates</w:t>
            </w:r>
            <w:r>
              <w:rPr>
                <w:color w:val="000000"/>
              </w:rPr>
              <w:t xml:space="preserve"> </w:t>
            </w:r>
            <w:r>
              <w:rPr>
                <w:rFonts w:ascii="Times New Roman;sans-serif" w:hAnsi="Times New Roman;sans-serif"/>
                <w:b w:val="false"/>
                <w:color w:val="000000"/>
                <w:sz w:val="17"/>
              </w:rPr>
              <w:t>(see Note 6)</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Current tax expense</w:t>
            </w:r>
            <w:r>
              <w:rPr>
                <w:color w:val="000000"/>
              </w:rPr>
              <w:t xml:space="preserve"> </w:t>
            </w:r>
            <w:r>
              <w:rPr>
                <w:rFonts w:ascii="Times New Roman;sans-serif" w:hAnsi="Times New Roman;sans-serif"/>
                <w:b w:val="false"/>
                <w:color w:val="000000"/>
                <w:sz w:val="17"/>
              </w:rPr>
              <w:t>(see Note 12)</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Deferred tax benefit (see Note 12)</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Income / (Loss)</w:t>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Preferred return to preferred OP units / equity interests</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Loss attributable to noncontrolling interests</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Income / (Loss) Attributable to SUI Common Shareholders</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Weighted average common shares outstanding - basic</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115.3 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Weighted average common shares outstanding - diluted</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115.9 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Basic earnings / (loss) per share (see Note 13)</w:t>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(0.24)</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0.01 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Diluted earnings / (loss) per share</w:t>
            </w:r>
            <w:r>
              <w:rPr>
                <w:color w:val="000000"/>
              </w:rPr>
              <w:t xml:space="preserve"> </w:t>
            </w:r>
            <w:r>
              <w:rPr>
                <w:rFonts w:ascii="Times New Roman;sans-serif" w:hAnsi="Times New Roman;sans-serif"/>
                <w:b w:val="false"/>
                <w:color w:val="000000"/>
                <w:sz w:val="17"/>
              </w:rPr>
              <w:t>(see Note 13)</w:t>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(0.24)</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 (LOSS)</w:t>
      </w:r>
    </w:p>
    <w:p>
      <w:pPr>
        <w:pStyle w:val="TextBody"/>
        <w:spacing w:lineRule="auto" w:line="288" w:before="0" w:after="0"/>
        <w:ind w:left="0" w:right="0" w:firstLine="45"/>
        <w:jc w:val="center"/>
        <w:rPr>
          <w:rFonts w:ascii="Times New Roman;sans-serif" w:hAnsi="Times New Roman;sans-serif"/>
          <w:b/>
          <w:color w:val="000000"/>
          <w:sz w:val="18"/>
        </w:rPr>
      </w:pPr>
      <w:r>
        <w:rPr>
          <w:rFonts w:ascii="Times New Roman;sans-serif" w:hAnsi="Times New Roman;sans-serif"/>
          <w:b/>
          <w:color w:val="000000"/>
          <w:sz w:val="18"/>
        </w:rPr>
        <w:t>(In millions) (Unaudited)</w:t>
      </w:r>
    </w:p>
    <w:p>
      <w:pPr>
        <w:pStyle w:val="TextBody"/>
        <w:spacing w:before="0" w:after="0"/>
        <w:ind w:left="0" w:right="0" w:firstLine="45"/>
        <w:jc w:val="center"/>
        <w:rPr/>
      </w:pPr>
      <w:r>
        <w:rPr/>
      </w:r>
    </w:p>
    <w:tbl>
      <w:tblPr>
        <w:tblW w:w="9087" w:type="dxa"/>
        <w:jc w:val="left"/>
        <w:tblInd w:w="0" w:type="dxa"/>
        <w:tblCellMar>
          <w:top w:w="28" w:type="dxa"/>
          <w:left w:w="28" w:type="dxa"/>
          <w:bottom w:w="28" w:type="dxa"/>
          <w:right w:w="28" w:type="dxa"/>
        </w:tblCellMar>
      </w:tblPr>
      <w:tblGrid>
        <w:gridCol w:w="2085"/>
        <w:gridCol w:w="1829"/>
        <w:gridCol w:w="1845"/>
        <w:gridCol w:w="292"/>
        <w:gridCol w:w="806"/>
        <w:gridCol w:w="162"/>
        <w:gridCol w:w="109"/>
        <w:gridCol w:w="109"/>
        <w:gridCol w:w="109"/>
        <w:gridCol w:w="320"/>
        <w:gridCol w:w="762"/>
        <w:gridCol w:w="178"/>
        <w:gridCol w:w="109"/>
        <w:gridCol w:w="109"/>
        <w:gridCol w:w="109"/>
        <w:gridCol w:w="154"/>
      </w:tblGrid>
      <w:tr>
        <w:trPr/>
        <w:tc>
          <w:tcPr>
            <w:tcW w:w="2085" w:type="dxa"/>
            <w:tcBorders/>
            <w:shd w:fill="auto" w:val="clear"/>
            <w:vAlign w:val="center"/>
          </w:tcPr>
          <w:p>
            <w:pPr>
              <w:pStyle w:val="TableContents"/>
              <w:spacing w:before="0" w:after="283"/>
              <w:rPr>
                <w:sz w:val="4"/>
                <w:szCs w:val="4"/>
              </w:rPr>
            </w:pPr>
            <w:r>
              <w:rPr>
                <w:sz w:val="4"/>
                <w:szCs w:val="4"/>
              </w:rPr>
            </w:r>
          </w:p>
        </w:tc>
        <w:tc>
          <w:tcPr>
            <w:tcW w:w="1829" w:type="dxa"/>
            <w:tcBorders/>
            <w:shd w:fill="auto" w:val="clear"/>
            <w:vAlign w:val="center"/>
          </w:tcPr>
          <w:p>
            <w:pPr>
              <w:pStyle w:val="TableContents"/>
              <w:spacing w:before="0" w:after="283"/>
              <w:rPr>
                <w:sz w:val="4"/>
                <w:szCs w:val="4"/>
              </w:rPr>
            </w:pPr>
            <w:r>
              <w:rPr>
                <w:sz w:val="4"/>
                <w:szCs w:val="4"/>
              </w:rPr>
            </w:r>
          </w:p>
        </w:tc>
        <w:tc>
          <w:tcPr>
            <w:tcW w:w="1845"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7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Income / (Loss)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(32.9)</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Foreign Currency Translation:</w:t>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Foreign currency translation gain / (loss) arising during period</w:t>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17.2 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 for foreign currency translation (gain) / loss reclassified into earnings</w:t>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foreign currency translation gain / (loss)</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Flow Hedges:</w:t>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unrealized gain / (loss) on interest rate derivatives</w:t>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24.1 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interest rate derivative (gain) / loss reclassified to earnings</w:t>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unrealized gain / (loss) on interest rate derivatives</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Comprehensive Income / (Loss)</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(14.7)</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Comprehensive loss attributable to noncontrolling interests</w:t>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Comprehensive Income / (Loss) attributable to SUI</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26.5 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SHAREHOLDERS' EQUITY</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 (Unaudited)</w:t>
      </w:r>
    </w:p>
    <w:p>
      <w:pPr>
        <w:pStyle w:val="TextBody"/>
        <w:spacing w:before="0" w:after="0"/>
        <w:jc w:val="center"/>
        <w:rPr/>
      </w:pPr>
      <w:r>
        <w:rPr/>
      </w:r>
    </w:p>
    <w:tbl>
      <w:tblPr>
        <w:tblW w:w="11307" w:type="dxa"/>
        <w:jc w:val="center"/>
        <w:tblInd w:w="0" w:type="dxa"/>
        <w:tblCellMar>
          <w:top w:w="28" w:type="dxa"/>
          <w:left w:w="28" w:type="dxa"/>
          <w:bottom w:w="28" w:type="dxa"/>
          <w:right w:w="28" w:type="dxa"/>
        </w:tblCellMar>
      </w:tblPr>
      <w:tblGrid>
        <w:gridCol w:w="634"/>
        <w:gridCol w:w="268"/>
        <w:gridCol w:w="269"/>
        <w:gridCol w:w="211"/>
        <w:gridCol w:w="601"/>
        <w:gridCol w:w="119"/>
        <w:gridCol w:w="109"/>
        <w:gridCol w:w="109"/>
        <w:gridCol w:w="109"/>
        <w:gridCol w:w="301"/>
        <w:gridCol w:w="255"/>
        <w:gridCol w:w="256"/>
        <w:gridCol w:w="109"/>
        <w:gridCol w:w="109"/>
        <w:gridCol w:w="109"/>
        <w:gridCol w:w="220"/>
        <w:gridCol w:w="422"/>
        <w:gridCol w:w="124"/>
        <w:gridCol w:w="196"/>
        <w:gridCol w:w="691"/>
        <w:gridCol w:w="109"/>
        <w:gridCol w:w="196"/>
        <w:gridCol w:w="746"/>
        <w:gridCol w:w="109"/>
        <w:gridCol w:w="342"/>
        <w:gridCol w:w="683"/>
        <w:gridCol w:w="191"/>
        <w:gridCol w:w="320"/>
        <w:gridCol w:w="762"/>
        <w:gridCol w:w="179"/>
        <w:gridCol w:w="212"/>
        <w:gridCol w:w="749"/>
        <w:gridCol w:w="120"/>
        <w:gridCol w:w="109"/>
        <w:gridCol w:w="109"/>
        <w:gridCol w:w="109"/>
        <w:gridCol w:w="196"/>
        <w:gridCol w:w="691"/>
        <w:gridCol w:w="154"/>
      </w:tblGrid>
      <w:tr>
        <w:trPr/>
        <w:tc>
          <w:tcPr>
            <w:tcW w:w="63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1"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Temporary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 in Excess of Accumulated Earnings</w:t>
            </w:r>
          </w:p>
        </w:tc>
        <w:tc>
          <w:tcPr>
            <w:tcW w:w="12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c>
          <w:tcPr>
            <w:tcW w:w="12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at 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(1,731.2)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7,888.5 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8,091.4 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common stock and common OP units, net</w:t>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withheld to satisfy income tax obligations related to vesting of restricted stock awards</w:t>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Conversion of OP units</w:t>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third party equity interests in consolidated entities</w:t>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Share-based compensation - amortization and forfeitures</w:t>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Series K preferred OP units</w:t>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comprehensive income</w:t>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17.6 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18.2 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loss</w:t>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(28.5)</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w:t>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(118.9)</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 Units accretion</w:t>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at March 31,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298.9 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124.4 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9,556.4 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(1,875.0)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79.8 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7,770.1 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8,069.0 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1307" w:type="dxa"/>
        <w:jc w:val="center"/>
        <w:tblInd w:w="0" w:type="dxa"/>
        <w:tblCellMar>
          <w:top w:w="28" w:type="dxa"/>
          <w:left w:w="28" w:type="dxa"/>
          <w:bottom w:w="28" w:type="dxa"/>
          <w:right w:w="28" w:type="dxa"/>
        </w:tblCellMar>
      </w:tblPr>
      <w:tblGrid>
        <w:gridCol w:w="634"/>
        <w:gridCol w:w="268"/>
        <w:gridCol w:w="269"/>
        <w:gridCol w:w="211"/>
        <w:gridCol w:w="601"/>
        <w:gridCol w:w="119"/>
        <w:gridCol w:w="109"/>
        <w:gridCol w:w="109"/>
        <w:gridCol w:w="109"/>
        <w:gridCol w:w="301"/>
        <w:gridCol w:w="255"/>
        <w:gridCol w:w="256"/>
        <w:gridCol w:w="109"/>
        <w:gridCol w:w="109"/>
        <w:gridCol w:w="109"/>
        <w:gridCol w:w="220"/>
        <w:gridCol w:w="422"/>
        <w:gridCol w:w="124"/>
        <w:gridCol w:w="196"/>
        <w:gridCol w:w="691"/>
        <w:gridCol w:w="109"/>
        <w:gridCol w:w="196"/>
        <w:gridCol w:w="746"/>
        <w:gridCol w:w="109"/>
        <w:gridCol w:w="309"/>
        <w:gridCol w:w="734"/>
        <w:gridCol w:w="173"/>
        <w:gridCol w:w="287"/>
        <w:gridCol w:w="814"/>
        <w:gridCol w:w="160"/>
        <w:gridCol w:w="212"/>
        <w:gridCol w:w="749"/>
        <w:gridCol w:w="120"/>
        <w:gridCol w:w="109"/>
        <w:gridCol w:w="109"/>
        <w:gridCol w:w="109"/>
        <w:gridCol w:w="196"/>
        <w:gridCol w:w="691"/>
        <w:gridCol w:w="154"/>
      </w:tblGrid>
      <w:tr>
        <w:trPr/>
        <w:tc>
          <w:tcPr>
            <w:tcW w:w="63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1"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Temporary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 in Excess of Accumulated Earnings</w:t>
            </w:r>
          </w:p>
        </w:tc>
        <w:tc>
          <w:tcPr>
            <w:tcW w:w="12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c>
          <w:tcPr>
            <w:tcW w:w="12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at 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288.9 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(1,556.0)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6,730.6 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7,019.5 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common stock and common OP units, net</w:t>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withheld to satisfy income tax obligations related to vesting of restricted stock awards</w:t>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(16.4)</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Conversion of OP units</w:t>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Share-based compensation - amortization and forfeitures</w:t>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comprehensive income</w:t>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22.8 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23.9 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 (loss)</w:t>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w:t>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(105.4)</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 Units accretion</w:t>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at March 31, 2022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283.9 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116.2 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8,169.4 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25.9 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107.7 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6,649.6 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6,933.5 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 (Unaudited)</w:t>
      </w:r>
    </w:p>
    <w:p>
      <w:pPr>
        <w:pStyle w:val="TextBody"/>
        <w:spacing w:before="0" w:after="0"/>
        <w:jc w:val="center"/>
        <w:rPr/>
      </w:pPr>
      <w:r>
        <w:rPr/>
      </w:r>
    </w:p>
    <w:tbl>
      <w:tblPr>
        <w:tblW w:w="10016" w:type="dxa"/>
        <w:jc w:val="center"/>
        <w:tblInd w:w="0" w:type="dxa"/>
        <w:tblCellMar>
          <w:top w:w="28" w:type="dxa"/>
          <w:left w:w="28" w:type="dxa"/>
          <w:bottom w:w="28" w:type="dxa"/>
          <w:right w:w="28" w:type="dxa"/>
        </w:tblCellMar>
      </w:tblPr>
      <w:tblGrid>
        <w:gridCol w:w="2578"/>
        <w:gridCol w:w="2265"/>
        <w:gridCol w:w="2282"/>
        <w:gridCol w:w="287"/>
        <w:gridCol w:w="814"/>
        <w:gridCol w:w="159"/>
        <w:gridCol w:w="109"/>
        <w:gridCol w:w="109"/>
        <w:gridCol w:w="109"/>
        <w:gridCol w:w="282"/>
        <w:gridCol w:w="801"/>
        <w:gridCol w:w="221"/>
      </w:tblGrid>
      <w:tr>
        <w:trPr/>
        <w:tc>
          <w:tcPr>
            <w:tcW w:w="2578" w:type="dxa"/>
            <w:tcBorders/>
            <w:shd w:fill="auto" w:val="clear"/>
            <w:vAlign w:val="center"/>
          </w:tcPr>
          <w:p>
            <w:pPr>
              <w:pStyle w:val="TableContents"/>
              <w:spacing w:before="0" w:after="283"/>
              <w:rPr>
                <w:sz w:val="4"/>
                <w:szCs w:val="4"/>
              </w:rPr>
            </w:pPr>
            <w:r>
              <w:rPr>
                <w:sz w:val="4"/>
                <w:szCs w:val="4"/>
              </w:rPr>
            </w:r>
          </w:p>
        </w:tc>
        <w:tc>
          <w:tcPr>
            <w:tcW w:w="2265" w:type="dxa"/>
            <w:tcBorders/>
            <w:shd w:fill="auto" w:val="clear"/>
            <w:vAlign w:val="center"/>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r>
      <w:tr>
        <w:trPr/>
        <w:tc>
          <w:tcPr>
            <w:tcW w:w="7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r>
      <w:tr>
        <w:trPr/>
        <w:tc>
          <w:tcPr>
            <w:tcW w:w="7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2022</w:t>
            </w:r>
          </w:p>
        </w:tc>
      </w:tr>
      <w:tr>
        <w:trPr/>
        <w:tc>
          <w:tcPr>
            <w:tcW w:w="7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Operating Activities</w:t>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Cash Provided By Operating Activities</w:t>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194.5 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225.7 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Investing Activities</w:t>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in properties</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(301.8)</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(182.7)</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Acquisitions, net of cash acquired</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(47.9)</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(299.0)</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deposit on acquisition</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insurance</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disposition of assets and depreciated homes, net</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15.5 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24.7 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related to disposition of properties</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notes and other receivables</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(25.8)</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Repayments of notes and other receivables</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Investments in nonconsolidated affiliates</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of capital from nonconsolidated affiliates</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Cash Used For Investing Activities</w:t>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(321.9)</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(484.2)</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Financing Activities</w:t>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and costs of common stock, OP units and preferred OP units, net</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withheld to satisfy income tax obligations related to vesting of restricted stock awards</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(16.4)</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7125"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Borrowings on lines of credit</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626.0 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474.7 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Payments on lines of credit</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(951.1)</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(58.2)</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issuance of other debt</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583.0 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Contributions from noncontrolling interest</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Payments on other debt</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(19.8)</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(15.4)</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7125"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Fees paid in connection with extinguishment of debt</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received from return of prepaid deferred financing costs</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(113.6)</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(101.4)</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Payments for deferred financing costs</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7125"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7125"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7125"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Cash Provided By Financing Activities</w:t>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282.9 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Effect of exchange rate changes on cash, cash equivalents and restricted cash</w:t>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change in cash, cash equivalents and restricted cash</w:t>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cash equivalents and restricted cash, beginning of period</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78.2 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Cash Equivalents and Restricted Cash, End of Period</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102.6 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tbl>
      <w:tblPr>
        <w:tblW w:w="8501" w:type="dxa"/>
        <w:jc w:val="center"/>
        <w:tblInd w:w="0" w:type="dxa"/>
        <w:tblCellMar>
          <w:top w:w="28" w:type="dxa"/>
          <w:left w:w="28" w:type="dxa"/>
          <w:bottom w:w="28" w:type="dxa"/>
          <w:right w:w="28" w:type="dxa"/>
        </w:tblCellMar>
      </w:tblPr>
      <w:tblGrid>
        <w:gridCol w:w="2032"/>
        <w:gridCol w:w="1788"/>
        <w:gridCol w:w="1790"/>
        <w:gridCol w:w="287"/>
        <w:gridCol w:w="814"/>
        <w:gridCol w:w="159"/>
        <w:gridCol w:w="109"/>
        <w:gridCol w:w="109"/>
        <w:gridCol w:w="109"/>
        <w:gridCol w:w="313"/>
        <w:gridCol w:w="745"/>
        <w:gridCol w:w="246"/>
      </w:tblGrid>
      <w:tr>
        <w:trPr/>
        <w:tc>
          <w:tcPr>
            <w:tcW w:w="2032" w:type="dxa"/>
            <w:tcBorders/>
            <w:shd w:fill="auto" w:val="clear"/>
            <w:vAlign w:val="center"/>
          </w:tcPr>
          <w:p>
            <w:pPr>
              <w:pStyle w:val="TableContents"/>
              <w:spacing w:before="0" w:after="283"/>
              <w:rPr>
                <w:sz w:val="4"/>
                <w:szCs w:val="4"/>
              </w:rPr>
            </w:pPr>
            <w:r>
              <w:rPr>
                <w:sz w:val="4"/>
                <w:szCs w:val="4"/>
              </w:rPr>
            </w:r>
          </w:p>
        </w:tc>
        <w:tc>
          <w:tcPr>
            <w:tcW w:w="1788" w:type="dxa"/>
            <w:tcBorders/>
            <w:shd w:fill="auto" w:val="clear"/>
            <w:vAlign w:val="center"/>
          </w:tcPr>
          <w:p>
            <w:pPr>
              <w:pStyle w:val="TableContents"/>
              <w:spacing w:before="0" w:after="283"/>
              <w:rPr>
                <w:sz w:val="4"/>
                <w:szCs w:val="4"/>
              </w:rPr>
            </w:pPr>
            <w:r>
              <w:rPr>
                <w:sz w:val="4"/>
                <w:szCs w:val="4"/>
              </w:rPr>
            </w:r>
          </w:p>
        </w:tc>
        <w:tc>
          <w:tcPr>
            <w:tcW w:w="1790"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r>
      <w:tr>
        <w:trPr/>
        <w:tc>
          <w:tcPr>
            <w:tcW w:w="5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2022</w:t>
            </w:r>
          </w:p>
        </w:tc>
      </w:tr>
      <w:tr>
        <w:trPr/>
        <w:tc>
          <w:tcPr>
            <w:tcW w:w="5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Supplemental Information</w:t>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6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interest (net of capitalized interest of $2.5 and $1.0, respectively)</w:t>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46.2 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interest on mandatorily redeemable debt</w:t>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income taxes</w:t>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Noncash investing and financing activities</w:t>
            </w:r>
          </w:p>
        </w:tc>
        <w:tc>
          <w:tcPr>
            <w:tcW w:w="1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610"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distributions declared and outstanding</w:t>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Conversion of common and preferred OP units</w:t>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Assets held for sale</w:t>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262.1 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related to disposition of properties through 1031 exchange</w:t>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28.7 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ROU asset obtained from new operating lease liabilities</w:t>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notes and other receivables in relation to disposition of properties</w:t>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Noncash investing and financing activities at the date of acquisition</w:t>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Acquisitions - Common stock and OP units issued</w:t>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Acquisitions - Series K preferred interest</w:t>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 Basis of Presentation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Sun Communities, Inc., a Maryland corporation, and all wholly-owned or majority-owned and controlled subsidiaries, including Sun Communities Operating Limited Partnership (the "Operating Partnership"), Sun Home Services, Inc. ("SHS"), Safe Harbor Marinas, LLC ("Safe Harbor") and Sun UK Holding LLC (together with its subsidiaries, "Park Holidays") are referred to herein as the "Company," "SUI," "we," "us," and "our."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follow accounting standards set by the Financial Accounting Standards Board ("FASB"). FASB establishes accounting principles generally accepted in the United States of America ("GAAP"), which we follow to ensure that we consistently report our financial condition, results of operations and cash flows. References to GAAP issued by the FASB in these footnotes are to the FASB Accounting Standards Codification ("ASC"). These unaudited Consolidated Financial Statements have been prepared pursuant to the rules and regulations of the Securities and Exchange Commission ("SEC") for interim financial information and in accordance with GAAP. We present interim disclosures and certain information and footnote disclosures as required by SEC rules and regulations. Accordingly, the unaudited Consolidated Financial Statements do not include all of the information and footnotes required by GAAP for complete financial statements. The accompanying unaudited Consolidated Financial Statements reflect, in the opinion of management, all adjustments, including adjustments of a normal and recurring nature, necessary for a fair presentation of the interim financial statements. All significant intercompany transactions have been eliminated in consolidation.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 period amounts have been reclassified to conform with current presentation, with no effect on net income. These include reclassification of certain revenues and expenses between Real property and Service, retail, dining and entertainment within our Marina segment. There was no impact to prior period net income, shareholders equity or cash flows for any of the reclassifications. Further, the reclassification had no impact on previously reported total marina net operating income ("NOI").</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interim periods are not necessarily indicative of results that may be expected for any other interim period or for the full year. These unaudited Consolidated Financial Statements should be read in conjunction with the Consolidated Financial Statements and notes thereto included in our Annual Report on Form 10-K for the year ended December 31, 2022 as filed with the SEC on February 23, 2023 (our "2022 Annual Report"). These statements have been prepared on a basis that is substantially consistent with the accounting principles applied in our 2022 Annual Report.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three reportable segments are: (i) Manufactured home ("MH") communities, (ii) Recreational vehicle ("RV") communities and (iii) Marinas.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2. Revenue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disaggregates our revenue by major source and segment (in millions):</w:t>
      </w:r>
    </w:p>
    <w:p>
      <w:pPr>
        <w:pStyle w:val="TextBody"/>
        <w:spacing w:before="0" w:after="0"/>
        <w:rPr/>
      </w:pPr>
      <w:r>
        <w:rPr/>
      </w:r>
    </w:p>
    <w:tbl>
      <w:tblPr>
        <w:tblW w:w="10668" w:type="dxa"/>
        <w:jc w:val="center"/>
        <w:tblInd w:w="0" w:type="dxa"/>
        <w:tblCellMar>
          <w:top w:w="28" w:type="dxa"/>
          <w:left w:w="28" w:type="dxa"/>
          <w:bottom w:w="28" w:type="dxa"/>
          <w:right w:w="28" w:type="dxa"/>
        </w:tblCellMar>
      </w:tblPr>
      <w:tblGrid>
        <w:gridCol w:w="385"/>
        <w:gridCol w:w="338"/>
        <w:gridCol w:w="343"/>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39"/>
        <w:gridCol w:w="678"/>
        <w:gridCol w:w="134"/>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37"/>
        <w:gridCol w:w="672"/>
        <w:gridCol w:w="187"/>
      </w:tblGrid>
      <w:tr>
        <w:trPr/>
        <w:tc>
          <w:tcPr>
            <w:tcW w:w="385"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2" w:type="dxa"/>
            <w:gridSpan w:val="4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6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2022</w:t>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Consolidated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Consolidated</w:t>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Revenues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 property</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441.4 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387.8 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Home sales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86.3 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64.7 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Service, retail, dining and entertainment</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102.6 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81.2 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11.4 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Brokerage commissions and other, net</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651.2 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548.5 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5292"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23" w:type="dxa"/>
            <w:gridSpan w:val="4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969" w:type="dxa"/>
            <w:gridSpan w:val="36"/>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consists of real property revenue at our MH, RV and Marina properties, revenue from Home sales, Service, retail, dining and entertainment revenue, Interest income, and Brokerage commissions and other revenue.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The majority of our revenue is derived from site and home leases, and wet slip and dry storage space leases that are accounted for pursuant to ASC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We account for all revenue from contracts with customers following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except for those that are within the scope of other topics in the FASB ASC. For additional information, refer to Note 1, "Significant Accounting Policies," in our 2022 Annual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3. Real Estate Acquisitions and Dispositions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Acquisitions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acquired the following properties:</w:t>
      </w:r>
    </w:p>
    <w:p>
      <w:pPr>
        <w:pStyle w:val="TextBody"/>
        <w:spacing w:before="0" w:after="0"/>
        <w:jc w:val="both"/>
        <w:rPr/>
      </w:pPr>
      <w:r>
        <w:rPr/>
      </w:r>
    </w:p>
    <w:tbl>
      <w:tblPr>
        <w:tblW w:w="10205" w:type="dxa"/>
        <w:jc w:val="center"/>
        <w:tblInd w:w="0" w:type="dxa"/>
        <w:tblCellMar>
          <w:top w:w="28" w:type="dxa"/>
          <w:left w:w="28" w:type="dxa"/>
          <w:bottom w:w="28" w:type="dxa"/>
          <w:right w:w="28" w:type="dxa"/>
        </w:tblCellMar>
      </w:tblPr>
      <w:tblGrid>
        <w:gridCol w:w="549"/>
        <w:gridCol w:w="483"/>
        <w:gridCol w:w="485"/>
        <w:gridCol w:w="109"/>
        <w:gridCol w:w="109"/>
        <w:gridCol w:w="109"/>
        <w:gridCol w:w="506"/>
        <w:gridCol w:w="506"/>
        <w:gridCol w:w="513"/>
        <w:gridCol w:w="109"/>
        <w:gridCol w:w="109"/>
        <w:gridCol w:w="109"/>
        <w:gridCol w:w="433"/>
        <w:gridCol w:w="433"/>
        <w:gridCol w:w="435"/>
        <w:gridCol w:w="109"/>
        <w:gridCol w:w="109"/>
        <w:gridCol w:w="109"/>
        <w:gridCol w:w="438"/>
        <w:gridCol w:w="438"/>
        <w:gridCol w:w="439"/>
        <w:gridCol w:w="109"/>
        <w:gridCol w:w="109"/>
        <w:gridCol w:w="109"/>
        <w:gridCol w:w="573"/>
        <w:gridCol w:w="573"/>
        <w:gridCol w:w="575"/>
        <w:gridCol w:w="109"/>
        <w:gridCol w:w="109"/>
        <w:gridCol w:w="109"/>
        <w:gridCol w:w="345"/>
        <w:gridCol w:w="345"/>
        <w:gridCol w:w="501"/>
      </w:tblGrid>
      <w:tr>
        <w:trPr/>
        <w:tc>
          <w:tcPr>
            <w:tcW w:w="549"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r>
      <w:tr>
        <w:trPr/>
        <w:tc>
          <w:tcPr>
            <w:tcW w:w="15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Community 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Type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Sites, Wet Slips and </w:t>
              <w:br/>
              <w:t>Dry Storage Spaces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Development Sites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State, Province or Country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Month Acquired</w:t>
            </w:r>
          </w:p>
        </w:tc>
      </w:tr>
      <w:tr>
        <w:trPr/>
        <w:tc>
          <w:tcPr>
            <w:tcW w:w="151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Fox Run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MH: asset acquisition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68 </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January</w:t>
            </w:r>
          </w:p>
        </w:tc>
      </w:tr>
      <w:tr>
        <w:trPr/>
        <w:tc>
          <w:tcPr>
            <w:tcW w:w="151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Savannah Yacht Center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Marina: asset acquisition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24 </w:t>
            </w:r>
          </w:p>
        </w:tc>
        <w:tc>
          <w:tcPr>
            <w:tcW w:w="4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March</w:t>
            </w:r>
          </w:p>
        </w:tc>
      </w:tr>
      <w:tr>
        <w:trPr/>
        <w:tc>
          <w:tcPr>
            <w:tcW w:w="15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5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7"/>
              </w:rPr>
              <w:t>92</w:t>
            </w:r>
            <w:r>
              <w:rPr>
                <w:color w:val="000000"/>
              </w:rPr>
              <w:t> </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7"/>
              </w:rPr>
              <w:t>72</w:t>
            </w:r>
            <w:r>
              <w:rPr>
                <w:color w:val="000000"/>
              </w:rPr>
              <w:t> </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18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amount of assets acquired, net of liabilities assumed at the acquisition date and the consideration paid for the acquisitions completed during the three months ended March 31, 2023 (in millions):</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359"/>
        <w:gridCol w:w="315"/>
        <w:gridCol w:w="317"/>
        <w:gridCol w:w="208"/>
        <w:gridCol w:w="593"/>
        <w:gridCol w:w="117"/>
        <w:gridCol w:w="109"/>
        <w:gridCol w:w="109"/>
        <w:gridCol w:w="109"/>
        <w:gridCol w:w="342"/>
        <w:gridCol w:w="658"/>
        <w:gridCol w:w="192"/>
        <w:gridCol w:w="109"/>
        <w:gridCol w:w="109"/>
        <w:gridCol w:w="109"/>
        <w:gridCol w:w="109"/>
        <w:gridCol w:w="109"/>
        <w:gridCol w:w="204"/>
        <w:gridCol w:w="422"/>
        <w:gridCol w:w="113"/>
        <w:gridCol w:w="109"/>
        <w:gridCol w:w="109"/>
        <w:gridCol w:w="109"/>
        <w:gridCol w:w="252"/>
        <w:gridCol w:w="717"/>
        <w:gridCol w:w="142"/>
        <w:gridCol w:w="109"/>
        <w:gridCol w:w="109"/>
        <w:gridCol w:w="109"/>
        <w:gridCol w:w="205"/>
        <w:gridCol w:w="394"/>
        <w:gridCol w:w="114"/>
        <w:gridCol w:w="109"/>
        <w:gridCol w:w="109"/>
        <w:gridCol w:w="109"/>
        <w:gridCol w:w="109"/>
        <w:gridCol w:w="109"/>
        <w:gridCol w:w="223"/>
        <w:gridCol w:w="635"/>
        <w:gridCol w:w="125"/>
        <w:gridCol w:w="109"/>
        <w:gridCol w:w="109"/>
        <w:gridCol w:w="109"/>
        <w:gridCol w:w="248"/>
        <w:gridCol w:w="706"/>
        <w:gridCol w:w="206"/>
      </w:tblGrid>
      <w:tr>
        <w:trPr/>
        <w:tc>
          <w:tcPr>
            <w:tcW w:w="35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1" w:type="dxa"/>
            <w:gridSpan w:val="1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At Acquisition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1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Consideration</w:t>
            </w:r>
          </w:p>
        </w:tc>
        <w:tc>
          <w:tcPr>
            <w:tcW w:w="2797" w:type="dxa"/>
            <w:gridSpan w:val="12"/>
            <w:tcBorders/>
            <w:shd w:fill="auto" w:val="clear"/>
          </w:tcPr>
          <w:p>
            <w:pPr>
              <w:pStyle w:val="TableContents"/>
              <w:spacing w:before="0" w:after="283"/>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Investment in property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Inventory of manufactured homes, boat parts</w:t>
              <w:br/>
              <w:t>and retail</w:t>
              <w:br/>
              <w:t>related items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Other assets, net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 identifiable assets acquired net of liabilities assumed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Cash and escrow</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7"/>
              </w:rPr>
              <w:t>Temporary and permanent equity</w:t>
            </w:r>
            <w:r>
              <w:rPr>
                <w:rFonts w:ascii="Times New Roman;sans-serif" w:hAnsi="Times New Roman;sans-serif"/>
                <w:b w:val="false"/>
                <w:color w:val="000000"/>
                <w:sz w:val="11"/>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 consideration</w:t>
            </w:r>
          </w:p>
        </w:tc>
      </w:tr>
      <w:tr>
        <w:trPr/>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Asset Acquisition</w:t>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Fox Run</w:t>
            </w:r>
            <w:r>
              <w:rPr>
                <w:rFonts w:ascii="Times New Roman;sans-serif" w:hAnsi="Times New Roman;sans-serif"/>
                <w:b w:val="false"/>
                <w:color w:val="000000"/>
                <w:sz w:val="11"/>
              </w:rPr>
              <w:t>(2)(3)</w:t>
            </w:r>
          </w:p>
        </w:tc>
        <w:tc>
          <w:tcPr>
            <w:tcW w:w="20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Savannah Yacht Center</w:t>
            </w:r>
            <w:r>
              <w:rPr>
                <w:rFonts w:ascii="Times New Roman;sans-serif" w:hAnsi="Times New Roman;sans-serif"/>
                <w:b w:val="false"/>
                <w:color w:val="000000"/>
                <w:sz w:val="11"/>
              </w:rPr>
              <w:t>(2)(4)</w:t>
            </w:r>
          </w:p>
        </w:tc>
        <w:tc>
          <w:tcPr>
            <w:tcW w:w="8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104.5 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104.5 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auto" w:val="clear"/>
            <w:vAlign w:val="center"/>
          </w:tcPr>
          <w:p>
            <w:pPr>
              <w:pStyle w:val="TableContents"/>
              <w:spacing w:before="0" w:after="283"/>
              <w:rPr>
                <w:sz w:val="4"/>
                <w:szCs w:val="4"/>
              </w:rPr>
            </w:pPr>
            <w:r>
              <w:rPr>
                <w:sz w:val="4"/>
                <w:szCs w:val="4"/>
              </w:rPr>
            </w:r>
          </w:p>
        </w:tc>
        <w:tc>
          <w:tcPr>
            <w:tcW w:w="9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tcPr>
          <w:p>
            <w:pPr>
              <w:pStyle w:val="TableContents"/>
              <w:spacing w:before="0" w:after="283"/>
              <w:rPr>
                <w:sz w:val="4"/>
                <w:szCs w:val="4"/>
              </w:rPr>
            </w:pPr>
            <w:r>
              <w:rPr>
                <w:sz w:val="4"/>
                <w:szCs w:val="4"/>
              </w:rPr>
            </w:r>
          </w:p>
        </w:tc>
      </w:tr>
      <w:tr>
        <w:trPr/>
        <w:tc>
          <w:tcPr>
            <w:tcW w:w="991" w:type="dxa"/>
            <w:gridSpan w:val="3"/>
            <w:tcBorders/>
            <w:shd w:fill="auto" w:val="clear"/>
            <w:vAlign w:val="center"/>
          </w:tcPr>
          <w:p>
            <w:pPr>
              <w:pStyle w:val="TableContents"/>
              <w:spacing w:before="0" w:after="283"/>
              <w:rPr>
                <w:sz w:val="4"/>
                <w:szCs w:val="4"/>
              </w:rPr>
            </w:pPr>
            <w:r>
              <w:rPr>
                <w:sz w:val="4"/>
                <w:szCs w:val="4"/>
              </w:rPr>
            </w:r>
          </w:p>
        </w:tc>
        <w:tc>
          <w:tcPr>
            <w:tcW w:w="9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r>
      <w:tr>
        <w:trPr/>
        <w:tc>
          <w:tcPr>
            <w:tcW w:w="991" w:type="dxa"/>
            <w:gridSpan w:val="3"/>
            <w:tcBorders/>
            <w:shd w:fill="auto" w:val="clear"/>
            <w:vAlign w:val="center"/>
          </w:tcPr>
          <w:p>
            <w:pPr>
              <w:pStyle w:val="TableContents"/>
              <w:spacing w:before="0" w:after="283"/>
              <w:rPr>
                <w:sz w:val="4"/>
                <w:szCs w:val="4"/>
              </w:rPr>
            </w:pPr>
            <w:r>
              <w:rPr>
                <w:sz w:val="4"/>
                <w:szCs w:val="4"/>
              </w:rPr>
            </w:r>
          </w:p>
        </w:tc>
        <w:tc>
          <w:tcPr>
            <w:tcW w:w="9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104.5 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111.7 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60"/>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Refer to Note 9, "Equity and Temporary Equity," for additional detail.</w:t>
      </w:r>
    </w:p>
    <w:p>
      <w:pPr>
        <w:pStyle w:val="TextBody"/>
        <w:spacing w:lineRule="auto" w:line="288" w:before="0" w:after="60"/>
        <w:ind w:left="0" w:right="0" w:hanging="180"/>
        <w:jc w:val="both"/>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The above allocations are estimates pending purchase price allocations.</w:t>
      </w:r>
    </w:p>
    <w:p>
      <w:pPr>
        <w:pStyle w:val="TextBody"/>
        <w:spacing w:lineRule="auto" w:line="288" w:before="0" w:after="60"/>
        <w:ind w:left="0" w:right="0" w:hanging="180"/>
        <w:jc w:val="both"/>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In conjunction with the acquisition, the Operating Partnership issued 31,289 common OP units valued at $4.5 million.</w:t>
      </w:r>
    </w:p>
    <w:p>
      <w:pPr>
        <w:pStyle w:val="TextBody"/>
        <w:spacing w:lineRule="auto" w:line="288" w:before="0" w:after="0"/>
        <w:ind w:left="0" w:right="0" w:hanging="180"/>
        <w:jc w:val="both"/>
        <w:rPr/>
      </w:pPr>
      <w:r>
        <w:rPr>
          <w:rFonts w:ascii="Times New Roman;sans-serif" w:hAnsi="Times New Roman;sans-serif"/>
          <w:b w:val="false"/>
          <w:color w:val="000000"/>
          <w:sz w:val="10"/>
        </w:rPr>
        <w:t>(4)</w:t>
      </w:r>
      <w:r>
        <w:rPr>
          <w:color w:val="000000"/>
        </w:rPr>
        <w:t xml:space="preserve"> </w:t>
      </w:r>
      <w:r>
        <w:rPr>
          <w:rFonts w:ascii="Times New Roman;sans-serif" w:hAnsi="Times New Roman;sans-serif"/>
          <w:b w:val="false"/>
          <w:color w:val="000000"/>
          <w:sz w:val="16"/>
        </w:rPr>
        <w:t>In conjunction with the acquisition, the Operating Partnership issued one million Series K preferred OP units valued at $100.0 million.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have incurred and capitalized $2.6 million of transaction costs, which have been allocated among various fixed asset categories for purchases that meet the asset acquisition criteria. During the three months ended March 31, 2023, we recognized $2.8 million of business combination expenses in connection with transactions completed during 2022.</w:t>
      </w:r>
    </w:p>
    <w:tbl>
      <w:tblPr>
        <w:tblW w:w="932"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213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Development and Expansion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acquired three land parcels located in the United States ("U.S.") and United Kingdom ("UK") for an aggregate purchase price of $34.9 million.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Dispositions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we sold two parcels of land in the UK for total consideration of $111.5 million, which primarily consisted of $108.8 million in the form of an operator note receivable that was added to an existing facility with a weighted average interest rate of 11.9% per annum, due May 31, 2023. On the date of sale, the carrying value of the note receivable approximates its fair value due to its short term nature. The dispositions resulted in a loss on sale totaling $1.6 million, net of the release of foreign currency translation losses from Accumulated other comprehensive income of $11.9 million. The total loss on sale was recorded in Gain / (loss) on dispositions of properties on the Consolidated Statements of Operations.</w:t>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Real Estate Held For Sale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periodically classify real estate as "held for sale." An asset is classified as held for sale after an active program to sell an asset has commenced and when the sale is probable. Subsequent to the classification of assets as held for sale, no further depreciation expense is recorded.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we reached an agreement to sell an operating MH community in the UK with 730 developed sites for approximately $240.0 million in the form of a note receivable. As a result, the carrying value of total assets of $262.2 million and total liabilities of $64.0 million were reclassified to held for sale as of March 31, 2023. The held for sale assets primarily consist of Land and Land improvements and buildings and are recorded within Other assets, net on the Consolidated Balance Sheets. The held for sale liabilities primarily consist of Deferred tax liabilities and are recorded within Other liabilities on the Consolidated Balance Sheets.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2022 Acquisitions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we acquired the following properties:</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602"/>
        <w:gridCol w:w="491"/>
        <w:gridCol w:w="495"/>
        <w:gridCol w:w="109"/>
        <w:gridCol w:w="109"/>
        <w:gridCol w:w="109"/>
        <w:gridCol w:w="546"/>
        <w:gridCol w:w="480"/>
        <w:gridCol w:w="486"/>
        <w:gridCol w:w="109"/>
        <w:gridCol w:w="109"/>
        <w:gridCol w:w="109"/>
        <w:gridCol w:w="685"/>
        <w:gridCol w:w="569"/>
        <w:gridCol w:w="572"/>
        <w:gridCol w:w="109"/>
        <w:gridCol w:w="109"/>
        <w:gridCol w:w="109"/>
        <w:gridCol w:w="405"/>
        <w:gridCol w:w="405"/>
        <w:gridCol w:w="407"/>
        <w:gridCol w:w="109"/>
        <w:gridCol w:w="109"/>
        <w:gridCol w:w="109"/>
        <w:gridCol w:w="443"/>
        <w:gridCol w:w="443"/>
        <w:gridCol w:w="445"/>
        <w:gridCol w:w="109"/>
        <w:gridCol w:w="109"/>
        <w:gridCol w:w="109"/>
        <w:gridCol w:w="347"/>
        <w:gridCol w:w="305"/>
        <w:gridCol w:w="444"/>
      </w:tblGrid>
      <w:tr>
        <w:trPr/>
        <w:tc>
          <w:tcPr>
            <w:tcW w:w="602"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r>
      <w:tr>
        <w:trPr/>
        <w:tc>
          <w:tcPr>
            <w:tcW w:w="158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color w:val="000000"/>
                <w:sz w:val="17"/>
              </w:rPr>
              <w:t>Property Name</w:t>
            </w:r>
            <w:r>
              <w:rPr>
                <w:rFonts w:ascii="Times New Roman;sans-serif" w:hAnsi="Times New Roman;sans-serif"/>
                <w:b/>
                <w:color w:val="000000"/>
                <w:sz w:val="11"/>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Type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Sites, Wet Slips and Dry Storage Spaces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Development Sites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State, Province or Country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Month Acquired</w:t>
            </w:r>
          </w:p>
        </w:tc>
      </w:tr>
      <w:tr>
        <w:trPr/>
        <w:tc>
          <w:tcPr>
            <w:tcW w:w="158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Harrison Yacht Yard</w:t>
            </w:r>
            <w:r>
              <w:rPr>
                <w:rFonts w:ascii="Times New Roman;sans-serif" w:hAnsi="Times New Roman;sans-serif"/>
                <w:b w:val="false"/>
                <w:color w:val="000000"/>
                <w:sz w:val="11"/>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Marina: asset acquisition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January</w:t>
            </w:r>
          </w:p>
        </w:tc>
      </w:tr>
      <w:tr>
        <w:trPr/>
        <w:tc>
          <w:tcPr>
            <w:tcW w:w="15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Outer Banks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Marina: asset acquisition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196 </w:t>
            </w:r>
          </w:p>
        </w:tc>
        <w:tc>
          <w:tcPr>
            <w:tcW w:w="5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January</w:t>
            </w:r>
          </w:p>
        </w:tc>
      </w:tr>
      <w:tr>
        <w:trPr/>
        <w:tc>
          <w:tcPr>
            <w:tcW w:w="15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Jarrett Bay Boatworks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Marina: business combination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5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February</w:t>
            </w:r>
          </w:p>
        </w:tc>
      </w:tr>
      <w:tr>
        <w:trPr/>
        <w:tc>
          <w:tcPr>
            <w:tcW w:w="15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Tower Marine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Marina: asset acquisition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446 </w:t>
            </w:r>
          </w:p>
        </w:tc>
        <w:tc>
          <w:tcPr>
            <w:tcW w:w="5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March</w:t>
            </w:r>
          </w:p>
        </w:tc>
      </w:tr>
      <w:tr>
        <w:trPr/>
        <w:tc>
          <w:tcPr>
            <w:tcW w:w="15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Sandy Bay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MH: asset acquisition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730 </w:t>
            </w:r>
          </w:p>
        </w:tc>
        <w:tc>
          <w:tcPr>
            <w:tcW w:w="5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456 </w:t>
            </w:r>
          </w:p>
        </w:tc>
        <w:tc>
          <w:tcPr>
            <w:tcW w:w="4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March</w:t>
            </w:r>
          </w:p>
        </w:tc>
      </w:tr>
      <w:tr>
        <w:trPr/>
        <w:tc>
          <w:tcPr>
            <w:tcW w:w="158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Park Holidays</w:t>
            </w:r>
            <w:r>
              <w:rPr>
                <w:rFonts w:ascii="Times New Roman;sans-serif" w:hAnsi="Times New Roman;sans-serif"/>
                <w:b w:val="false"/>
                <w:color w:val="000000"/>
                <w:sz w:val="11"/>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MH: business combination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15,906 </w:t>
            </w:r>
          </w:p>
        </w:tc>
        <w:tc>
          <w:tcPr>
            <w:tcW w:w="5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608 </w:t>
            </w:r>
          </w:p>
        </w:tc>
        <w:tc>
          <w:tcPr>
            <w:tcW w:w="4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April</w:t>
            </w:r>
          </w:p>
        </w:tc>
      </w:tr>
      <w:tr>
        <w:trPr/>
        <w:tc>
          <w:tcPr>
            <w:tcW w:w="158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Christies Parks</w:t>
            </w:r>
            <w:r>
              <w:rPr>
                <w:rFonts w:ascii="Times New Roman;sans-serif" w:hAnsi="Times New Roman;sans-serif"/>
                <w:b w:val="false"/>
                <w:color w:val="000000"/>
                <w:sz w:val="11"/>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MH: asset acquisition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249 </w:t>
            </w:r>
          </w:p>
        </w:tc>
        <w:tc>
          <w:tcPr>
            <w:tcW w:w="5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April</w:t>
            </w:r>
          </w:p>
        </w:tc>
      </w:tr>
      <w:tr>
        <w:trPr/>
        <w:tc>
          <w:tcPr>
            <w:tcW w:w="15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Bluewater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Marina: asset acquisition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200 </w:t>
            </w:r>
          </w:p>
        </w:tc>
        <w:tc>
          <w:tcPr>
            <w:tcW w:w="5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Multiple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April</w:t>
            </w:r>
          </w:p>
        </w:tc>
      </w:tr>
      <w:tr>
        <w:trPr/>
        <w:tc>
          <w:tcPr>
            <w:tcW w:w="158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Bluewater Yacht Sales</w:t>
            </w:r>
            <w:r>
              <w:rPr>
                <w:rFonts w:ascii="Times New Roman;sans-serif" w:hAnsi="Times New Roman;sans-serif"/>
                <w:b w:val="false"/>
                <w:color w:val="000000"/>
                <w:sz w:val="11"/>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Marina: business combination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Multiple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April</w:t>
            </w:r>
          </w:p>
        </w:tc>
      </w:tr>
      <w:tr>
        <w:trPr/>
        <w:tc>
          <w:tcPr>
            <w:tcW w:w="15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Bodmin Holiday Park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MH: asset acquisition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69 </w:t>
            </w:r>
          </w:p>
        </w:tc>
        <w:tc>
          <w:tcPr>
            <w:tcW w:w="5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April</w:t>
            </w:r>
          </w:p>
        </w:tc>
      </w:tr>
      <w:tr>
        <w:trPr/>
        <w:tc>
          <w:tcPr>
            <w:tcW w:w="15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Kittery Point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Marina: asset acquisition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62 </w:t>
            </w:r>
          </w:p>
        </w:tc>
        <w:tc>
          <w:tcPr>
            <w:tcW w:w="5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May</w:t>
            </w:r>
          </w:p>
        </w:tc>
      </w:tr>
      <w:tr>
        <w:trPr/>
        <w:tc>
          <w:tcPr>
            <w:tcW w:w="15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Spanish Trails MHC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MH: asset acquisition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195 </w:t>
            </w:r>
          </w:p>
        </w:tc>
        <w:tc>
          <w:tcPr>
            <w:tcW w:w="5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6 </w:t>
            </w:r>
          </w:p>
        </w:tc>
        <w:tc>
          <w:tcPr>
            <w:tcW w:w="4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AZ</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June</w:t>
            </w:r>
          </w:p>
        </w:tc>
      </w:tr>
      <w:tr>
        <w:trPr/>
        <w:tc>
          <w:tcPr>
            <w:tcW w:w="15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Pine Acre Trails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MH: asset acquisition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251 </w:t>
            </w:r>
          </w:p>
        </w:tc>
        <w:tc>
          <w:tcPr>
            <w:tcW w:w="5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603 </w:t>
            </w:r>
          </w:p>
        </w:tc>
        <w:tc>
          <w:tcPr>
            <w:tcW w:w="4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June</w:t>
            </w:r>
          </w:p>
        </w:tc>
      </w:tr>
      <w:tr>
        <w:trPr/>
        <w:tc>
          <w:tcPr>
            <w:tcW w:w="158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Bel Air Estates &amp; Sunrise Estates</w:t>
            </w:r>
            <w:r>
              <w:rPr>
                <w:rFonts w:ascii="Times New Roman;sans-serif" w:hAnsi="Times New Roman;sans-serif"/>
                <w:b w:val="false"/>
                <w:color w:val="000000"/>
                <w:sz w:val="11"/>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MH: asset acquisition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379 </w:t>
            </w:r>
          </w:p>
        </w:tc>
        <w:tc>
          <w:tcPr>
            <w:tcW w:w="5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June</w:t>
            </w:r>
          </w:p>
        </w:tc>
      </w:tr>
      <w:tr>
        <w:trPr/>
        <w:tc>
          <w:tcPr>
            <w:tcW w:w="158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Park Leisure</w:t>
            </w:r>
            <w:r>
              <w:rPr>
                <w:rFonts w:ascii="Times New Roman;sans-serif" w:hAnsi="Times New Roman;sans-serif"/>
                <w:b w:val="false"/>
                <w:color w:val="000000"/>
                <w:sz w:val="11"/>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MH: business combination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2,914 </w:t>
            </w:r>
          </w:p>
        </w:tc>
        <w:tc>
          <w:tcPr>
            <w:tcW w:w="5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123 </w:t>
            </w:r>
          </w:p>
        </w:tc>
        <w:tc>
          <w:tcPr>
            <w:tcW w:w="4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June</w:t>
            </w:r>
          </w:p>
        </w:tc>
      </w:tr>
      <w:tr>
        <w:trPr/>
        <w:tc>
          <w:tcPr>
            <w:tcW w:w="15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Montauk Yacht Club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Marina: business combination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232 </w:t>
            </w:r>
          </w:p>
        </w:tc>
        <w:tc>
          <w:tcPr>
            <w:tcW w:w="5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July</w:t>
            </w:r>
          </w:p>
        </w:tc>
      </w:tr>
      <w:tr>
        <w:trPr/>
        <w:tc>
          <w:tcPr>
            <w:tcW w:w="158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Callaly Leisure</w:t>
            </w:r>
            <w:r>
              <w:rPr>
                <w:rFonts w:ascii="Times New Roman;sans-serif" w:hAnsi="Times New Roman;sans-serif"/>
                <w:b w:val="false"/>
                <w:color w:val="000000"/>
                <w:sz w:val="11"/>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MH: asset acquisition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380 </w:t>
            </w:r>
          </w:p>
        </w:tc>
        <w:tc>
          <w:tcPr>
            <w:tcW w:w="5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823 </w:t>
            </w:r>
          </w:p>
        </w:tc>
        <w:tc>
          <w:tcPr>
            <w:tcW w:w="4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September</w:t>
            </w:r>
          </w:p>
        </w:tc>
      </w:tr>
      <w:tr>
        <w:trPr/>
        <w:tc>
          <w:tcPr>
            <w:tcW w:w="15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Newhaven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MH: asset acquisition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224 </w:t>
            </w:r>
          </w:p>
        </w:tc>
        <w:tc>
          <w:tcPr>
            <w:tcW w:w="5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4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October</w:t>
            </w:r>
          </w:p>
        </w:tc>
      </w:tr>
      <w:tr>
        <w:trPr/>
        <w:tc>
          <w:tcPr>
            <w:tcW w:w="15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Bayfront Marina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Marina: asset acquisition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583 </w:t>
            </w:r>
          </w:p>
        </w:tc>
        <w:tc>
          <w:tcPr>
            <w:tcW w:w="5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November</w:t>
            </w:r>
          </w:p>
        </w:tc>
      </w:tr>
      <w:tr>
        <w:trPr/>
        <w:tc>
          <w:tcPr>
            <w:tcW w:w="15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Marina Bay Yacht Harbor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Marina: asset acquisition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800 </w:t>
            </w:r>
          </w:p>
        </w:tc>
        <w:tc>
          <w:tcPr>
            <w:tcW w:w="5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December</w:t>
            </w:r>
          </w:p>
        </w:tc>
      </w:tr>
      <w:tr>
        <w:trPr/>
        <w:tc>
          <w:tcPr>
            <w:tcW w:w="15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Jellystone Lincoln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RV: asset acquisition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267 </w:t>
            </w:r>
          </w:p>
        </w:tc>
        <w:tc>
          <w:tcPr>
            <w:tcW w:w="5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December</w:t>
            </w:r>
          </w:p>
        </w:tc>
      </w:tr>
      <w:tr>
        <w:trPr/>
        <w:tc>
          <w:tcPr>
            <w:tcW w:w="15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Norway Commons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MH: asset acquisition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231 </w:t>
            </w:r>
          </w:p>
        </w:tc>
        <w:tc>
          <w:tcPr>
            <w:tcW w:w="5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4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December</w:t>
            </w:r>
          </w:p>
        </w:tc>
      </w:tr>
      <w:tr>
        <w:trPr/>
        <w:tc>
          <w:tcPr>
            <w:tcW w:w="15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r>
      <w:tr>
        <w:trPr/>
        <w:tc>
          <w:tcPr>
            <w:tcW w:w="15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7"/>
              </w:rPr>
              <w:t>24,347</w:t>
            </w:r>
            <w:r>
              <w:rPr>
                <w:color w:val="000000"/>
              </w:rPr>
              <w:t> </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7"/>
              </w:rPr>
              <w:t>2,655</w:t>
            </w:r>
            <w:r>
              <w:rPr>
                <w:color w:val="000000"/>
              </w:rPr>
              <w:t> </w:t>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60"/>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Property names are subject to changes subsequent to acquisition.</w:t>
      </w:r>
    </w:p>
    <w:p>
      <w:pPr>
        <w:pStyle w:val="TextBody"/>
        <w:spacing w:lineRule="auto" w:line="288" w:before="0" w:after="60"/>
        <w:ind w:left="0" w:right="0" w:hanging="18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Combined with an existing property.</w:t>
      </w:r>
    </w:p>
    <w:p>
      <w:pPr>
        <w:pStyle w:val="TextBody"/>
        <w:spacing w:lineRule="auto" w:line="288" w:before="0" w:after="60"/>
        <w:ind w:left="0" w:right="0" w:hanging="180"/>
        <w:jc w:val="both"/>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Includes 40 owned and two managed properties.</w:t>
      </w:r>
    </w:p>
    <w:p>
      <w:pPr>
        <w:pStyle w:val="TextBody"/>
        <w:spacing w:lineRule="auto" w:line="288" w:before="0" w:after="60"/>
        <w:ind w:left="0" w:right="0" w:hanging="180"/>
        <w:jc w:val="both"/>
        <w:rPr/>
      </w:pPr>
      <w:r>
        <w:rPr>
          <w:rFonts w:ascii="Times New Roman;sans-serif" w:hAnsi="Times New Roman;sans-serif"/>
          <w:b w:val="false"/>
          <w:color w:val="000000"/>
          <w:sz w:val="10"/>
        </w:rPr>
        <w:t>(4)</w:t>
      </w:r>
      <w:r>
        <w:rPr>
          <w:color w:val="000000"/>
        </w:rPr>
        <w:t xml:space="preserve"> </w:t>
      </w:r>
      <w:r>
        <w:rPr>
          <w:rFonts w:ascii="Times New Roman;sans-serif" w:hAnsi="Times New Roman;sans-serif"/>
          <w:b w:val="false"/>
          <w:color w:val="000000"/>
          <w:sz w:val="16"/>
        </w:rPr>
        <w:t>Includes two properties.</w:t>
      </w:r>
    </w:p>
    <w:p>
      <w:pPr>
        <w:pStyle w:val="TextBody"/>
        <w:spacing w:lineRule="auto" w:line="288" w:before="0" w:after="60"/>
        <w:ind w:left="0" w:right="0" w:hanging="180"/>
        <w:jc w:val="both"/>
        <w:rPr/>
      </w:pPr>
      <w:r>
        <w:rPr>
          <w:rFonts w:ascii="Times New Roman;sans-serif" w:hAnsi="Times New Roman;sans-serif"/>
          <w:b w:val="false"/>
          <w:color w:val="000000"/>
          <w:sz w:val="10"/>
        </w:rPr>
        <w:t>(5)</w:t>
      </w:r>
      <w:r>
        <w:rPr>
          <w:color w:val="000000"/>
        </w:rPr>
        <w:t xml:space="preserve"> </w:t>
      </w:r>
      <w:r>
        <w:rPr>
          <w:rFonts w:ascii="Times New Roman;sans-serif" w:hAnsi="Times New Roman;sans-serif"/>
          <w:b w:val="false"/>
          <w:color w:val="000000"/>
          <w:sz w:val="16"/>
        </w:rPr>
        <w:t>Includes 11 properties.</w:t>
      </w:r>
    </w:p>
    <w:p>
      <w:pPr>
        <w:pStyle w:val="TextBody"/>
        <w:spacing w:lineRule="auto" w:line="288" w:before="0" w:after="0"/>
        <w:ind w:left="0" w:right="0" w:hanging="180"/>
        <w:jc w:val="both"/>
        <w:rPr/>
      </w:pPr>
      <w:r>
        <w:rPr>
          <w:rFonts w:ascii="Times New Roman;sans-serif" w:hAnsi="Times New Roman;sans-serif"/>
          <w:b w:val="false"/>
          <w:color w:val="000000"/>
          <w:sz w:val="10"/>
        </w:rPr>
        <w:t>(6)</w:t>
      </w:r>
      <w:r>
        <w:rPr>
          <w:color w:val="000000"/>
        </w:rPr>
        <w:t xml:space="preserve"> </w:t>
      </w:r>
      <w:r>
        <w:rPr>
          <w:rFonts w:ascii="Times New Roman;sans-serif" w:hAnsi="Times New Roman;sans-serif"/>
          <w:b w:val="false"/>
          <w:color w:val="000000"/>
          <w:sz w:val="16"/>
        </w:rPr>
        <w:t>Includes one development property.</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amounts of assets acquired, net of liabilities assumed at the acquisition date and the consideration paid for the acquisitions completed in 2022 (in millions):</w:t>
      </w:r>
    </w:p>
    <w:p>
      <w:pPr>
        <w:pStyle w:val="TextBody"/>
        <w:spacing w:before="0" w:after="0"/>
        <w:rPr/>
      </w:pPr>
      <w:r>
        <w:rPr/>
      </w:r>
    </w:p>
    <w:tbl>
      <w:tblPr>
        <w:tblW w:w="11296" w:type="dxa"/>
        <w:jc w:val="left"/>
        <w:tblInd w:w="0" w:type="dxa"/>
        <w:tblCellMar>
          <w:top w:w="28" w:type="dxa"/>
          <w:left w:w="28" w:type="dxa"/>
          <w:bottom w:w="28" w:type="dxa"/>
          <w:right w:w="28" w:type="dxa"/>
        </w:tblCellMar>
      </w:tblPr>
      <w:tblGrid>
        <w:gridCol w:w="337"/>
        <w:gridCol w:w="296"/>
        <w:gridCol w:w="298"/>
        <w:gridCol w:w="196"/>
        <w:gridCol w:w="691"/>
        <w:gridCol w:w="109"/>
        <w:gridCol w:w="109"/>
        <w:gridCol w:w="109"/>
        <w:gridCol w:w="109"/>
        <w:gridCol w:w="270"/>
        <w:gridCol w:w="644"/>
        <w:gridCol w:w="152"/>
        <w:gridCol w:w="109"/>
        <w:gridCol w:w="109"/>
        <w:gridCol w:w="109"/>
        <w:gridCol w:w="196"/>
        <w:gridCol w:w="556"/>
        <w:gridCol w:w="109"/>
        <w:gridCol w:w="109"/>
        <w:gridCol w:w="109"/>
        <w:gridCol w:w="109"/>
        <w:gridCol w:w="196"/>
        <w:gridCol w:w="626"/>
        <w:gridCol w:w="109"/>
        <w:gridCol w:w="109"/>
        <w:gridCol w:w="109"/>
        <w:gridCol w:w="109"/>
        <w:gridCol w:w="196"/>
        <w:gridCol w:w="691"/>
        <w:gridCol w:w="109"/>
        <w:gridCol w:w="109"/>
        <w:gridCol w:w="109"/>
        <w:gridCol w:w="109"/>
        <w:gridCol w:w="196"/>
        <w:gridCol w:w="691"/>
        <w:gridCol w:w="109"/>
        <w:gridCol w:w="109"/>
        <w:gridCol w:w="109"/>
        <w:gridCol w:w="109"/>
        <w:gridCol w:w="109"/>
        <w:gridCol w:w="109"/>
        <w:gridCol w:w="225"/>
        <w:gridCol w:w="535"/>
        <w:gridCol w:w="126"/>
        <w:gridCol w:w="109"/>
        <w:gridCol w:w="109"/>
        <w:gridCol w:w="109"/>
        <w:gridCol w:w="212"/>
        <w:gridCol w:w="747"/>
        <w:gridCol w:w="167"/>
      </w:tblGrid>
      <w:tr>
        <w:trPr/>
        <w:tc>
          <w:tcPr>
            <w:tcW w:w="337"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8"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At Acquisition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7" w:type="dxa"/>
            <w:gridSpan w:val="1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Consideration</w:t>
            </w:r>
          </w:p>
        </w:tc>
        <w:tc>
          <w:tcPr>
            <w:tcW w:w="1453" w:type="dxa"/>
            <w:gridSpan w:val="6"/>
            <w:tcBorders/>
            <w:shd w:fill="auto" w:val="clear"/>
          </w:tcPr>
          <w:p>
            <w:pPr>
              <w:pStyle w:val="TableContents"/>
              <w:spacing w:before="0" w:after="283"/>
              <w:rPr>
                <w:sz w:val="4"/>
                <w:szCs w:val="4"/>
              </w:rPr>
            </w:pPr>
            <w:r>
              <w:rPr>
                <w:sz w:val="4"/>
                <w:szCs w:val="4"/>
              </w:rPr>
            </w:r>
          </w:p>
        </w:tc>
      </w:tr>
      <w:tr>
        <w:trPr/>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Investment in property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Inventory of manufactured homes, boat parts</w:t>
              <w:br/>
              <w:t>and retail</w:t>
              <w:br/>
              <w:t>related items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7"/>
              </w:rPr>
              <w:t>In-place leases, goodwill and other intangible assets</w:t>
            </w:r>
            <w:r>
              <w:rPr>
                <w:rFonts w:ascii="Times New Roman;sans-serif" w:hAnsi="Times New Roman;sans-serif"/>
                <w:b w:val="false"/>
                <w:color w:val="000000"/>
                <w:sz w:val="11"/>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Other assets / (liabilities), net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 identifiable assets acquired net of liabilities assumed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Cash and escrow</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Temporary and permanent equity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 consideration</w:t>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Asset Acquisition</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Harrison Yacht Yard</w:t>
            </w:r>
            <w:r>
              <w:rPr>
                <w:rFonts w:ascii="Times New Roman;sans-serif" w:hAnsi="Times New Roman;sans-serif"/>
                <w:b w:val="false"/>
                <w:color w:val="000000"/>
                <w:sz w:val="11"/>
              </w:rPr>
              <w:t>(4)</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3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Outer Banks</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Tower Marine</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18.3 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Sandy Bay</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191.1 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Christies Parks</w:t>
            </w:r>
            <w:r>
              <w:rPr>
                <w:rFonts w:ascii="Times New Roman;sans-serif" w:hAnsi="Times New Roman;sans-serif"/>
                <w:b w:val="false"/>
                <w:color w:val="000000"/>
                <w:sz w:val="11"/>
              </w:rPr>
              <w:t>(4)</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Bluewater</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28.0 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Bodmin Holiday Park</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Kittery Point</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Spanish Trails MHC</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22.4 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Pine Acre Trails</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29.7 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Bel Air Estates &amp; Sunrise Estates</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40.0 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Callaly Leisure</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23.6 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Newhaven</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Bayfront Marina</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Marina Bay Yacht Harbor</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15.7 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Jellystone Lincoln</w:t>
            </w:r>
            <w:r>
              <w:rPr>
                <w:rFonts w:ascii="Times New Roman;sans-serif" w:hAnsi="Times New Roman;sans-serif"/>
                <w:b w:val="false"/>
                <w:color w:val="000000"/>
                <w:sz w:val="11"/>
              </w:rPr>
              <w:t>(5)</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18.2 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Norway Commons</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7"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Business Combination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Jarrett Bay Boatworks</w:t>
            </w:r>
            <w:r>
              <w:rPr>
                <w:rFonts w:ascii="Times New Roman;sans-serif" w:hAnsi="Times New Roman;sans-serif"/>
                <w:b w:val="false"/>
                <w:color w:val="000000"/>
                <w:sz w:val="11"/>
              </w:rPr>
              <w:t>(6)</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71.2 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Park Holidays</w:t>
            </w:r>
            <w:r>
              <w:rPr>
                <w:rFonts w:ascii="Times New Roman;sans-serif" w:hAnsi="Times New Roman;sans-serif"/>
                <w:b w:val="false"/>
                <w:color w:val="000000"/>
                <w:sz w:val="11"/>
              </w:rPr>
              <w:t>(7)</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29.5 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33.9 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1,233.8 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Park Leisure</w:t>
            </w:r>
            <w:r>
              <w:rPr>
                <w:rFonts w:ascii="Times New Roman;sans-serif" w:hAnsi="Times New Roman;sans-serif"/>
                <w:b w:val="false"/>
                <w:color w:val="000000"/>
                <w:sz w:val="11"/>
              </w:rPr>
              <w:t>(8)</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225.8 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Montauk Yacht Club</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190.5 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2,213.9 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45.0 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2,185.9 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2,148.2 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2,185.9 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60"/>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Refer to Note 5, "Goodwill and Other Intangible Assets," for additional detail on goodwill and other intangible assets.</w:t>
      </w:r>
    </w:p>
    <w:p>
      <w:pPr>
        <w:pStyle w:val="TextBody"/>
        <w:spacing w:lineRule="auto" w:line="288" w:before="0" w:after="60"/>
        <w:ind w:left="0" w:right="0" w:hanging="180"/>
        <w:jc w:val="both"/>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Refer to Note 9, "Equity and Temporary Equity," for additional detail.</w:t>
      </w:r>
    </w:p>
    <w:p>
      <w:pPr>
        <w:pStyle w:val="TextBody"/>
        <w:spacing w:lineRule="auto" w:line="288" w:before="0" w:after="60"/>
        <w:ind w:left="0" w:right="0" w:hanging="180"/>
        <w:jc w:val="both"/>
        <w:rPr/>
      </w:pPr>
      <w:r>
        <w:rPr>
          <w:rFonts w:ascii="Times New Roman;sans-serif" w:hAnsi="Times New Roman;sans-serif"/>
          <w:b w:val="false"/>
          <w:color w:val="000000"/>
          <w:sz w:val="10"/>
        </w:rPr>
        <w:t xml:space="preserve">(3) </w:t>
      </w:r>
      <w:r>
        <w:rPr>
          <w:rFonts w:ascii="Times New Roman;sans-serif" w:hAnsi="Times New Roman;sans-serif"/>
          <w:b w:val="false"/>
          <w:color w:val="000000"/>
          <w:sz w:val="16"/>
        </w:rPr>
        <w:t>Property names are subject to changes subsequent to acquisition.</w:t>
      </w:r>
    </w:p>
    <w:p>
      <w:pPr>
        <w:pStyle w:val="TextBody"/>
        <w:spacing w:lineRule="auto" w:line="288" w:before="0" w:after="60"/>
        <w:ind w:left="0" w:right="0" w:hanging="180"/>
        <w:jc w:val="both"/>
        <w:rPr/>
      </w:pPr>
      <w:r>
        <w:rPr>
          <w:rFonts w:ascii="Times New Roman;sans-serif" w:hAnsi="Times New Roman;sans-serif"/>
          <w:b w:val="false"/>
          <w:color w:val="000000"/>
          <w:sz w:val="10"/>
        </w:rPr>
        <w:t xml:space="preserve">(4) </w:t>
      </w:r>
      <w:r>
        <w:rPr>
          <w:rFonts w:ascii="Times New Roman;sans-serif" w:hAnsi="Times New Roman;sans-serif"/>
          <w:b w:val="false"/>
          <w:color w:val="000000"/>
          <w:sz w:val="16"/>
        </w:rPr>
        <w:t>Combined with an existing property.</w:t>
      </w:r>
    </w:p>
    <w:p>
      <w:pPr>
        <w:pStyle w:val="TextBody"/>
        <w:spacing w:lineRule="auto" w:line="288" w:before="0" w:after="60"/>
        <w:ind w:left="0" w:right="0" w:hanging="180"/>
        <w:jc w:val="both"/>
        <w:rPr/>
      </w:pPr>
      <w:r>
        <w:rPr>
          <w:rFonts w:ascii="Times New Roman;sans-serif" w:hAnsi="Times New Roman;sans-serif"/>
          <w:b w:val="false"/>
          <w:color w:val="000000"/>
          <w:sz w:val="10"/>
        </w:rPr>
        <w:t xml:space="preserve">(5) </w:t>
      </w:r>
      <w:r>
        <w:rPr>
          <w:rFonts w:ascii="Times New Roman;sans-serif" w:hAnsi="Times New Roman;sans-serif"/>
          <w:b w:val="false"/>
          <w:color w:val="000000"/>
          <w:sz w:val="16"/>
        </w:rPr>
        <w:t>In December 2020, we entered into a loan agreement pursuant to which we extended credit to Blue Water to finance the construction of Jellystone Lincoln (the "RV Park"). In December 2022, we entered into a purchase and sale agreement pursuant to which we purchased the RV Park for cash consideration of $5.0 million, which was applied toward the existing Blue Water loan balance of $12.9 million, and the remaining loan balance of $7.9 million was forgiven. Upon acquisition of the RV Park, we agreed to loan Blue Water an amount equal to $3.7 million, accounted as consideration based on the loan forgiveness terms. Additional consideration for vacation rental units of $0.4 million, resulted in a total purchase price of $17.0 million. In addition, we entered into a lease agreement pursuant to which Blue Water will pay rent to us and continue to operate the park.</w:t>
      </w:r>
    </w:p>
    <w:p>
      <w:pPr>
        <w:pStyle w:val="TextBody"/>
        <w:spacing w:lineRule="auto" w:line="288" w:before="0" w:after="60"/>
        <w:ind w:left="0" w:right="0" w:hanging="180"/>
        <w:jc w:val="both"/>
        <w:rPr/>
      </w:pPr>
      <w:r>
        <w:rPr>
          <w:rFonts w:ascii="Times New Roman;sans-serif" w:hAnsi="Times New Roman;sans-serif"/>
          <w:b w:val="false"/>
          <w:color w:val="000000"/>
          <w:sz w:val="10"/>
        </w:rPr>
        <w:t xml:space="preserve">(6) </w:t>
      </w:r>
      <w:r>
        <w:rPr>
          <w:rFonts w:ascii="Times New Roman;sans-serif" w:hAnsi="Times New Roman;sans-serif"/>
          <w:b w:val="false"/>
          <w:color w:val="000000"/>
          <w:sz w:val="16"/>
        </w:rPr>
        <w:t>The balance includes the marina acquired in February and the yacht sales business acquired in April of which $0.1 million was recorded in Investment property, $17.6 million in Goodwill and other intangible assets, and $0.4 million in Other assets / (liabilities), net.</w:t>
      </w:r>
    </w:p>
    <w:p>
      <w:pPr>
        <w:pStyle w:val="TextBody"/>
        <w:spacing w:lineRule="auto" w:line="288" w:before="0" w:after="60"/>
        <w:ind w:left="0" w:right="0" w:hanging="180"/>
        <w:jc w:val="both"/>
        <w:rPr/>
      </w:pPr>
      <w:r>
        <w:rPr>
          <w:rFonts w:ascii="Times New Roman;sans-serif" w:hAnsi="Times New Roman;sans-serif"/>
          <w:b w:val="false"/>
          <w:color w:val="000000"/>
          <w:sz w:val="10"/>
        </w:rPr>
        <w:t xml:space="preserve">(7) </w:t>
      </w:r>
      <w:r>
        <w:rPr>
          <w:rFonts w:ascii="Times New Roman;sans-serif" w:hAnsi="Times New Roman;sans-serif"/>
          <w:b w:val="false"/>
          <w:color w:val="000000"/>
          <w:sz w:val="16"/>
        </w:rPr>
        <w:t>Includes acquired intangible assets subject to amortization of $70.2 million with a weighted average amortization period of 14.6 years, consisting of trademarks and trade names, customer relationships and other intangible assets.</w:t>
      </w:r>
    </w:p>
    <w:p>
      <w:pPr>
        <w:pStyle w:val="TextBody"/>
        <w:spacing w:lineRule="auto" w:line="288" w:before="0" w:after="0"/>
        <w:ind w:left="0" w:right="0" w:hanging="180"/>
        <w:jc w:val="both"/>
        <w:rPr/>
      </w:pPr>
      <w:r>
        <w:rPr>
          <w:rFonts w:ascii="Times New Roman;sans-serif" w:hAnsi="Times New Roman;sans-serif"/>
          <w:b w:val="false"/>
          <w:color w:val="000000"/>
          <w:sz w:val="10"/>
        </w:rPr>
        <w:t xml:space="preserve">(8) </w:t>
      </w:r>
      <w:r>
        <w:rPr>
          <w:rFonts w:ascii="Times New Roman;sans-serif" w:hAnsi="Times New Roman;sans-serif"/>
          <w:b w:val="false"/>
          <w:color w:val="000000"/>
          <w:sz w:val="16"/>
        </w:rPr>
        <w:t>The purchase price allocation is preliminary as of December 31, 2022, subject to revision based on the final purchase price allocations to be finalized one year from the acquisition date.</w:t>
      </w:r>
    </w:p>
    <w:p>
      <w:pPr>
        <w:pStyle w:val="TextBody"/>
        <w:spacing w:before="0" w:after="0"/>
        <w:ind w:left="0" w:right="0" w:hanging="18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incurred $19.2 million of transaction costs, which were capitalized and allocated among the various fixed asset categories for purchases that meet the asset acquisition criteria. As of December 31, 2022, we also incurred $24.7 million of business combination expenses, which were expensed for acquisitions deemed to be business combinations.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revenues and Net income included in the Consolidated Statements of Operations for the year ended December 31, 2022 related to business combinations completed in 2022 are set forth in the following table (in millions):</w:t>
      </w:r>
    </w:p>
    <w:p>
      <w:pPr>
        <w:pStyle w:val="TextBody"/>
        <w:spacing w:before="0" w:after="0"/>
        <w:jc w:val="both"/>
        <w:rPr/>
      </w:pPr>
      <w:r>
        <w:rPr/>
      </w:r>
    </w:p>
    <w:tbl>
      <w:tblPr>
        <w:tblW w:w="3011" w:type="dxa"/>
        <w:jc w:val="left"/>
        <w:tblInd w:w="0" w:type="dxa"/>
        <w:tblCellMar>
          <w:top w:w="28" w:type="dxa"/>
          <w:left w:w="28" w:type="dxa"/>
          <w:bottom w:w="28" w:type="dxa"/>
          <w:right w:w="28" w:type="dxa"/>
        </w:tblCellMar>
      </w:tblPr>
      <w:tblGrid>
        <w:gridCol w:w="412"/>
        <w:gridCol w:w="362"/>
        <w:gridCol w:w="365"/>
        <w:gridCol w:w="109"/>
        <w:gridCol w:w="109"/>
        <w:gridCol w:w="109"/>
        <w:gridCol w:w="334"/>
        <w:gridCol w:w="950"/>
        <w:gridCol w:w="261"/>
      </w:tblGrid>
      <w:tr>
        <w:trPr/>
        <w:tc>
          <w:tcPr>
            <w:tcW w:w="41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r>
      <w:tr>
        <w:trPr/>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Year Ended</w:t>
            </w:r>
          </w:p>
        </w:tc>
      </w:tr>
      <w:tr>
        <w:trPr/>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1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353.6 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pro forma financial information presents the results of our operations for the year ended December 31, 2022, as if the properties combined through business combinations in 2022 had been acquired on January 1, 2021. The unaudited pro forma results reflect certain adjustments for items that are not expected to have a continuing impact, such as adjustments for transaction costs incurred, management fees and acquisition accounting.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presented below has been prepared for comparative purposes only and does not purport to be indicative of either future results of operations or the results of operations that would have actually occurred had the acquisitions been consummated on January 1, 2021 (in millions, except for per share data):</w:t>
      </w:r>
    </w:p>
    <w:p>
      <w:pPr>
        <w:pStyle w:val="TextBody"/>
        <w:spacing w:before="0" w:after="0"/>
        <w:jc w:val="both"/>
        <w:rPr/>
      </w:pPr>
      <w:r>
        <w:rPr/>
      </w:r>
    </w:p>
    <w:tbl>
      <w:tblPr>
        <w:tblW w:w="7550" w:type="dxa"/>
        <w:jc w:val="left"/>
        <w:tblInd w:w="0" w:type="dxa"/>
        <w:tblCellMar>
          <w:top w:w="28" w:type="dxa"/>
          <w:left w:w="28" w:type="dxa"/>
          <w:bottom w:w="28" w:type="dxa"/>
          <w:right w:w="28" w:type="dxa"/>
        </w:tblCellMar>
      </w:tblPr>
      <w:tblGrid>
        <w:gridCol w:w="1850"/>
        <w:gridCol w:w="1626"/>
        <w:gridCol w:w="1639"/>
        <w:gridCol w:w="109"/>
        <w:gridCol w:w="109"/>
        <w:gridCol w:w="109"/>
        <w:gridCol w:w="363"/>
        <w:gridCol w:w="1280"/>
        <w:gridCol w:w="202"/>
        <w:gridCol w:w="109"/>
        <w:gridCol w:w="154"/>
      </w:tblGrid>
      <w:tr>
        <w:trPr/>
        <w:tc>
          <w:tcPr>
            <w:tcW w:w="1850" w:type="dxa"/>
            <w:tcBorders/>
            <w:shd w:fill="auto" w:val="clear"/>
            <w:vAlign w:val="center"/>
          </w:tcPr>
          <w:p>
            <w:pPr>
              <w:pStyle w:val="TableContents"/>
              <w:spacing w:before="0" w:after="283"/>
              <w:rPr>
                <w:sz w:val="4"/>
                <w:szCs w:val="4"/>
              </w:rPr>
            </w:pPr>
            <w:r>
              <w:rPr>
                <w:sz w:val="4"/>
                <w:szCs w:val="4"/>
              </w:rPr>
            </w:r>
          </w:p>
        </w:tc>
        <w:tc>
          <w:tcPr>
            <w:tcW w:w="1626" w:type="dxa"/>
            <w:tcBorders/>
            <w:shd w:fill="auto" w:val="clear"/>
            <w:vAlign w:val="center"/>
          </w:tcPr>
          <w:p>
            <w:pPr>
              <w:pStyle w:val="TableContents"/>
              <w:spacing w:before="0" w:after="283"/>
              <w:rPr>
                <w:sz w:val="4"/>
                <w:szCs w:val="4"/>
              </w:rPr>
            </w:pPr>
            <w:r>
              <w:rPr>
                <w:sz w:val="4"/>
                <w:szCs w:val="4"/>
              </w:rPr>
            </w:r>
          </w:p>
        </w:tc>
        <w:tc>
          <w:tcPr>
            <w:tcW w:w="16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Year Ended (unaudited)</w:t>
            </w:r>
          </w:p>
        </w:tc>
        <w:tc>
          <w:tcPr>
            <w:tcW w:w="263" w:type="dxa"/>
            <w:gridSpan w:val="2"/>
            <w:tcBorders/>
            <w:shd w:fill="auto" w:val="clear"/>
          </w:tcPr>
          <w:p>
            <w:pPr>
              <w:pStyle w:val="TableContents"/>
              <w:spacing w:before="0" w:after="283"/>
              <w:rPr>
                <w:sz w:val="4"/>
                <w:szCs w:val="4"/>
              </w:rPr>
            </w:pPr>
            <w:r>
              <w:rPr>
                <w:sz w:val="4"/>
                <w:szCs w:val="4"/>
              </w:rPr>
            </w:r>
          </w:p>
        </w:tc>
      </w:tr>
      <w:tr>
        <w:trPr/>
        <w:tc>
          <w:tcPr>
            <w:tcW w:w="5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3,091.3 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attributable to SUI common shareholders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2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241.2 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per share attributable to SUI common shareholders - 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2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1.99 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per share attributable to SUI common shareholders -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2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1.99 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2022 Development and Expansion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we acquired six land parcels located in the U.S. and the UK for an aggregate purchase price of $26.2 million and two buildings and land parcels related to our marinas located in the U.S. for an aggregate purchase price of $13.9 million.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2022 Dispositions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2022, we sold an RV community containing 514 sites located in California for $15.0 million. The disposition resulted in a loss on sale of $0.8 million, inclusive of selling costs.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we sold two MH communities and one community containing MH and RV sites, each located in Florida, with a total of 323 sites for $29.5 million. The gain from the sale of the properties was $13.3 million.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4. Notes and Other Receivables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notes and other receivables (in millions):</w:t>
      </w:r>
    </w:p>
    <w:p>
      <w:pPr>
        <w:pStyle w:val="TextBody"/>
        <w:spacing w:before="0" w:after="0"/>
        <w:rPr/>
      </w:pPr>
      <w:r>
        <w:rPr/>
      </w:r>
    </w:p>
    <w:tbl>
      <w:tblPr>
        <w:tblW w:w="7286" w:type="dxa"/>
        <w:jc w:val="left"/>
        <w:tblInd w:w="0" w:type="dxa"/>
        <w:tblCellMar>
          <w:top w:w="28" w:type="dxa"/>
          <w:left w:w="28" w:type="dxa"/>
          <w:bottom w:w="28" w:type="dxa"/>
          <w:right w:w="28" w:type="dxa"/>
        </w:tblCellMar>
      </w:tblPr>
      <w:tblGrid>
        <w:gridCol w:w="1503"/>
        <w:gridCol w:w="1322"/>
        <w:gridCol w:w="1330"/>
        <w:gridCol w:w="287"/>
        <w:gridCol w:w="814"/>
        <w:gridCol w:w="159"/>
        <w:gridCol w:w="109"/>
        <w:gridCol w:w="109"/>
        <w:gridCol w:w="109"/>
        <w:gridCol w:w="334"/>
        <w:gridCol w:w="948"/>
        <w:gridCol w:w="262"/>
      </w:tblGrid>
      <w:tr>
        <w:trPr/>
        <w:tc>
          <w:tcPr>
            <w:tcW w:w="1503" w:type="dxa"/>
            <w:tcBorders/>
            <w:shd w:fill="auto" w:val="clear"/>
            <w:vAlign w:val="center"/>
          </w:tcPr>
          <w:p>
            <w:pPr>
              <w:pStyle w:val="TableContents"/>
              <w:spacing w:before="0" w:after="283"/>
              <w:rPr>
                <w:sz w:val="4"/>
                <w:szCs w:val="4"/>
              </w:rPr>
            </w:pPr>
            <w:r>
              <w:rPr>
                <w:sz w:val="4"/>
                <w:szCs w:val="4"/>
              </w:rPr>
            </w:r>
          </w:p>
        </w:tc>
        <w:tc>
          <w:tcPr>
            <w:tcW w:w="1322" w:type="dxa"/>
            <w:tcBorders/>
            <w:shd w:fill="auto" w:val="clear"/>
            <w:vAlign w:val="center"/>
          </w:tcPr>
          <w:p>
            <w:pPr>
              <w:pStyle w:val="TableContents"/>
              <w:spacing w:before="0" w:after="283"/>
              <w:rPr>
                <w:sz w:val="4"/>
                <w:szCs w:val="4"/>
              </w:rPr>
            </w:pPr>
            <w:r>
              <w:rPr>
                <w:sz w:val="4"/>
                <w:szCs w:val="4"/>
              </w:rPr>
            </w:r>
          </w:p>
        </w:tc>
        <w:tc>
          <w:tcPr>
            <w:tcW w:w="1330"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Installment notes receivable on manufactured homes, net</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65.9 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Notes receivable from real estate developers and operators</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435.0 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305.2 </w:t>
            </w:r>
          </w:p>
        </w:tc>
        <w:tc>
          <w:tcPr>
            <w:tcW w:w="2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receivables, net</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219.5 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246.2 </w:t>
            </w:r>
          </w:p>
        </w:tc>
        <w:tc>
          <w:tcPr>
            <w:tcW w:w="2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Notes and Other Receivables, net</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716.7 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617.3 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Installment Notes Receivable on Manufactured Homes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Installment notes receivable are measured at fair value, using indicative pricing models from third party valuation specialists, in accordance with ASC Topic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The balances of installment notes receivable of $62.2 million (net of fair value adjustment of $3.1 million) and $65.9 million (net of fair value adjustment of $1.4 million) as of March 31, 2023 and December 31, 2022, respectively, are secured by manufactured homes. The notes represent financing to purchasers of manufactured homes located in our communities and require monthly principal and interest payments. The notes had a net weighted average interest rate (net of servicing costs) and maturity of 7.6% and 13.6 years as of March 31, 2023, and 7.6% and 13.8 years as of December 31, 2022, respectively. Refer to Note 15, "Fair Value of Financial Instruments," for additional detail.</w:t>
      </w:r>
    </w:p>
    <w:tbl>
      <w:tblPr>
        <w:tblW w:w="1368"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Notes Receivable from Real Estate Developers and Operators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Notes receivable from real estate developers and operators are measured at fair value, using indicative pricing models from third party valuation specialists, in accordance with ASC Topic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As of March 31, 2023 and December 31, 2022, the notes receivable balances include a fully drawn loan provided to a real estate operator to fund investing and financing activities totaling $341.1 million with a net weighted average interest rate and maturity of 11.6% and 0.2 years as of March 31, 2023, and totaling $217.6 million with a net weighted average interest rate and maturity of 15.3% and 0.1 years as of December 31, 2022. The additional acquisition and construction loans provided to real estate developers total $93.9 million with a net weighted average interest rate and maturity of 8.5% and 2.4 years as of March 31, 2023, and total $87.6 million with a net weighted average interest rate and maturity of 7.8% and 2.3 years as of December 31, 2022, respectively. As of March 31, 2023, the additional acquisition and construction loans provided to real estate developers have $41.3 million of undrawn funds.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adjustments to the fair value of notes receivable from real estate developers and operators for the three months ended March 31, 2023 and 2022. Refer to Note 15, "Fair Value of Financial Instruments," for additional information.</w:t>
      </w:r>
    </w:p>
    <w:tbl>
      <w:tblPr>
        <w:tblW w:w="1368"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Receivables, net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receivables, net were comprised of amounts due from the following categories (in millions):</w:t>
      </w:r>
    </w:p>
    <w:p>
      <w:pPr>
        <w:pStyle w:val="TextBody"/>
        <w:spacing w:before="0" w:after="0"/>
        <w:jc w:val="both"/>
        <w:rPr/>
      </w:pPr>
      <w:r>
        <w:rPr/>
      </w:r>
    </w:p>
    <w:tbl>
      <w:tblPr>
        <w:tblW w:w="9881" w:type="dxa"/>
        <w:jc w:val="left"/>
        <w:tblInd w:w="0" w:type="dxa"/>
        <w:tblCellMar>
          <w:top w:w="28" w:type="dxa"/>
          <w:left w:w="28" w:type="dxa"/>
          <w:bottom w:w="28" w:type="dxa"/>
          <w:right w:w="28" w:type="dxa"/>
        </w:tblCellMar>
      </w:tblPr>
      <w:tblGrid>
        <w:gridCol w:w="2445"/>
        <w:gridCol w:w="2150"/>
        <w:gridCol w:w="2155"/>
        <w:gridCol w:w="287"/>
        <w:gridCol w:w="814"/>
        <w:gridCol w:w="159"/>
        <w:gridCol w:w="109"/>
        <w:gridCol w:w="109"/>
        <w:gridCol w:w="109"/>
        <w:gridCol w:w="334"/>
        <w:gridCol w:w="948"/>
        <w:gridCol w:w="262"/>
      </w:tblGrid>
      <w:tr>
        <w:trPr/>
        <w:tc>
          <w:tcPr>
            <w:tcW w:w="2445" w:type="dxa"/>
            <w:tcBorders/>
            <w:shd w:fill="auto" w:val="clear"/>
            <w:vAlign w:val="center"/>
          </w:tcPr>
          <w:p>
            <w:pPr>
              <w:pStyle w:val="TableContents"/>
              <w:spacing w:before="0" w:after="283"/>
              <w:rPr>
                <w:sz w:val="4"/>
                <w:szCs w:val="4"/>
              </w:rPr>
            </w:pPr>
            <w:r>
              <w:rPr>
                <w:sz w:val="4"/>
                <w:szCs w:val="4"/>
              </w:rPr>
            </w:r>
          </w:p>
        </w:tc>
        <w:tc>
          <w:tcPr>
            <w:tcW w:w="2150" w:type="dxa"/>
            <w:tcBorders/>
            <w:shd w:fill="auto" w:val="clear"/>
            <w:vAlign w:val="center"/>
          </w:tcPr>
          <w:p>
            <w:pPr>
              <w:pStyle w:val="TableContents"/>
              <w:spacing w:before="0" w:after="283"/>
              <w:rPr>
                <w:sz w:val="4"/>
                <w:szCs w:val="4"/>
              </w:rPr>
            </w:pPr>
            <w:r>
              <w:rPr>
                <w:sz w:val="4"/>
                <w:szCs w:val="4"/>
              </w:rPr>
            </w:r>
          </w:p>
        </w:tc>
        <w:tc>
          <w:tcPr>
            <w:tcW w:w="2155"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r>
      <w:tr>
        <w:trPr/>
        <w:tc>
          <w:tcPr>
            <w:tcW w:w="6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6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Insurance receivables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78.5 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Marina customers for storage, service and lease payments, net</w:t>
            </w:r>
            <w:r>
              <w:rPr>
                <w:rFonts w:ascii="Times New Roman;sans-serif" w:hAnsi="Times New Roman;sans-serif"/>
                <w:b w:val="false"/>
                <w:color w:val="000000"/>
                <w:sz w:val="11"/>
              </w:rPr>
              <w:t>(1)</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40.0 </w:t>
            </w:r>
          </w:p>
        </w:tc>
        <w:tc>
          <w:tcPr>
            <w:tcW w:w="2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17"/>
              </w:rPr>
            </w:pPr>
            <w:r>
              <w:rPr>
                <w:rFonts w:ascii="Times New Roman;sans-serif" w:hAnsi="Times New Roman;sans-serif"/>
                <w:b w:val="false"/>
                <w:color w:val="000000"/>
                <w:sz w:val="17"/>
              </w:rPr>
              <w:t>Home sale proceeds</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31.8 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28.9 </w:t>
            </w:r>
          </w:p>
        </w:tc>
        <w:tc>
          <w:tcPr>
            <w:tcW w:w="2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MH and annual RV residents for rent, utility charges, fees and other pass-through charges, net</w:t>
            </w:r>
            <w:r>
              <w:rPr>
                <w:rFonts w:ascii="Times New Roman;sans-serif" w:hAnsi="Times New Roman;sans-serif"/>
                <w:b w:val="false"/>
                <w:color w:val="000000"/>
                <w:sz w:val="11"/>
              </w:rPr>
              <w:t>(2)</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61.5 </w:t>
            </w:r>
          </w:p>
        </w:tc>
        <w:tc>
          <w:tcPr>
            <w:tcW w:w="2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Other receivables</w:t>
            </w:r>
            <w:r>
              <w:rPr>
                <w:rFonts w:ascii="Times New Roman;sans-serif" w:hAnsi="Times New Roman;sans-serif"/>
                <w:b w:val="false"/>
                <w:color w:val="000000"/>
                <w:sz w:val="11"/>
              </w:rPr>
              <w:t>(3)</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37.3 </w:t>
            </w:r>
          </w:p>
        </w:tc>
        <w:tc>
          <w:tcPr>
            <w:tcW w:w="2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Other Receivables, net</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219.5 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246.2 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60"/>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Net of allowance of $2.4 million and $2.2 million as of March 31, 2023 and December 31, 2022, respectively.</w:t>
      </w:r>
    </w:p>
    <w:p>
      <w:pPr>
        <w:pStyle w:val="TextBody"/>
        <w:spacing w:lineRule="auto" w:line="288" w:before="0" w:after="60"/>
        <w:ind w:left="0" w:right="0" w:hanging="18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Net of allowance of $4.9 million and $5.9 million as of March 31, 2023 and December 31, 2022, respectively.</w:t>
      </w:r>
    </w:p>
    <w:p>
      <w:pPr>
        <w:pStyle w:val="TextBody"/>
        <w:spacing w:lineRule="auto" w:line="288" w:before="0" w:after="0"/>
        <w:ind w:left="0" w:right="0" w:hanging="180"/>
        <w:jc w:val="both"/>
        <w:rPr/>
      </w:pPr>
      <w:r>
        <w:rPr>
          <w:rFonts w:ascii="Times New Roman;sans-serif" w:hAnsi="Times New Roman;sans-serif"/>
          <w:b w:val="false"/>
          <w:color w:val="000000"/>
          <w:sz w:val="10"/>
        </w:rPr>
        <w:t>(3)</w:t>
      </w:r>
      <w:r>
        <w:rPr>
          <w:rFonts w:ascii="Times New Roman;sans-serif" w:hAnsi="Times New Roman;sans-serif"/>
          <w:b w:val="false"/>
          <w:color w:val="000000"/>
          <w:sz w:val="16"/>
        </w:rPr>
        <w:t>Includes receivable from Rezplot Systems LLC, a nonconsolidated affiliate, in which we had 49.1% and 48.9% ownership interest as of March 31, 2023 and December 31, 2022, respectively. In June 2020, we made a convertible secured loan to Rezplot Systems LLC. The note allows for a principal amount of up to $10.0 million to be drawn down over a period of three years, bears an interest rate of 3.0% and is secured by all the assets of Rezplot Systems LLC. In January 2022, we made an additional loan to Rezplot Systems LLC that allows for a principal amount of up to $5.0 million to be drawn over a period of three years and bears an interest rate of 3.0%. The outstanding balances were $12.3 million and $12.7 million as of March 31, 2023 and December 31, 2022, respectively. Refer to Note 6, "Investments in Nonconsolidated Affiliates," for additional information on Rezplot Systems LLC.</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lineRule="auto" w:line="288" w:before="0" w:after="0"/>
        <w:ind w:left="0" w:right="0" w:hanging="540"/>
        <w:rPr>
          <w:rFonts w:ascii="Times New Roman;sans-serif" w:hAnsi="Times New Roman;sans-serif"/>
          <w:b/>
          <w:color w:val="000000"/>
          <w:sz w:val="20"/>
        </w:rPr>
      </w:pPr>
      <w:r>
        <w:rPr>
          <w:rFonts w:ascii="Times New Roman;sans-serif" w:hAnsi="Times New Roman;sans-serif"/>
          <w:b/>
          <w:color w:val="000000"/>
          <w:sz w:val="20"/>
        </w:rPr>
        <w:t>5. Goodwill and Other Intangible Assets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intangible assets include goodwill, in-place leases, non-competition agreements, trademarks and trade names, customer relationships, franchise agreements and other intangible assets. These intangible assets are recorded in Goodwill and Other intangible assets, net on the Consolidated Balance Sheets.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measurement periods for the valuation of assets acquired and liabilities assumed in a business combination end as soon as information on the facts and circumstances that existed as of the acquisition dates becomes available but do not exceed 12 months. Adjustments in purchase price allocations may require a change in the amounts allocated to goodwill during the periods in which the adjustments are determined. These purchase accounting adjustments are presented under Other in the table below. Changes in the carrying amount of goodwill during the three months ended March 31, 2023 by reportable segment were as follows (in millions):</w:t>
      </w:r>
    </w:p>
    <w:p>
      <w:pPr>
        <w:pStyle w:val="TextBody"/>
        <w:spacing w:before="0" w:after="0"/>
        <w:jc w:val="both"/>
        <w:rPr/>
      </w:pPr>
      <w:r>
        <w:rPr/>
      </w:r>
    </w:p>
    <w:tbl>
      <w:tblPr>
        <w:tblW w:w="8074" w:type="dxa"/>
        <w:jc w:val="left"/>
        <w:tblInd w:w="0" w:type="dxa"/>
        <w:tblCellMar>
          <w:top w:w="28" w:type="dxa"/>
          <w:left w:w="28" w:type="dxa"/>
          <w:bottom w:w="28" w:type="dxa"/>
          <w:right w:w="28" w:type="dxa"/>
        </w:tblCellMar>
      </w:tblPr>
      <w:tblGrid>
        <w:gridCol w:w="266"/>
        <w:gridCol w:w="234"/>
        <w:gridCol w:w="236"/>
        <w:gridCol w:w="295"/>
        <w:gridCol w:w="1041"/>
        <w:gridCol w:w="164"/>
        <w:gridCol w:w="109"/>
        <w:gridCol w:w="109"/>
        <w:gridCol w:w="109"/>
        <w:gridCol w:w="109"/>
        <w:gridCol w:w="109"/>
        <w:gridCol w:w="650"/>
        <w:gridCol w:w="1548"/>
        <w:gridCol w:w="366"/>
        <w:gridCol w:w="109"/>
        <w:gridCol w:w="109"/>
        <w:gridCol w:w="109"/>
        <w:gridCol w:w="196"/>
        <w:gridCol w:w="466"/>
        <w:gridCol w:w="109"/>
        <w:gridCol w:w="109"/>
        <w:gridCol w:w="109"/>
        <w:gridCol w:w="109"/>
        <w:gridCol w:w="245"/>
        <w:gridCol w:w="866"/>
        <w:gridCol w:w="193"/>
      </w:tblGrid>
      <w:tr>
        <w:trPr/>
        <w:tc>
          <w:tcPr>
            <w:tcW w:w="26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548"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Currency Translation Adjustment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7"/>
              </w:rPr>
              <w:t>Other</w:t>
            </w:r>
            <w:r>
              <w:rPr>
                <w:rFonts w:ascii="Times New Roman;sans-serif" w:hAnsi="Times New Roman;sans-serif"/>
                <w:b w:val="false"/>
                <w:color w:val="000000"/>
                <w:sz w:val="11"/>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r>
      <w:tr>
        <w:trPr/>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Segment</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MH</w:t>
            </w:r>
          </w:p>
        </w:tc>
        <w:tc>
          <w:tcPr>
            <w:tcW w:w="29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467.4 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541.6 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RV</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Marina</w:t>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541.5 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541.5 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1,018.4 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1,092.6 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During the three months ended March 31, 2023, adjustments in purchase price allocations resulted in the recognition of additional goodwill of $62.0 million in the MH segment, related to the Park Leisure business combination.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Intangible Assets, net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gross carrying amounts and accumulated amortization of our intangible assets were as follows (in millions):</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905"/>
        <w:gridCol w:w="692"/>
        <w:gridCol w:w="619"/>
        <w:gridCol w:w="109"/>
        <w:gridCol w:w="109"/>
        <w:gridCol w:w="109"/>
        <w:gridCol w:w="337"/>
        <w:gridCol w:w="299"/>
        <w:gridCol w:w="301"/>
        <w:gridCol w:w="109"/>
        <w:gridCol w:w="109"/>
        <w:gridCol w:w="109"/>
        <w:gridCol w:w="281"/>
        <w:gridCol w:w="798"/>
        <w:gridCol w:w="156"/>
        <w:gridCol w:w="109"/>
        <w:gridCol w:w="109"/>
        <w:gridCol w:w="109"/>
        <w:gridCol w:w="322"/>
        <w:gridCol w:w="942"/>
        <w:gridCol w:w="181"/>
        <w:gridCol w:w="109"/>
        <w:gridCol w:w="109"/>
        <w:gridCol w:w="109"/>
        <w:gridCol w:w="281"/>
        <w:gridCol w:w="798"/>
        <w:gridCol w:w="156"/>
        <w:gridCol w:w="109"/>
        <w:gridCol w:w="109"/>
        <w:gridCol w:w="109"/>
        <w:gridCol w:w="316"/>
        <w:gridCol w:w="925"/>
        <w:gridCol w:w="261"/>
      </w:tblGrid>
      <w:tr>
        <w:trPr/>
        <w:tc>
          <w:tcPr>
            <w:tcW w:w="905"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r>
      <w:tr>
        <w:trPr/>
        <w:tc>
          <w:tcPr>
            <w:tcW w:w="2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2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Other Intangible Asset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Useful Life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Gross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Accumulated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Gross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Accumulated Amortization</w:t>
            </w:r>
          </w:p>
        </w:tc>
      </w:tr>
      <w:tr>
        <w:trPr/>
        <w:tc>
          <w:tcPr>
            <w:tcW w:w="22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In-place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2 months - 13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(139.0)</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(135.4)</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Non-competition agreements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5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Trademarks and trade names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3 - 15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Customer relationships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4 - 17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(27.8)</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(24.7)</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Franchise agreements and other 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1 - 27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finite-lived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437.3 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(188.1)</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437.2 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(178.6)</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Indefinite-lived assets - Trademarks and trade names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140.9 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Indefinite-lived assets -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indefinite-lived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580.8 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(188.1)</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580.6 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(178.6)</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expenses related to our Other intangible assets were as follows (in millions):</w:t>
      </w:r>
    </w:p>
    <w:p>
      <w:pPr>
        <w:pStyle w:val="TextBody"/>
        <w:spacing w:before="0" w:after="0"/>
        <w:jc w:val="both"/>
        <w:rPr/>
      </w:pPr>
      <w:r>
        <w:rPr/>
      </w:r>
    </w:p>
    <w:tbl>
      <w:tblPr>
        <w:tblW w:w="7057" w:type="dxa"/>
        <w:jc w:val="left"/>
        <w:tblInd w:w="0" w:type="dxa"/>
        <w:tblCellMar>
          <w:top w:w="28" w:type="dxa"/>
          <w:left w:w="28" w:type="dxa"/>
          <w:bottom w:w="28" w:type="dxa"/>
          <w:right w:w="28" w:type="dxa"/>
        </w:tblCellMar>
      </w:tblPr>
      <w:tblGrid>
        <w:gridCol w:w="1233"/>
        <w:gridCol w:w="1084"/>
        <w:gridCol w:w="1087"/>
        <w:gridCol w:w="109"/>
        <w:gridCol w:w="109"/>
        <w:gridCol w:w="109"/>
        <w:gridCol w:w="362"/>
        <w:gridCol w:w="696"/>
        <w:gridCol w:w="201"/>
        <w:gridCol w:w="109"/>
        <w:gridCol w:w="109"/>
        <w:gridCol w:w="109"/>
        <w:gridCol w:w="362"/>
        <w:gridCol w:w="696"/>
        <w:gridCol w:w="201"/>
        <w:gridCol w:w="109"/>
        <w:gridCol w:w="109"/>
        <w:gridCol w:w="109"/>
        <w:gridCol w:w="154"/>
      </w:tblGrid>
      <w:tr>
        <w:trPr/>
        <w:tc>
          <w:tcPr>
            <w:tcW w:w="1233"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Other Intangible Asset Amortization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In-place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Non-competition agreements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Trademarks and trade names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Customer relationships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Franchise fees and other 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amortization expense for Other intangible assets to be as follows for the next five years (in millions):</w:t>
      </w:r>
    </w:p>
    <w:p>
      <w:pPr>
        <w:pStyle w:val="TextBody"/>
        <w:spacing w:before="0" w:after="0"/>
        <w:jc w:val="both"/>
        <w:rPr/>
      </w:pPr>
      <w:r>
        <w:rPr/>
      </w:r>
    </w:p>
    <w:tbl>
      <w:tblPr>
        <w:tblW w:w="9205" w:type="dxa"/>
        <w:jc w:val="left"/>
        <w:tblInd w:w="0" w:type="dxa"/>
        <w:tblCellMar>
          <w:top w:w="28" w:type="dxa"/>
          <w:left w:w="28" w:type="dxa"/>
          <w:bottom w:w="28" w:type="dxa"/>
          <w:right w:w="28" w:type="dxa"/>
        </w:tblCellMar>
      </w:tblPr>
      <w:tblGrid>
        <w:gridCol w:w="1252"/>
        <w:gridCol w:w="1101"/>
        <w:gridCol w:w="1111"/>
        <w:gridCol w:w="331"/>
        <w:gridCol w:w="788"/>
        <w:gridCol w:w="185"/>
        <w:gridCol w:w="109"/>
        <w:gridCol w:w="109"/>
        <w:gridCol w:w="109"/>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54"/>
      </w:tblGrid>
      <w:tr>
        <w:trPr/>
        <w:tc>
          <w:tcPr>
            <w:tcW w:w="1252"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Remainder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2027</w:t>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In-place leases</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Non-competition agreements</w:t>
            </w:r>
          </w:p>
        </w:tc>
        <w:tc>
          <w:tcPr>
            <w:tcW w:w="11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Trademarks and trade names</w:t>
            </w:r>
          </w:p>
        </w:tc>
        <w:tc>
          <w:tcPr>
            <w:tcW w:w="11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Customer relationships</w:t>
            </w:r>
          </w:p>
        </w:tc>
        <w:tc>
          <w:tcPr>
            <w:tcW w:w="11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Franchise agreements and other intangible assets</w:t>
            </w:r>
          </w:p>
        </w:tc>
        <w:tc>
          <w:tcPr>
            <w:tcW w:w="11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25.7 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 xml:space="preserve">6. Investments in Nonconsolidated Affiliates </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Investments in joint ventures that are not consolidated, nor recorded at cost, are accounted for using the equity method of accounting as prescribed in ASC Topic 323, "</w:t>
      </w:r>
      <w:r>
        <w:rPr>
          <w:rFonts w:ascii="Times New Roman;sans-serif" w:hAnsi="Times New Roman;sans-serif"/>
          <w:b w:val="false"/>
          <w:i/>
          <w:color w:val="000000"/>
          <w:sz w:val="20"/>
        </w:rPr>
        <w:t>Investments - Equity Method and Joint Ventures</w:t>
      </w:r>
      <w:r>
        <w:rPr>
          <w:rFonts w:ascii="Times New Roman;sans-serif" w:hAnsi="Times New Roman;sans-serif"/>
          <w:b w:val="false"/>
          <w:color w:val="000000"/>
          <w:sz w:val="20"/>
        </w:rPr>
        <w:t>." Investments in nonconsolidated affiliates are recorded within Other assets, net on the Consolidated Balance Sheets. Equity income and loss are recorded in the Income / (loss) from nonconsolidated affiliates line item on the Consolidated Statements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RezPlot Systems LLC ("Rezplot")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and December 31, 2022, we had a 49.1% and 48.9% ownership interest, respectively, in RezPlot, a RV reservation software technology company, which interest we acquired in January 2019.</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Sungenia Joint Venture ("Sungenia JV")</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and December 31, 2022, we had a 50.0% ownership interest in Sungenia JV, a joint venture formed between us and Ingenia Communities Group in November 2018, to establish and grow a manufactured housing community development program in Australia.</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 xml:space="preserve">GTSC LLC </w:t>
      </w:r>
      <w:r>
        <w:rPr>
          <w:rFonts w:ascii="Times New Roman;sans-serif" w:hAnsi="Times New Roman;sans-serif"/>
          <w:b w:val="false"/>
          <w:color w:val="000000"/>
          <w:sz w:val="20"/>
        </w:rPr>
        <w:t>(</w:t>
      </w:r>
      <w:r>
        <w:rPr>
          <w:rFonts w:ascii="Times New Roman;sans-serif" w:hAnsi="Times New Roman;sans-serif"/>
          <w:b w:val="false"/>
          <w:i/>
          <w:color w:val="000000"/>
          <w:sz w:val="20"/>
        </w:rPr>
        <w:t>"GTSC"</w:t>
      </w:r>
      <w:r>
        <w:rPr>
          <w:rFonts w:ascii="Times New Roman;sans-serif" w:hAnsi="Times New Roman;sans-serif"/>
          <w:b w:val="false"/>
          <w:color w:val="000000"/>
          <w:sz w:val="20"/>
        </w:rPr>
        <w: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and December 31, 2022, we had a 40.0% ownership interest in GTSC, which engages in acquiring, holding and selling loans secured, directly or indirectly, by manufactured homes located in our communities.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SV Lift, LLC ("SV Lift")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and December 31, 2022, we had a 50.0% ownership interest in SV Lift, which owns, operates and leases an aircraft.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investment balance in each nonconsolidated affiliate was as follows (in millions):</w:t>
      </w:r>
    </w:p>
    <w:p>
      <w:pPr>
        <w:pStyle w:val="TextBody"/>
        <w:spacing w:before="0" w:after="0"/>
        <w:jc w:val="both"/>
        <w:rPr/>
      </w:pPr>
      <w:r>
        <w:rPr/>
      </w:r>
    </w:p>
    <w:tbl>
      <w:tblPr>
        <w:tblW w:w="5438" w:type="dxa"/>
        <w:jc w:val="center"/>
        <w:tblInd w:w="0" w:type="dxa"/>
        <w:tblCellMar>
          <w:top w:w="28" w:type="dxa"/>
          <w:left w:w="28" w:type="dxa"/>
          <w:bottom w:w="28" w:type="dxa"/>
          <w:right w:w="28" w:type="dxa"/>
        </w:tblCellMar>
      </w:tblPr>
      <w:tblGrid>
        <w:gridCol w:w="717"/>
        <w:gridCol w:w="629"/>
        <w:gridCol w:w="634"/>
        <w:gridCol w:w="109"/>
        <w:gridCol w:w="109"/>
        <w:gridCol w:w="109"/>
        <w:gridCol w:w="320"/>
        <w:gridCol w:w="762"/>
        <w:gridCol w:w="178"/>
        <w:gridCol w:w="109"/>
        <w:gridCol w:w="109"/>
        <w:gridCol w:w="109"/>
        <w:gridCol w:w="334"/>
        <w:gridCol w:w="948"/>
        <w:gridCol w:w="262"/>
      </w:tblGrid>
      <w:tr>
        <w:trPr/>
        <w:tc>
          <w:tcPr>
            <w:tcW w:w="717"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Investment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in RezPlot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in Sungenia JV</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45.1 </w:t>
            </w:r>
          </w:p>
        </w:tc>
        <w:tc>
          <w:tcPr>
            <w:tcW w:w="1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44.5 </w:t>
            </w:r>
          </w:p>
        </w:tc>
        <w:tc>
          <w:tcPr>
            <w:tcW w:w="2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in GTSC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40.8 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54.5 </w:t>
            </w:r>
          </w:p>
        </w:tc>
        <w:tc>
          <w:tcPr>
            <w:tcW w:w="2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in SV Lift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2.3 </w:t>
            </w:r>
          </w:p>
        </w:tc>
        <w:tc>
          <w:tcPr>
            <w:tcW w:w="2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88.1 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101.3 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income / (loss) from each nonconsolidated affiliate is as follows (in millions):</w:t>
      </w:r>
    </w:p>
    <w:p>
      <w:pPr>
        <w:pStyle w:val="TextBody"/>
        <w:spacing w:before="0" w:after="0"/>
        <w:jc w:val="both"/>
        <w:rPr/>
      </w:pPr>
      <w:r>
        <w:rPr/>
      </w:r>
    </w:p>
    <w:tbl>
      <w:tblPr>
        <w:tblW w:w="7657" w:type="dxa"/>
        <w:jc w:val="center"/>
        <w:tblInd w:w="0" w:type="dxa"/>
        <w:tblCellMar>
          <w:top w:w="28" w:type="dxa"/>
          <w:left w:w="28" w:type="dxa"/>
          <w:bottom w:w="28" w:type="dxa"/>
          <w:right w:w="28" w:type="dxa"/>
        </w:tblCellMar>
      </w:tblPr>
      <w:tblGrid>
        <w:gridCol w:w="1449"/>
        <w:gridCol w:w="1276"/>
        <w:gridCol w:w="1279"/>
        <w:gridCol w:w="109"/>
        <w:gridCol w:w="109"/>
        <w:gridCol w:w="109"/>
        <w:gridCol w:w="326"/>
        <w:gridCol w:w="752"/>
        <w:gridCol w:w="181"/>
        <w:gridCol w:w="109"/>
        <w:gridCol w:w="109"/>
        <w:gridCol w:w="109"/>
        <w:gridCol w:w="326"/>
        <w:gridCol w:w="752"/>
        <w:gridCol w:w="181"/>
        <w:gridCol w:w="109"/>
        <w:gridCol w:w="109"/>
        <w:gridCol w:w="109"/>
        <w:gridCol w:w="154"/>
      </w:tblGrid>
      <w:tr>
        <w:trPr/>
        <w:tc>
          <w:tcPr>
            <w:tcW w:w="1449"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0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Income / (Loss) from Nonconsolidated Affiliates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RezPlot equity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Sungenia JV equity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GTSC equity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SV Lift equity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Income / (Loss) from Nonconsolidated Affiliates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before="0" w:after="0"/>
        <w:jc w:val="center"/>
        <w:rPr/>
      </w:pPr>
      <w:r>
        <w:rPr/>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change in the GTSC investment balance is as follows (in millions):</w:t>
      </w:r>
    </w:p>
    <w:p>
      <w:pPr>
        <w:pStyle w:val="TextBody"/>
        <w:spacing w:before="0" w:after="0"/>
        <w:jc w:val="both"/>
        <w:rPr/>
      </w:pPr>
      <w:r>
        <w:rPr/>
      </w:r>
    </w:p>
    <w:tbl>
      <w:tblPr>
        <w:tblW w:w="5408" w:type="dxa"/>
        <w:jc w:val="left"/>
        <w:tblInd w:w="0" w:type="dxa"/>
        <w:tblCellMar>
          <w:top w:w="28" w:type="dxa"/>
          <w:left w:w="28" w:type="dxa"/>
          <w:bottom w:w="28" w:type="dxa"/>
          <w:right w:w="28" w:type="dxa"/>
        </w:tblCellMar>
      </w:tblPr>
      <w:tblGrid>
        <w:gridCol w:w="580"/>
        <w:gridCol w:w="511"/>
        <w:gridCol w:w="513"/>
        <w:gridCol w:w="109"/>
        <w:gridCol w:w="109"/>
        <w:gridCol w:w="109"/>
        <w:gridCol w:w="408"/>
        <w:gridCol w:w="970"/>
        <w:gridCol w:w="227"/>
        <w:gridCol w:w="109"/>
        <w:gridCol w:w="109"/>
        <w:gridCol w:w="109"/>
        <w:gridCol w:w="371"/>
        <w:gridCol w:w="883"/>
        <w:gridCol w:w="291"/>
      </w:tblGrid>
      <w:tr>
        <w:trPr/>
        <w:tc>
          <w:tcPr>
            <w:tcW w:w="58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Year Ended</w:t>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1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Beginning balance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54.5 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35.7 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16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Contributions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37.4 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(22.5)</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 earnings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Fair value adjustment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Ending Balance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40.8 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54.5 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the Sungenia JV investment balance is as follows (in millions):</w:t>
      </w:r>
    </w:p>
    <w:p>
      <w:pPr>
        <w:pStyle w:val="TextBody"/>
        <w:spacing w:before="0" w:after="0"/>
        <w:rPr/>
      </w:pPr>
      <w:r>
        <w:rPr/>
      </w:r>
    </w:p>
    <w:tbl>
      <w:tblPr>
        <w:tblW w:w="6278" w:type="dxa"/>
        <w:jc w:val="left"/>
        <w:tblInd w:w="0" w:type="dxa"/>
        <w:tblCellMar>
          <w:top w:w="28" w:type="dxa"/>
          <w:left w:w="28" w:type="dxa"/>
          <w:bottom w:w="28" w:type="dxa"/>
          <w:right w:w="28" w:type="dxa"/>
        </w:tblCellMar>
      </w:tblPr>
      <w:tblGrid>
        <w:gridCol w:w="895"/>
        <w:gridCol w:w="788"/>
        <w:gridCol w:w="791"/>
        <w:gridCol w:w="109"/>
        <w:gridCol w:w="109"/>
        <w:gridCol w:w="109"/>
        <w:gridCol w:w="408"/>
        <w:gridCol w:w="970"/>
        <w:gridCol w:w="227"/>
        <w:gridCol w:w="109"/>
        <w:gridCol w:w="109"/>
        <w:gridCol w:w="109"/>
        <w:gridCol w:w="371"/>
        <w:gridCol w:w="883"/>
        <w:gridCol w:w="291"/>
      </w:tblGrid>
      <w:tr>
        <w:trPr/>
        <w:tc>
          <w:tcPr>
            <w:tcW w:w="895"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2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Year Ended</w:t>
            </w:r>
          </w:p>
        </w:tc>
      </w:tr>
      <w:tr>
        <w:trPr/>
        <w:tc>
          <w:tcPr>
            <w:tcW w:w="2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Beginning balance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44.5 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36.2 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Cumulative translation adjustment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Contributions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 earnings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Ending Balance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45.1 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44.5 </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540"/>
        <w:rPr>
          <w:rFonts w:ascii="Times New Roman;sans-serif" w:hAnsi="Times New Roman;sans-serif"/>
          <w:b/>
          <w:color w:val="000000"/>
          <w:sz w:val="20"/>
        </w:rPr>
      </w:pPr>
      <w:r>
        <w:rPr>
          <w:rFonts w:ascii="Times New Roman;sans-serif" w:hAnsi="Times New Roman;sans-serif"/>
          <w:b/>
          <w:color w:val="000000"/>
          <w:sz w:val="20"/>
        </w:rPr>
        <w:t xml:space="preserve">7. Consolidated Variable Interest Entities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The Operating Partnership</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We consolidate the Operating Partnership under the guidance set forth in ASC 810, "</w:t>
      </w:r>
      <w:r>
        <w:rPr>
          <w:rFonts w:ascii="Times New Roman;sans-serif" w:hAnsi="Times New Roman;sans-serif"/>
          <w:b w:val="false"/>
          <w:i/>
          <w:color w:val="000000"/>
          <w:sz w:val="20"/>
        </w:rPr>
        <w:t>Consolidation</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We evaluated whether the Operating Partnership met the criteria for classification as a variable interest entity ("VIE") or, alternatively, as a voting interest entity and concluded that the Operating Partnership met the criteria of a VIE. Our significant asset is our investment in the Operating Partnership, and consequently, substantially all of our assets and liabilities represent those assets and liabilities of the Operating Partnership. We are the sole general partner and generally have the power to manage and have complete control over the Operating Partnership and the obligation to absorb its losses or the right to receive its benefits.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Consolidated VIEs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We consolidate Sun NG RV Resorts LLC ("Sun NG Resorts"), Sun NG Whitewater RV Resorts LLC, Sun NG Beaver Brook LLC, FPG Sun Menifee 80 LLC, Solar Energy Project LLC, Solar Energy Project CA II LLC, Solar Energy Project III LLC and FPG Sun Moreno Valley 66 LLC under the guidance set forth in ASC Topic 810, "</w:t>
      </w:r>
      <w:r>
        <w:rPr>
          <w:rFonts w:ascii="Times New Roman;sans-serif" w:hAnsi="Times New Roman;sans-serif"/>
          <w:b w:val="false"/>
          <w:i/>
          <w:color w:val="000000"/>
          <w:sz w:val="20"/>
        </w:rPr>
        <w:t>Consolidation</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We concluded that each entity is a VIE where we are the primary beneficiary, as we have the power to direct the significant activities of and absorb the significant losses and receive the significant benefits from each entity. Refer to Note 8, "Debt and Line of Credit," and Note 9, "Equity and Temporary Equity," for additional information on Sun NG Resorts.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assets and liabilities of our consolidated VIEs, with the exception of the Operating Partnership, included in our Consolidated Balance Sheets after eliminations (in millions):</w:t>
      </w:r>
    </w:p>
    <w:p>
      <w:pPr>
        <w:pStyle w:val="TextBody"/>
        <w:spacing w:before="0" w:after="0"/>
        <w:jc w:val="both"/>
        <w:rPr/>
      </w:pPr>
      <w:r>
        <w:rPr/>
      </w:r>
    </w:p>
    <w:tbl>
      <w:tblPr>
        <w:tblW w:w="6116" w:type="dxa"/>
        <w:jc w:val="left"/>
        <w:tblInd w:w="0" w:type="dxa"/>
        <w:tblCellMar>
          <w:top w:w="28" w:type="dxa"/>
          <w:left w:w="28" w:type="dxa"/>
          <w:bottom w:w="28" w:type="dxa"/>
          <w:right w:w="28" w:type="dxa"/>
        </w:tblCellMar>
      </w:tblPr>
      <w:tblGrid>
        <w:gridCol w:w="1079"/>
        <w:gridCol w:w="950"/>
        <w:gridCol w:w="956"/>
        <w:gridCol w:w="287"/>
        <w:gridCol w:w="814"/>
        <w:gridCol w:w="159"/>
        <w:gridCol w:w="109"/>
        <w:gridCol w:w="109"/>
        <w:gridCol w:w="109"/>
        <w:gridCol w:w="334"/>
        <w:gridCol w:w="948"/>
        <w:gridCol w:w="262"/>
      </w:tblGrid>
      <w:tr>
        <w:trPr/>
        <w:tc>
          <w:tcPr>
            <w:tcW w:w="1079"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Assets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property, net</w:t>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782.3 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739.7 </w:t>
            </w:r>
          </w:p>
        </w:tc>
        <w:tc>
          <w:tcPr>
            <w:tcW w:w="2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cash equivalents and restricted cash</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14.1 </w:t>
            </w:r>
          </w:p>
        </w:tc>
        <w:tc>
          <w:tcPr>
            <w:tcW w:w="2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intangible assets, net</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13.0 </w:t>
            </w:r>
          </w:p>
        </w:tc>
        <w:tc>
          <w:tcPr>
            <w:tcW w:w="2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 net</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10.5 </w:t>
            </w:r>
          </w:p>
        </w:tc>
        <w:tc>
          <w:tcPr>
            <w:tcW w:w="2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Assets</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811.7 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777.3 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Liabilities and Other Equity</w:t>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Secured debt</w:t>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22.2 </w:t>
            </w:r>
          </w:p>
        </w:tc>
        <w:tc>
          <w:tcPr>
            <w:tcW w:w="2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Unsecured debt</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35.2 </w:t>
            </w:r>
          </w:p>
        </w:tc>
        <w:tc>
          <w:tcPr>
            <w:tcW w:w="2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Advanced reservation deposits and rent</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34.1 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13.8 </w:t>
            </w:r>
          </w:p>
        </w:tc>
        <w:tc>
          <w:tcPr>
            <w:tcW w:w="2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expenses and accounts payable</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11.8 </w:t>
            </w:r>
          </w:p>
        </w:tc>
        <w:tc>
          <w:tcPr>
            <w:tcW w:w="2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liabilities</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2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Liabilities</w:t>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113.1 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84.4 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Temporary equity</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41.3 </w:t>
            </w:r>
          </w:p>
        </w:tc>
        <w:tc>
          <w:tcPr>
            <w:tcW w:w="2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Liabilities and Other Equity</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152.1 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125.7 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assets related to the consolidated VIEs, with the exception of the Operating Partnership, comprised 4.7% and 4.5% of our consolidated total assets at March 31, 2023 and December 31, 2022, respectively. Total liabilities comprised 1.2% and 0.9% of our consolidated total liabilities at March 31, 2023 and December 31, 2022, respectively. Equity Interests and Noncontrolling interests related to the consolidated VIEs, on an absolute basis, comprised less than 1.0% of our consolidated total equity at March 31, 2023 and December 31, 2022, respectively.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540"/>
        <w:rPr>
          <w:rFonts w:ascii="Times New Roman;sans-serif" w:hAnsi="Times New Roman;sans-serif"/>
          <w:b/>
          <w:color w:val="000000"/>
          <w:sz w:val="20"/>
        </w:rPr>
      </w:pPr>
      <w:r>
        <w:rPr>
          <w:rFonts w:ascii="Times New Roman;sans-serif" w:hAnsi="Times New Roman;sans-serif"/>
          <w:b/>
          <w:color w:val="000000"/>
          <w:sz w:val="20"/>
        </w:rPr>
        <w:t>8. Debt and Line of Credit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debt including premiums, discounts and deferred financing costs (in millions, except for statistical information):</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948"/>
        <w:gridCol w:w="605"/>
        <w:gridCol w:w="607"/>
        <w:gridCol w:w="213"/>
        <w:gridCol w:w="752"/>
        <w:gridCol w:w="118"/>
        <w:gridCol w:w="109"/>
        <w:gridCol w:w="109"/>
        <w:gridCol w:w="109"/>
        <w:gridCol w:w="229"/>
        <w:gridCol w:w="808"/>
        <w:gridCol w:w="127"/>
        <w:gridCol w:w="109"/>
        <w:gridCol w:w="109"/>
        <w:gridCol w:w="109"/>
        <w:gridCol w:w="270"/>
        <w:gridCol w:w="270"/>
        <w:gridCol w:w="271"/>
        <w:gridCol w:w="128"/>
        <w:gridCol w:w="128"/>
        <w:gridCol w:w="128"/>
        <w:gridCol w:w="350"/>
        <w:gridCol w:w="350"/>
        <w:gridCol w:w="351"/>
        <w:gridCol w:w="109"/>
        <w:gridCol w:w="109"/>
        <w:gridCol w:w="109"/>
        <w:gridCol w:w="299"/>
        <w:gridCol w:w="271"/>
        <w:gridCol w:w="427"/>
        <w:gridCol w:w="116"/>
        <w:gridCol w:w="116"/>
        <w:gridCol w:w="116"/>
        <w:gridCol w:w="333"/>
        <w:gridCol w:w="260"/>
        <w:gridCol w:w="633"/>
      </w:tblGrid>
      <w:tr>
        <w:trPr/>
        <w:tc>
          <w:tcPr>
            <w:tcW w:w="948"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Carrying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Weighted Average </w:t>
              <w:br/>
              <w:t>Years to Maturity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Weighted Average </w:t>
              <w:br/>
              <w:t>Interest Rates</w:t>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2160"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Secured Debt</w:t>
            </w:r>
            <w:r>
              <w:rPr>
                <w:rFonts w:ascii="Times New Roman;sans-serif" w:hAnsi="Times New Roman;sans-serif"/>
                <w:b w:val="false"/>
                <w:color w:val="000000"/>
                <w:sz w:val="11"/>
              </w:rPr>
              <w:t>(1)</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3,386.4 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3,217.8 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w:t>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3.811 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3.723 </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2160"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Unsecured Debt</w:t>
            </w:r>
          </w:p>
        </w:tc>
        <w:tc>
          <w:tcPr>
            <w:tcW w:w="10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Senior unsecured notes</w:t>
            </w:r>
            <w:r>
              <w:rPr>
                <w:rFonts w:ascii="Times New Roman;sans-serif" w:hAnsi="Times New Roman;sans-serif"/>
                <w:b w:val="false"/>
                <w:color w:val="000000"/>
                <w:sz w:val="11"/>
              </w:rPr>
              <w:t>(2)</w:t>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2,175.6 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1,779.6 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w:t>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3.375 </w:t>
            </w:r>
          </w:p>
        </w:tc>
        <w:tc>
          <w:tcPr>
            <w:tcW w:w="4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2.9 </w:t>
            </w:r>
          </w:p>
        </w:tc>
        <w:tc>
          <w:tcPr>
            <w:tcW w:w="6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2160"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Line of credit and other debt</w:t>
            </w:r>
            <w:r>
              <w:rPr>
                <w:rFonts w:ascii="Times New Roman;sans-serif" w:hAnsi="Times New Roman;sans-serif"/>
                <w:b w:val="false"/>
                <w:color w:val="000000"/>
                <w:sz w:val="11"/>
              </w:rPr>
              <w:t>(3)</w:t>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1,838.1 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2,130.6 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w:t>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4.638 </w:t>
            </w:r>
          </w:p>
        </w:tc>
        <w:tc>
          <w:tcPr>
            <w:tcW w:w="4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4.417 </w:t>
            </w:r>
          </w:p>
        </w:tc>
        <w:tc>
          <w:tcPr>
            <w:tcW w:w="6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Preferred equity - Sun NG Resorts - mandatorily redeemable</w:t>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35.2 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w:t>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6.0 </w:t>
            </w:r>
          </w:p>
        </w:tc>
        <w:tc>
          <w:tcPr>
            <w:tcW w:w="4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6.0 </w:t>
            </w:r>
          </w:p>
        </w:tc>
        <w:tc>
          <w:tcPr>
            <w:tcW w:w="6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Preferred OP units - mandatorily redeemable</w:t>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w:t>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6.5 </w:t>
            </w:r>
          </w:p>
        </w:tc>
        <w:tc>
          <w:tcPr>
            <w:tcW w:w="4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5.921 </w:t>
            </w:r>
          </w:p>
        </w:tc>
        <w:tc>
          <w:tcPr>
            <w:tcW w:w="6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Unsecured Debt</w:t>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4,075.6 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3,979.4 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Debt</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7,462.0 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7,197.2 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w:t>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3.908 </w:t>
            </w:r>
          </w:p>
        </w:tc>
        <w:tc>
          <w:tcPr>
            <w:tcW w:w="4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3.746 </w:t>
            </w:r>
          </w:p>
        </w:tc>
        <w:tc>
          <w:tcPr>
            <w:tcW w:w="6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bl>
    <w:p>
      <w:pPr>
        <w:pStyle w:val="TextBody"/>
        <w:spacing w:lineRule="auto" w:line="288" w:before="20" w:after="60"/>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Balances at March 31, 2023 and December 31, 2022 include $0.1 million of net debt premium, respectively, and $16.2 million and $14.6 million of deferred financing costs, respectively.</w:t>
      </w:r>
    </w:p>
    <w:p>
      <w:pPr>
        <w:pStyle w:val="TextBody"/>
        <w:spacing w:lineRule="auto" w:line="288" w:before="0" w:after="60"/>
        <w:ind w:left="0" w:right="0" w:hanging="18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Balances at March 31, 2023 and December 31, 2022 include $7.0 million and $6.1 million of net debt discount, respectively, and $17.4 million and $14.3 million of deferred financing costs, respectively. Weighted average interest rates include the impact of hedge activity.</w:t>
      </w:r>
    </w:p>
    <w:p>
      <w:pPr>
        <w:pStyle w:val="TextBody"/>
        <w:spacing w:lineRule="auto" w:line="288" w:before="0" w:after="0"/>
        <w:ind w:left="0" w:right="0" w:hanging="180"/>
        <w:jc w:val="both"/>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Balance at March 31, 2023 and December 31, 2022 includes $2.7 million and $3.0 million of deferred financing costs, respectively. Weighted average interest rates include the impact of hedge activity.</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Secured Debt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Secured debt consists of mortgage term loans. During the three months ended March 31, 2023, no mortgage term loans were paid off. During the year ended December 31, 2022, we paid off the following mortgage term loans during the quarters presented below (in millions, except for statistical information):</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764"/>
        <w:gridCol w:w="673"/>
        <w:gridCol w:w="680"/>
        <w:gridCol w:w="109"/>
        <w:gridCol w:w="109"/>
        <w:gridCol w:w="109"/>
        <w:gridCol w:w="294"/>
        <w:gridCol w:w="840"/>
        <w:gridCol w:w="166"/>
        <w:gridCol w:w="109"/>
        <w:gridCol w:w="109"/>
        <w:gridCol w:w="109"/>
        <w:gridCol w:w="335"/>
        <w:gridCol w:w="272"/>
        <w:gridCol w:w="609"/>
        <w:gridCol w:w="109"/>
        <w:gridCol w:w="109"/>
        <w:gridCol w:w="109"/>
        <w:gridCol w:w="719"/>
        <w:gridCol w:w="687"/>
        <w:gridCol w:w="669"/>
        <w:gridCol w:w="109"/>
        <w:gridCol w:w="109"/>
        <w:gridCol w:w="109"/>
        <w:gridCol w:w="528"/>
        <w:gridCol w:w="1094"/>
        <w:gridCol w:w="296"/>
        <w:gridCol w:w="109"/>
        <w:gridCol w:w="162"/>
      </w:tblGrid>
      <w:tr>
        <w:trPr/>
        <w:tc>
          <w:tcPr>
            <w:tcW w:w="764"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1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Repayment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Fixed Interest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Maturity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Loss on Extinguishment of Debt</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11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Three months ended September 30,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318.0 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6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4.81 </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2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December 6, 2022 - September 6, 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Three months ended June 30,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3.89 </w:t>
            </w:r>
          </w:p>
        </w:tc>
        <w:tc>
          <w:tcPr>
            <w:tcW w:w="6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October 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 w:after="283"/>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Includes 17 mortgage term loans which were scheduled to mature from December 6, 2022 to September 6, 2024 that were secured by 35 properties.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the year ended December 31, 2022, we entered into the following mortgage term loans during the quarters presented below (in millions, except for statistical information).</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1058"/>
        <w:gridCol w:w="923"/>
        <w:gridCol w:w="943"/>
        <w:gridCol w:w="109"/>
        <w:gridCol w:w="109"/>
        <w:gridCol w:w="109"/>
        <w:gridCol w:w="250"/>
        <w:gridCol w:w="711"/>
        <w:gridCol w:w="138"/>
        <w:gridCol w:w="114"/>
        <w:gridCol w:w="114"/>
        <w:gridCol w:w="114"/>
        <w:gridCol w:w="400"/>
        <w:gridCol w:w="400"/>
        <w:gridCol w:w="402"/>
        <w:gridCol w:w="109"/>
        <w:gridCol w:w="109"/>
        <w:gridCol w:w="109"/>
        <w:gridCol w:w="248"/>
        <w:gridCol w:w="246"/>
        <w:gridCol w:w="546"/>
        <w:gridCol w:w="109"/>
        <w:gridCol w:w="109"/>
        <w:gridCol w:w="109"/>
        <w:gridCol w:w="765"/>
        <w:gridCol w:w="760"/>
        <w:gridCol w:w="1092"/>
      </w:tblGrid>
      <w:tr>
        <w:trPr/>
        <w:tc>
          <w:tcPr>
            <w:tcW w:w="1058"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Loan Amount</w:t>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Term (in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Interest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Maturity Date</w:t>
            </w:r>
          </w:p>
        </w:tc>
      </w:tr>
      <w:tr>
        <w:trPr/>
        <w:tc>
          <w:tcPr>
            <w:tcW w:w="2924"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Three months ended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20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February 13, 2026</w:t>
            </w:r>
          </w:p>
        </w:tc>
      </w:tr>
      <w:tr>
        <w:trPr/>
        <w:tc>
          <w:tcPr>
            <w:tcW w:w="2924"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99.1 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(2)</w:t>
            </w:r>
          </w:p>
        </w:tc>
        <w:tc>
          <w:tcPr>
            <w:tcW w:w="1202"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7"/>
              </w:rPr>
            </w:pPr>
            <w:r>
              <w:rPr>
                <w:rFonts w:ascii="Times New Roman;sans-serif" w:hAnsi="Times New Roman;sans-serif"/>
                <w:b w:val="false"/>
                <w:color w:val="000000"/>
                <w:sz w:val="17"/>
              </w:rPr>
              <w:t>7 - 10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5.72 </w:t>
            </w:r>
          </w:p>
        </w:tc>
        <w:tc>
          <w:tcPr>
            <w:tcW w:w="5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April 1, 2030 - April 1, 2033</w:t>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Three months ended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226.0 </w:t>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(3)</w:t>
            </w:r>
          </w:p>
        </w:tc>
        <w:tc>
          <w:tcPr>
            <w:tcW w:w="120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7"/>
              </w:rPr>
            </w:pPr>
            <w:r>
              <w:rPr>
                <w:rFonts w:ascii="Times New Roman;sans-serif" w:hAnsi="Times New Roman;sans-serif"/>
                <w:b w:val="false"/>
                <w:color w:val="000000"/>
                <w:sz w:val="17"/>
              </w:rPr>
              <w:t>4 - 7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5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June 15, 2026 - December 15, 2029</w:t>
            </w:r>
          </w:p>
        </w:tc>
      </w:tr>
      <w:tr>
        <w:trPr/>
        <w:tc>
          <w:tcPr>
            <w:tcW w:w="2924" w:type="dxa"/>
            <w:gridSpan w:val="3"/>
            <w:vMerge w:val="restart"/>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Three months ended September 30,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20.6 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(4)(6)</w:t>
            </w:r>
          </w:p>
        </w:tc>
        <w:tc>
          <w:tcPr>
            <w:tcW w:w="120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3.65 </w:t>
            </w:r>
          </w:p>
        </w:tc>
        <w:tc>
          <w:tcPr>
            <w:tcW w:w="5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August 10, 2047</w:t>
            </w:r>
          </w:p>
        </w:tc>
      </w:tr>
      <w:tr>
        <w:trPr/>
        <w:tc>
          <w:tcPr>
            <w:tcW w:w="2924"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(5)(6)</w:t>
            </w:r>
          </w:p>
        </w:tc>
        <w:tc>
          <w:tcPr>
            <w:tcW w:w="120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3.65 </w:t>
            </w:r>
          </w:p>
        </w:tc>
        <w:tc>
          <w:tcPr>
            <w:tcW w:w="5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August 10, 2047</w:t>
            </w:r>
          </w:p>
        </w:tc>
      </w:tr>
    </w:tbl>
    <w:p>
      <w:pPr>
        <w:pStyle w:val="TextBody"/>
        <w:spacing w:lineRule="auto" w:line="288" w:before="20" w:after="60"/>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Includes five existing encumbered properties.</w:t>
      </w:r>
    </w:p>
    <w:p>
      <w:pPr>
        <w:pStyle w:val="TextBody"/>
        <w:spacing w:lineRule="auto" w:line="288" w:before="0" w:after="60"/>
        <w:ind w:left="0" w:right="0" w:hanging="18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Includes 22 existing encumbered properties.</w:t>
      </w:r>
    </w:p>
    <w:p>
      <w:pPr>
        <w:pStyle w:val="TextBody"/>
        <w:spacing w:lineRule="auto" w:line="288" w:before="0" w:after="60"/>
        <w:ind w:left="0" w:right="0" w:hanging="180"/>
        <w:jc w:val="both"/>
        <w:rPr/>
      </w:pPr>
      <w:r>
        <w:rPr>
          <w:rFonts w:ascii="Times New Roman;sans-serif" w:hAnsi="Times New Roman;sans-serif"/>
          <w:b w:val="false"/>
          <w:color w:val="000000"/>
          <w:sz w:val="10"/>
        </w:rPr>
        <w:t>(3)</w:t>
      </w:r>
      <w:r>
        <w:rPr>
          <w:rFonts w:ascii="Times New Roman;sans-serif" w:hAnsi="Times New Roman;sans-serif"/>
          <w:b w:val="false"/>
          <w:color w:val="000000"/>
          <w:sz w:val="16"/>
        </w:rPr>
        <w:t>Includes 18 existing encumbered properties.</w:t>
      </w:r>
    </w:p>
    <w:p>
      <w:pPr>
        <w:pStyle w:val="TextBody"/>
        <w:spacing w:lineRule="auto" w:line="288" w:before="0" w:after="60"/>
        <w:ind w:left="0" w:right="0" w:hanging="180"/>
        <w:jc w:val="both"/>
        <w:rPr/>
      </w:pPr>
      <w:r>
        <w:rPr>
          <w:rFonts w:ascii="Times New Roman;sans-serif" w:hAnsi="Times New Roman;sans-serif"/>
          <w:b w:val="false"/>
          <w:color w:val="000000"/>
          <w:sz w:val="10"/>
        </w:rPr>
        <w:t>(4)</w:t>
      </w:r>
      <w:r>
        <w:rPr>
          <w:rFonts w:ascii="Times New Roman;sans-serif" w:hAnsi="Times New Roman;sans-serif"/>
          <w:b w:val="false"/>
          <w:color w:val="000000"/>
          <w:sz w:val="16"/>
        </w:rPr>
        <w:t>Represents a construction loan (undrawn as of March 31, 2023).</w:t>
      </w:r>
    </w:p>
    <w:p>
      <w:pPr>
        <w:pStyle w:val="TextBody"/>
        <w:spacing w:lineRule="auto" w:line="288" w:before="0" w:after="60"/>
        <w:ind w:left="0" w:right="0" w:hanging="180"/>
        <w:jc w:val="both"/>
        <w:rPr/>
      </w:pPr>
      <w:r>
        <w:rPr>
          <w:rFonts w:ascii="Times New Roman;sans-serif" w:hAnsi="Times New Roman;sans-serif"/>
          <w:b w:val="false"/>
          <w:color w:val="000000"/>
          <w:sz w:val="10"/>
        </w:rPr>
        <w:t>(5)</w:t>
      </w:r>
      <w:r>
        <w:rPr>
          <w:rFonts w:ascii="Times New Roman;sans-serif" w:hAnsi="Times New Roman;sans-serif"/>
          <w:b w:val="false"/>
          <w:color w:val="000000"/>
          <w:sz w:val="16"/>
        </w:rPr>
        <w:t>Represents mortgage term loan.</w:t>
      </w:r>
    </w:p>
    <w:p>
      <w:pPr>
        <w:pStyle w:val="TextBody"/>
        <w:spacing w:lineRule="auto" w:line="288" w:before="0" w:after="0"/>
        <w:ind w:left="0" w:right="0" w:hanging="180"/>
        <w:jc w:val="both"/>
        <w:rPr/>
      </w:pPr>
      <w:r>
        <w:rPr>
          <w:rFonts w:ascii="Times New Roman;sans-serif" w:hAnsi="Times New Roman;sans-serif"/>
          <w:b w:val="false"/>
          <w:color w:val="000000"/>
          <w:sz w:val="10"/>
        </w:rPr>
        <w:t>(6)</w:t>
      </w:r>
      <w:r>
        <w:rPr>
          <w:rFonts w:ascii="Times New Roman;sans-serif" w:hAnsi="Times New Roman;sans-serif"/>
          <w:b w:val="false"/>
          <w:color w:val="000000"/>
          <w:sz w:val="16"/>
        </w:rPr>
        <w:t>Represents loans jointly secured by one property.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mortgage term loans, which total $3.4 billion as of March 31, 2023, are secured by 154 properties comprised of 61,624 sites representing approximately $2.7 billion of net book value.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Unsecured Debt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Senior Unsecured Notes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outstanding senior unsecured notes (in millions, except for statistical information). All senior unsecured notes include interest payments on a semi-annual basis in arrears, and are recorded in the Unsecured debt line item on the Consolidated Balance Sheets.</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1834"/>
        <w:gridCol w:w="1605"/>
        <w:gridCol w:w="1622"/>
        <w:gridCol w:w="109"/>
        <w:gridCol w:w="109"/>
        <w:gridCol w:w="109"/>
        <w:gridCol w:w="271"/>
        <w:gridCol w:w="958"/>
        <w:gridCol w:w="150"/>
        <w:gridCol w:w="109"/>
        <w:gridCol w:w="109"/>
        <w:gridCol w:w="109"/>
        <w:gridCol w:w="246"/>
        <w:gridCol w:w="868"/>
        <w:gridCol w:w="137"/>
        <w:gridCol w:w="109"/>
        <w:gridCol w:w="109"/>
        <w:gridCol w:w="109"/>
        <w:gridCol w:w="287"/>
        <w:gridCol w:w="1015"/>
        <w:gridCol w:w="231"/>
      </w:tblGrid>
      <w:tr>
        <w:trPr/>
        <w:tc>
          <w:tcPr>
            <w:tcW w:w="1834" w:type="dxa"/>
            <w:tcBorders/>
            <w:shd w:fill="auto" w:val="clear"/>
            <w:vAlign w:val="center"/>
          </w:tcPr>
          <w:p>
            <w:pPr>
              <w:pStyle w:val="TableContents"/>
              <w:spacing w:before="0" w:after="283"/>
              <w:rPr>
                <w:sz w:val="4"/>
                <w:szCs w:val="4"/>
              </w:rPr>
            </w:pPr>
            <w:r>
              <w:rPr>
                <w:sz w:val="4"/>
                <w:szCs w:val="4"/>
              </w:rPr>
            </w:r>
          </w:p>
        </w:tc>
        <w:tc>
          <w:tcPr>
            <w:tcW w:w="1605" w:type="dxa"/>
            <w:tcBorders/>
            <w:shd w:fill="auto" w:val="clear"/>
            <w:vAlign w:val="center"/>
          </w:tcPr>
          <w:p>
            <w:pPr>
              <w:pStyle w:val="TableContents"/>
              <w:spacing w:before="0" w:after="283"/>
              <w:rPr>
                <w:sz w:val="4"/>
                <w:szCs w:val="4"/>
              </w:rPr>
            </w:pPr>
            <w:r>
              <w:rPr>
                <w:sz w:val="4"/>
                <w:szCs w:val="4"/>
              </w:rPr>
            </w:r>
          </w:p>
        </w:tc>
        <w:tc>
          <w:tcPr>
            <w:tcW w:w="16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50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Carrying Amount</w:t>
            </w:r>
          </w:p>
        </w:tc>
      </w:tr>
      <w:tr>
        <w:trPr/>
        <w:tc>
          <w:tcPr>
            <w:tcW w:w="50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Principal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506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5.7% notes, issued in January 2023 and due in January 2033</w:t>
            </w:r>
            <w:r>
              <w:rPr>
                <w:rFonts w:ascii="Times New Roman;sans-serif" w:hAnsi="Times New Roman;sans-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400.0 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395.4 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r>
      <w:tr>
        <w:trPr/>
        <w:tc>
          <w:tcPr>
            <w:tcW w:w="506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4.2% notes, issued in April 2022 and due in April 2032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600.0 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592.0 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591.8 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2.3% notes, issued in October 2021 and due in November 2028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450.0 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446.3 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446.2 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2.7% notes, issued in June 2021 and October 2021, and due in July 2031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750.0 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741.9 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741.6 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3" w:type="dxa"/>
            <w:gridSpan w:val="3"/>
            <w:tcBorders/>
            <w:shd w:fill="auto" w:val="clear"/>
            <w:vAlign w:val="center"/>
          </w:tcPr>
          <w:p>
            <w:pPr>
              <w:pStyle w:val="TableContents"/>
              <w:spacing w:before="0" w:after="283"/>
              <w:rPr>
                <w:sz w:val="4"/>
                <w:szCs w:val="4"/>
              </w:rPr>
            </w:pPr>
            <w:r>
              <w:rPr>
                <w:sz w:val="4"/>
                <w:szCs w:val="4"/>
              </w:rPr>
            </w:r>
          </w:p>
        </w:tc>
      </w:tr>
      <w:tr>
        <w:trPr/>
        <w:tc>
          <w:tcPr>
            <w:tcW w:w="50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2,200.0 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2,175.6 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1,779.6 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In January 2023, the Operating Partnership issued $400.0 million of senior unsecured notes with an interest rate of 5.7% and a 10-year term, due January 15, 2033 (the "2033 Notes"). Interest on the notes is payable semi-annually in arrears on January 15 and July 15 of each year, beginning on July 15, 2023. The net proceeds from the offering were $395.3 million, after deducting underwriters' discounts and estimated offering expenses. We used the net proceeds from the offering to repay borrowings outstanding under our Senior Credit Facility.</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Line of Credit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2022, in connection with the closing of the Park Holidays acquisition, the Operating Partnership (as borrower), SUI (as guarantor) , and certain lenders entered into Amendment No. 1 to the Fourth Amended and Restated Credit Agreement and Other Loan Documents (the "Credit Facility Amendment"), which amended our senior credit facility (the "Senior Credit Facility").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Facility Amendment increased the aggregate amount of our Senior Credit Facility to $4.2 billion with the ability to upsize the total borrowings by an additional $800.0 million, subject to certain conditions. The increased aggregate amount under the Senior Credit Facility consists of the following: (a) a revolving loan in an amount up to $3.05 billion and (b) a term loan facility of $1.15 billion, with the ability to draw funds from the combined facilities in U.S. dollars, Pound sterling, Euros, Canadian dollars and Australian dollars, subject to certain limitations. The Credit Facility Amendment extended the maturity date of the revolving loan facility to April 7, 2026. At our option that maturity date may be extended two additional six-month periods. In addition, the Credit Facility Amendment established the maturity date of the term loan facility under the Credit Facility Amendment as April 7, 2025, which may not be further extended.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Credit Facility Amendment, the Senior Credit Facility permitted aggregate borrowings of up to $2.0 billion, with an accordion feature that allowed for additional commitments of up to $1.0 billion, subject to the satisfaction of certain conditions. Prior to the amendment, $500.0 million of available borrowings under the Senior Credit Facility were scheduled to mature on October 11, 2024, with the remainder scheduled to mature on June 14, 2025. We had no loss on extinguishment of debt related to the Senior Credit Facility during the three months ended March 31, 2023.</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Credit Facility bears interest at a floating rate based on the Adjusted Term Secured Overnight Financing Rate ("SOFR"), the Adjusted Eurocurrency Rate, the Daily Risk Free Rate ("RFR"), the Australian Bank Bill Swap Bid Rate ("BBSY"), the Daily Sterling Overnight Index Average ("SONIA") Rate or the Canadian Dollar Offered Rate, as applicable, plus a margin, in all cases, which can range from 0.725% to 1.6%, subject to certain adjustments. As of March 31, 2023, the margins based on our credit ratings were 0.85% on the revolving loan facility and 0.95% on the term loan facility. During the three months ended March 31, 2023 and year ended December 31, 2022, we achieved sustainability related requirements resulting in a favorable 0.04% and 0.01% adjustments, respectively, to both margins.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lenders' option, the Senior Credit Facility will become immediately due and payable upon an event of default under the Credit Facility Amendment. We had $741.6 million and $1.1 billion of borrowings outstanding under the revolving loan as of March 31, 2023 and December 31, 2022, respectively. We also had $1.1 billion of borrowings outstanding under the term loan on the Senior Credit Facility as of March 31, 2023 and December 31, 2022, respectively. These balances are recorded in Unsecured debt on the Consolidated Balance Sheets.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Credit Facility provides us with the ability to issue letters of credit. Our issuance of letters of credit does not increase our borrowings outstanding under the Senior Credit Facility, but does reduce the borrowing amount available. We had $4.8 million and $2.3 million of outstanding letters of credit at March 31, 2023 and December 31, 2022,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Bridge Loan Termination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2022, we terminated our commitment letter with Citigroup Global Markets, Inc. ("Citigroup"), pursuant to which, Citigroup (on behalf of its affiliates), previously committed to lend us up to £950.0 million in Pound sterling, or approximately $1.2 billion converted at the March 31, 2022 exchange rate (the "Bridge Loan"). As of the date of termination, we did not have any borrowings outstanding under the Bridge Loan. During the year ended December 31, 2022, we recognized a Loss on extinguishment of debt in our Consolidated Statement of Operations of $0.3 million related to the termination of the Bridge Loan.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Unsecured Term Loan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2019, we assumed a $58.0 million secured term loan facility related to an acquisition. The term loan initially had a four-year term ending October 29, 2023, and bore interest at a floating rate based on the Eurodollar rate or Prime rate plus a margin ranging from 1.2% to 2.05%. Effective July 1, 2021, the agreement was amended to release the associated collateral. The amendment extended the term loan facility maturity date to October 29, 2025 and adjusted the interest rate margin to a range from 0.8% to 1.6%. In August 2022, we amended the secured term loan facility to transition from the Eurodollar rate to SOFR. As of March 31, 2023, the margin based on our credit rating was 0.95%. The outstanding balance was $16.2 million at March 31, 2023 and $19.8 million at December 31, 2022, respectively. In accordance with the amended agreement, we achieved sustainability related requirements resulting in a favorable 0.01% adjustment to the margins. These balances are recorded in Unsecured debt on the Consolidated Balance Sheets.</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Preferred Equity - Sun NG Resorts - Mandatorily Redeemable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investment in Sun NG Resorts in June 2018, $35.3 million of mandatorily redeemable Preferred Equity ("Preferred Equity - Sun NG Resorts") was purchased by unrelated third parties. The Preferred Equity - Sun NG Resorts carries a preferred rate of return of 6.0% per annum. The Preferred Equity - Sun NG Resorts has a seven-year term ending June 1, 2025 and can be redeemed in the fourth quarter of 2024 at the holders' option. The Preferred Equity - Sun NG Resorts as of March 31, 2023 was $35.2 million. This balance is recorded within the Unsecured debt line item on the Consolidated Balance Sheets. Refer to Note 7, "Consolidated Variable Interest Entities," and Note 9, "Equity and Temporary Equity," for additional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Preferred OP Units - Mandatorily Redeemable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Preferred OP units at March 31, 2023 and December 31, 2022 include $26.7 million and $34.0 million of Aspen preferred OP units issued by the Operating Partnership, respectively. As of March 31, 2023, these units are convertible indirectly into 320,699 shares of our common stock.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2020, we amended the Operating Partnership's partnership agreement. The amendment extended the automatic redemption date and reduced the annual distribution rate for 270,000 of the Aspen preferred OP units (the "Extended Units"). Subject to certain limitations, at any time prior to January 1, 2024 (or prior to January 1, 2034 with respect to the Extended Units), the holder of each Aspen preferred OP unit at its option may convert such Aspen preferred OP unit into: (a) if the average closing price of our common stock for the preceding ten trading days is $68.00 per share or less, 0.397 common OP units; or (b) if the 10-day average closing price is greater than $68.00 per share, the number of common OP units is determined by dividing (i) the sum of (A) $27.00 plus (B) 25.0% of the amount by which the 10-day average closing price exceeds $68.00 per share, by (ii) the 10-day average closing price. The current preferred distribution rate is 3.8% on the Extended Units and 6.5% on all other Aspen preferred OP units. On January 2, 2024 (or January 2, 2034 with respect to the Extended Units), we are required to redeem for cash all Aspen preferred OP units that have not been converted to common OP units. All of the Extended Units converted during the three months ended March 31, 2023. As of March 31, 2023, 988,819 of other Aspen preferred units were outstanding. These balances are recorded within the Unsecured debt line item on the Consolidated Balance Sheets.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Covenants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mortgage term loans, senior unsecured notes and Senior Credit Facility are subject to various financial and other covenants. The most restrictive covenants are pursuant to (a) the terms of the Senior Credit Facility, which contains a minimum fixed charge coverage ratio, maximum leverage ratio, distribution ratio and variable rate indebtedness, and (b) the terms of the senior unsecured notes, which contain a total debt to total assets ratio, secured debt to total assets ratio, consolidated income available for debt service to debt service ratio and unencumbered total asset value to unsecured debt covenants ratio. At March 31, 2023, we were in compliance with all covenants.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certain of our subsidiary borrowers own properties that secure loans. These subsidiaries are consolidated within our accompanying Consolidated Financial Statements, however, each of these subsidiaries' assets and credit are not available to satisfy our debts and other obligations, and any of our other subsidiaries or any other person or entity.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before="0" w:after="0"/>
        <w:jc w:val="center"/>
        <w:rPr/>
      </w:pPr>
      <w:r>
        <w:rPr/>
      </w:r>
    </w:p>
    <w:p>
      <w:pPr>
        <w:pStyle w:val="TextBody"/>
        <w:spacing w:before="0" w:after="0"/>
        <w:jc w:val="center"/>
        <w:rPr/>
      </w:pPr>
      <w:r>
        <w:rPr/>
      </w:r>
    </w:p>
    <w:p>
      <w:pPr>
        <w:pStyle w:val="TextBody"/>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9. Equity and Temporary Equity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Temporary Equity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Redeemable Preferred OP Units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Temporary equity includes preferred securities that are redeemable for cash at the holder's option or upon the occurrence of an event that is not solely within our control based on a fixed or determinable price. These securities are not mandatorily redeemable for cash nor do they contain a fixed maturity date. The following table sets forth the various series of redeemable preferred OP units that were outstanding as of March 31, 2023 and December 31, 2022 and the related terms, and summarizes the balance included within Temporary Equity on our Consolidated Balance Sheets (in millions, except for statistical information):</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349"/>
        <w:gridCol w:w="307"/>
        <w:gridCol w:w="309"/>
        <w:gridCol w:w="109"/>
        <w:gridCol w:w="109"/>
        <w:gridCol w:w="109"/>
        <w:gridCol w:w="536"/>
        <w:gridCol w:w="339"/>
        <w:gridCol w:w="340"/>
        <w:gridCol w:w="109"/>
        <w:gridCol w:w="109"/>
        <w:gridCol w:w="109"/>
        <w:gridCol w:w="273"/>
        <w:gridCol w:w="273"/>
        <w:gridCol w:w="274"/>
        <w:gridCol w:w="109"/>
        <w:gridCol w:w="109"/>
        <w:gridCol w:w="109"/>
        <w:gridCol w:w="240"/>
        <w:gridCol w:w="236"/>
        <w:gridCol w:w="525"/>
        <w:gridCol w:w="109"/>
        <w:gridCol w:w="109"/>
        <w:gridCol w:w="109"/>
        <w:gridCol w:w="338"/>
        <w:gridCol w:w="338"/>
        <w:gridCol w:w="339"/>
        <w:gridCol w:w="109"/>
        <w:gridCol w:w="109"/>
        <w:gridCol w:w="109"/>
        <w:gridCol w:w="368"/>
        <w:gridCol w:w="368"/>
        <w:gridCol w:w="369"/>
        <w:gridCol w:w="109"/>
        <w:gridCol w:w="109"/>
        <w:gridCol w:w="109"/>
        <w:gridCol w:w="197"/>
        <w:gridCol w:w="561"/>
        <w:gridCol w:w="109"/>
        <w:gridCol w:w="109"/>
        <w:gridCol w:w="109"/>
        <w:gridCol w:w="109"/>
        <w:gridCol w:w="198"/>
        <w:gridCol w:w="563"/>
        <w:gridCol w:w="167"/>
      </w:tblGrid>
      <w:tr>
        <w:trPr/>
        <w:tc>
          <w:tcPr>
            <w:tcW w:w="34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9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OP Units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7"/>
              </w:rPr>
              <w:t>Exchange Rate</w:t>
            </w:r>
            <w:r>
              <w:rPr>
                <w:rFonts w:ascii="Times New Roman;sans-serif" w:hAnsi="Times New Roman;sans-serif"/>
                <w:b/>
                <w:color w:val="000000"/>
                <w:sz w:val="11"/>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7"/>
              </w:rPr>
              <w:t>Annual Distribution Rate</w:t>
            </w:r>
            <w:r>
              <w:rPr>
                <w:rFonts w:ascii="Times New Roman;sans-serif" w:hAnsi="Times New Roman;sans-serif"/>
                <w:b/>
                <w:color w:val="000000"/>
                <w:sz w:val="11"/>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7"/>
              </w:rPr>
              <w:t>Cash Redemption</w:t>
            </w:r>
            <w:r>
              <w:rPr>
                <w:rFonts w:ascii="Times New Roman;sans-serif" w:hAnsi="Times New Roman;sans-serif"/>
                <w:b/>
                <w:color w:val="000000"/>
                <w:sz w:val="11"/>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Redemption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9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D preferred OP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488,958 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Holder's Option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Any time after earlier of January 31, 2024 or death of holder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F preferred OP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90,000 </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0.6250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5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Holder's Option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Any time after earlier of May 14, 2025 or death of holder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G preferred OP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239,710 </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0.6452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3.2 </w:t>
            </w:r>
          </w:p>
        </w:tc>
        <w:tc>
          <w:tcPr>
            <w:tcW w:w="5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Holder's Option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Any time after earlier of September 30, 2025 or death of holder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24.4 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H preferred OP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581,342 </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0.6098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5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Holder's Option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Any time after earlier of October 30, 2025 or death of holder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56.7 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J preferred OP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239,000 </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0.6061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2.85 </w:t>
            </w:r>
          </w:p>
        </w:tc>
        <w:tc>
          <w:tcPr>
            <w:tcW w:w="5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Holder's Option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During the 30-day period following a change of control of the Company or any time after April 21, 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23.6 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K preferred OP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1,000,000 </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0.5882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5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Holder's Option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Within 60 days after March 23, 2028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2,639,010 </w:t>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161.5 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60"/>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Exchange rates are subject to adjustment upon stock splits, recapitalizations and similar events. The exchange rates of certain series of OP units are approximated to four decimal places.</w:t>
      </w:r>
    </w:p>
    <w:p>
      <w:pPr>
        <w:pStyle w:val="TextBody"/>
        <w:spacing w:lineRule="auto" w:line="288" w:before="0" w:after="60"/>
        <w:ind w:left="0" w:right="0" w:hanging="180"/>
        <w:jc w:val="both"/>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Distributions are payable on the issue price of each OP unit which is $100.00 per unit for all these preferred OP units.</w:t>
      </w:r>
    </w:p>
    <w:p>
      <w:pPr>
        <w:pStyle w:val="TextBody"/>
        <w:spacing w:lineRule="auto" w:line="288" w:before="0" w:after="0"/>
        <w:ind w:left="0" w:right="0" w:hanging="180"/>
        <w:jc w:val="both"/>
        <w:rPr/>
      </w:pPr>
      <w:r>
        <w:rPr>
          <w:rFonts w:ascii="Times New Roman;sans-serif" w:hAnsi="Times New Roman;sans-serif"/>
          <w:b w:val="false"/>
          <w:color w:val="000000"/>
          <w:sz w:val="10"/>
        </w:rPr>
        <w:t xml:space="preserve">(3) </w:t>
      </w:r>
      <w:r>
        <w:rPr>
          <w:rFonts w:ascii="Times New Roman;sans-serif" w:hAnsi="Times New Roman;sans-serif"/>
          <w:b w:val="false"/>
          <w:color w:val="000000"/>
          <w:sz w:val="16"/>
        </w:rPr>
        <w:t>The redemption price for each preferred OP unit redeemed will be equal to its issue price plus all accrued but unpaid distributions.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Series K Preferred OP Units</w:t>
      </w:r>
      <w:r>
        <w:rPr>
          <w:color w:val="000000"/>
        </w:rPr>
        <w:t xml:space="preserve"> </w:t>
      </w:r>
      <w:r>
        <w:rPr>
          <w:rFonts w:ascii="Times New Roman;sans-serif" w:hAnsi="Times New Roman;sans-serif"/>
          <w:b w:val="false"/>
          <w:color w:val="000000"/>
          <w:sz w:val="20"/>
        </w:rPr>
        <w:t>- On March 23, 2023, we issued 1,000,000 Series K preferred OP units in connection with the acquisition of the Savannah Yacht Center. The Series K preferred OP units have a stated issuance price of $100.00 per OP unit and carry a preferred return of 4.0%. Subject to certain limitations, at any time after its issuance date, each Series K preferred OP unit will be exchangeable into that number of our common OP units equal to the quotient (the "Series K Exchange Rate") obtained by dividing $100.00 by $170.00, (the "Series K Conversion Price"), (as such ratio is subject to adjustment for certain capital events). Each Common OP unit is exchangeable for one share of our common stock. Subject to certain limitations, the holders of Series K Preferred Units will have the right to cause SCOLP to redeem all or a portion of their Series K Preferred Units for $100.00 per unit (plus any accrued but unpaid distributions) within 60 days after the fifth anniversary of the issuance date of the Series K preferred OP units. SCOLP will have the right to cause the holders of Series K preferred OP units to exchange the Series K preferred OP units into Common OP units at the Series K Exchange Rate (i) within 60 days after the fifth anniversary of the issuance date of the Series K Preferred Units or (ii) if at any time the trading price of the Company's common stock for each of the preceding 60 trading days is equal to or greater than 120% of the Series K Conversion Price. As of March 31, 2023, 1,000,000 Series K preferred OP units were outstanding. Refer to Note 3, "Real Estate Acquisitions and Dispositions," for additional information.</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Redeemable Equity Interests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redeemable equity interests included in Temporary Equity on our Consolidated Balance Sheets (in millions):</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643"/>
        <w:gridCol w:w="450"/>
        <w:gridCol w:w="453"/>
        <w:gridCol w:w="109"/>
        <w:gridCol w:w="109"/>
        <w:gridCol w:w="109"/>
        <w:gridCol w:w="1838"/>
        <w:gridCol w:w="1838"/>
        <w:gridCol w:w="1860"/>
        <w:gridCol w:w="109"/>
        <w:gridCol w:w="109"/>
        <w:gridCol w:w="109"/>
        <w:gridCol w:w="248"/>
        <w:gridCol w:w="592"/>
        <w:gridCol w:w="138"/>
        <w:gridCol w:w="109"/>
        <w:gridCol w:w="109"/>
        <w:gridCol w:w="109"/>
        <w:gridCol w:w="277"/>
        <w:gridCol w:w="661"/>
        <w:gridCol w:w="226"/>
      </w:tblGrid>
      <w:tr>
        <w:trPr/>
        <w:tc>
          <w:tcPr>
            <w:tcW w:w="643"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8" w:type="dxa"/>
            <w:tcBorders/>
            <w:shd w:fill="auto" w:val="clear"/>
            <w:vAlign w:val="center"/>
          </w:tcPr>
          <w:p>
            <w:pPr>
              <w:pStyle w:val="TableContents"/>
              <w:spacing w:before="0" w:after="283"/>
              <w:rPr>
                <w:sz w:val="4"/>
                <w:szCs w:val="4"/>
              </w:rPr>
            </w:pPr>
            <w:r>
              <w:rPr>
                <w:sz w:val="4"/>
                <w:szCs w:val="4"/>
              </w:rPr>
            </w:r>
          </w:p>
        </w:tc>
        <w:tc>
          <w:tcPr>
            <w:tcW w:w="1838" w:type="dxa"/>
            <w:tcBorders/>
            <w:shd w:fill="auto" w:val="clear"/>
            <w:vAlign w:val="center"/>
          </w:tcPr>
          <w:p>
            <w:pPr>
              <w:pStyle w:val="TableContents"/>
              <w:spacing w:before="0" w:after="283"/>
              <w:rPr>
                <w:sz w:val="4"/>
                <w:szCs w:val="4"/>
              </w:rPr>
            </w:pPr>
            <w:r>
              <w:rPr>
                <w:sz w:val="4"/>
                <w:szCs w:val="4"/>
              </w:rPr>
            </w:r>
          </w:p>
        </w:tc>
        <w:tc>
          <w:tcPr>
            <w:tcW w:w="18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Equity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15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FPG Sun Moreno Valley 66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 connection with the investment in land for future development in the city of Moreno Valley, California, at the property known as FPG Sun Moreno Valley 66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17"/>
              </w:rPr>
            </w:pPr>
            <w:r>
              <w:rPr>
                <w:rFonts w:ascii="Times New Roman;sans-serif" w:hAnsi="Times New Roman;sans-serif"/>
                <w:b w:val="false"/>
                <w:color w:val="000000"/>
                <w:sz w:val="17"/>
              </w:rPr>
              <w:t>Solar Energy Project CA II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 joint venture that operates and maintains solar energy equipment in select California communities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17"/>
              </w:rPr>
            </w:pPr>
            <w:r>
              <w:rPr>
                <w:rFonts w:ascii="Times New Roman;sans-serif" w:hAnsi="Times New Roman;sans-serif"/>
                <w:b w:val="false"/>
                <w:color w:val="000000"/>
                <w:sz w:val="17"/>
              </w:rPr>
              <w:t>Solar Energy Project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 joint venture that operates and maintains solar energy equipment in select California communities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Solar Energy Project III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 joint venture that operates and maintains solar energy equipment in select Arizona and California communities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FPG Sun Menifee 80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 connection with the investment in land for future development in the city of Menifee in California, at the property known as FPG Sun Menifee 80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NG Sun Whitewater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 connection with the investment in land at the property known as Whitewater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NG Sun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 connection with the investment in Sun NG Resorts, a joint venture that operates a portfolio of RV communities in the 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27.7 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31.1 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NG Sun Beaver Brook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 connection with the investment in Sun NG Beaver Brook LLC, a joint venture that operates one RV communities in the 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39.0 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41.4 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Equity Interest - NG Sun LLC</w:t>
      </w:r>
      <w:r>
        <w:rPr>
          <w:color w:val="000000"/>
        </w:rPr>
        <w:t xml:space="preserve"> </w:t>
      </w:r>
      <w:r>
        <w:rPr>
          <w:rFonts w:ascii="Times New Roman;sans-serif" w:hAnsi="Times New Roman;sans-serif"/>
          <w:b w:val="false"/>
          <w:color w:val="000000"/>
          <w:sz w:val="20"/>
        </w:rPr>
        <w:t>- In June 2018, in connection with the investment in Sun NG Resorts, unrelated third parties purchased $6.5 million of Series B preferred equity interests and $15.4 million of common equity interests in Sun NG Resorts (herein jointly referred to as "Equity Interest - NG Sun LLC"). In April and September 2020, in connection with certain acquisitions, $3.0 million of Series B preferred equity interests were converted to common equity interests. The Series B preferred equity interests carry a preferred return at a rate that, at any time, is equal to the interest rate on Sun NG Resorts' indebtedness at such time. The current rate of return is 5.0%. The Equity Interest - NG Sun LLC does not have a fixed maturity date and can be redeemed in the fourth quarters of 2024, 2025 or 2026 at the holders' option. Sun NG LLC, our subsidiary, has the right during certain periods each year, with or without cause, or for cause at any time, to elect to buy NG Sun LLC's interest. During a limited period in 2024, NG Sun LLC has the right to put its interest to Sun NG LLC. If either party exercises its option, the property management agreement will be terminated, and we are required to purchase the remaining interests of NG Sun LLC and the property management agreement at fair value. In December 2021, the operating agreement was amended and we paid Sun NG Resorts a contingent consideration earnout in the amount of $38.3 million. The contingent consideration payment was recognized as an additional purchase price payment within Land improvements and buildings in the Consolidated Balance Sheets, and within Acquisition of properties, net of cash acquired in the Consolidated Statement of Cash Flows. The Equity Interest - NG Sun LLC balance was $27.7 million and $31.1 million as of March 31, 2023 and December 31, 2022, respectively. Refer to Note 7, "Consolidated Variable Interest Entities," and Note 8, "Debt and Line of Credit," for additional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Permanent Equity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Universal Shelf Registration Statement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2021, we filed a new universal shelf registration statement on Form S-3 with the SEC. The shelf registration statement was deemed automatically effective and provides for the registration of unspecified amounts of equity and debt securities. We have the authority to issue 200,000,000 shares of capital stock, of which 180,000,000 shares are common stock and 20,000,000 are shares of preferred stock, par value $0.01 per share. As of March 31, 2023, we had 124,421,717 shares of common stock issued and outstanding and no shares of preferred stock were issued and outstanding.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Public Equity Offerings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2021, we entered into two forward sale agreements relating to an underwritten registered public offering of 4,025,000 shares of our common stock at a public offering price of $185.00 per share and completed the offering on November 18, 2021 (the "November 2021 Forward Sale Agreements"). We did not initially receive any proceeds from the sale of shares of our common stock by the forward purchaser or its affiliates. In April 2022, we completed the physical settlement of the 4,025,000 shares of common stock and received aggregate net proceeds of $705.4 million. We used the net proceeds to repay borrowings outstanding under our Senior Credit Facility, and for working capital and general corporate purposes.</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At the Market Offering Sales Agreement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2021, we entered into an At the Market Offering Sales Agreement with certain sales agents and forward sellers pursuant to which we may sell, from time to time, up to an aggregate gross sales price of $1.25 billion of our common stock (the "Sales Agreement"), through the sales agents, acting as our sales agents or, if applicable, as forward sellers, or directly to the sales agents as principals for their own accounts. The sales agents and forward sellers are entitled to compensation in an agreed amount not to exceed 2.0% of the gross price per share for any shares sold under the Sales Agreement. We simultaneously terminated our prior sales agreement upon entering into the Sales Agreement. Through March 2023, we had entered into forward sales agreements under our Sales Agreement for an aggregate gross sales price of $160.6 million.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2022, we entered into forward sale agreements with respect to 15,000 shares of common stock under our Sales Agreement for $2.6 million. Additionally, we settled all of our outstanding forward sale agreements with respect to 1,526,212 shares of common stock which includes 620,109; 600,503; 290,600; and 15,000 shares of common stock from the three months ended December 31, 2021, March 31, June 30 and September 30, 2022 forward sale agreements, respectively. The net proceeds of $275.5 million from the settlement of these forward sale agreements were used to repay borrowings outstanding under our Senior Credit Facility.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2022, we completed the physical settlement of 1,200,000 shares of common stock under our prior at the market offering program and received net proceeds of $229.5 million. Additionally, we entered into forward sales agreements with respect 290,600 shares of common stock for $50.1 million, under our Sales Agreement. These forward sale agreements were settled during the three months ended September 30, 2022.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we entered into forward sales agreements with respect to 600,503 shares of common stock for $107.9 million, under our Sales Agreement. These forward sale agreements were settled during the three months ended September 30, 2022.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we entered into forward sale agreements with respect to 1,820,109 shares of common stock under our prior at the market offering program for $356.5 million. We completed the physical settlement of 1,200,000 and 620,109 shares of common stock during the three months ended June 30, 2022 and September 30, 2022,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Issuances of Common Stock and OP Units in Connection with the Acquisition of Certain Properties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Issuances of Common Stock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2022, we issued 186,044 shares of common stock with a value of $33.9 million in connection with the acquisition of Park Holidays.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Issuances of Common OP Units</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1249"/>
        <w:gridCol w:w="1095"/>
        <w:gridCol w:w="1105"/>
        <w:gridCol w:w="109"/>
        <w:gridCol w:w="109"/>
        <w:gridCol w:w="109"/>
        <w:gridCol w:w="640"/>
        <w:gridCol w:w="636"/>
        <w:gridCol w:w="639"/>
        <w:gridCol w:w="109"/>
        <w:gridCol w:w="109"/>
        <w:gridCol w:w="109"/>
        <w:gridCol w:w="636"/>
        <w:gridCol w:w="1220"/>
        <w:gridCol w:w="357"/>
        <w:gridCol w:w="109"/>
        <w:gridCol w:w="109"/>
        <w:gridCol w:w="109"/>
        <w:gridCol w:w="479"/>
        <w:gridCol w:w="479"/>
        <w:gridCol w:w="689"/>
      </w:tblGrid>
      <w:tr>
        <w:trPr/>
        <w:tc>
          <w:tcPr>
            <w:tcW w:w="1249"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Three Months Ended March 31, 2023 and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Common OP Units Issued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Value at Issuance (in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Related Acquisition</w:t>
            </w:r>
          </w:p>
        </w:tc>
      </w:tr>
      <w:tr>
        <w:trPr/>
        <w:tc>
          <w:tcPr>
            <w:tcW w:w="34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January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31,289 </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Fox Run</w:t>
            </w:r>
          </w:p>
        </w:tc>
      </w:tr>
      <w:tr>
        <w:trPr/>
        <w:tc>
          <w:tcPr>
            <w:tcW w:w="34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7" w:type="dxa"/>
            <w:gridSpan w:val="3"/>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7" w:type="dxa"/>
            <w:gridSpan w:val="3"/>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February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14,683 </w:t>
            </w:r>
          </w:p>
        </w:tc>
        <w:tc>
          <w:tcPr>
            <w:tcW w:w="6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2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2.8 </w:t>
            </w:r>
          </w:p>
        </w:tc>
        <w:tc>
          <w:tcPr>
            <w:tcW w:w="3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Jarrett Bay Boatworks</w:t>
            </w:r>
          </w:p>
        </w:tc>
      </w:tr>
      <w:tr>
        <w:trPr/>
        <w:tc>
          <w:tcPr>
            <w:tcW w:w="34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7" w:type="dxa"/>
            <w:gridSpan w:val="3"/>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7" w:type="dxa"/>
            <w:gridSpan w:val="3"/>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Noncontrolling Interests - Common and Preferred OP Units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common and preferred OP units included within Noncontrolling interests on our Consolidated Balance Sheets (in millions, except for shares and statistical information):</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368"/>
        <w:gridCol w:w="324"/>
        <w:gridCol w:w="326"/>
        <w:gridCol w:w="109"/>
        <w:gridCol w:w="109"/>
        <w:gridCol w:w="109"/>
        <w:gridCol w:w="537"/>
        <w:gridCol w:w="349"/>
        <w:gridCol w:w="350"/>
        <w:gridCol w:w="109"/>
        <w:gridCol w:w="109"/>
        <w:gridCol w:w="109"/>
        <w:gridCol w:w="280"/>
        <w:gridCol w:w="280"/>
        <w:gridCol w:w="281"/>
        <w:gridCol w:w="109"/>
        <w:gridCol w:w="109"/>
        <w:gridCol w:w="109"/>
        <w:gridCol w:w="259"/>
        <w:gridCol w:w="259"/>
        <w:gridCol w:w="577"/>
        <w:gridCol w:w="109"/>
        <w:gridCol w:w="109"/>
        <w:gridCol w:w="109"/>
        <w:gridCol w:w="333"/>
        <w:gridCol w:w="333"/>
        <w:gridCol w:w="334"/>
        <w:gridCol w:w="109"/>
        <w:gridCol w:w="109"/>
        <w:gridCol w:w="109"/>
        <w:gridCol w:w="335"/>
        <w:gridCol w:w="335"/>
        <w:gridCol w:w="336"/>
        <w:gridCol w:w="109"/>
        <w:gridCol w:w="109"/>
        <w:gridCol w:w="109"/>
        <w:gridCol w:w="203"/>
        <w:gridCol w:w="483"/>
        <w:gridCol w:w="113"/>
        <w:gridCol w:w="109"/>
        <w:gridCol w:w="109"/>
        <w:gridCol w:w="109"/>
        <w:gridCol w:w="218"/>
        <w:gridCol w:w="520"/>
        <w:gridCol w:w="183"/>
      </w:tblGrid>
      <w:tr>
        <w:trPr/>
        <w:tc>
          <w:tcPr>
            <w:tcW w:w="368"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r>
      <w:tr>
        <w:trPr/>
        <w:tc>
          <w:tcPr>
            <w:tcW w:w="10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OP Units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7"/>
              </w:rPr>
              <w:t>Exchange Rate</w:t>
            </w:r>
            <w:r>
              <w:rPr>
                <w:rFonts w:ascii="Times New Roman;sans-serif" w:hAnsi="Times New Roman;sans-serif"/>
                <w:b/>
                <w:color w:val="000000"/>
                <w:sz w:val="11"/>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7"/>
              </w:rPr>
              <w:t>Annual Distribution Rate</w:t>
            </w:r>
            <w:r>
              <w:rPr>
                <w:rFonts w:ascii="Times New Roman;sans-serif" w:hAnsi="Times New Roman;sans-serif"/>
                <w:b/>
                <w:color w:val="000000"/>
                <w:sz w:val="11"/>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Cash Redemption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Redemption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101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OP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2,447,083 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Same distribution rate for common stock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A-1 preferred OP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207,548 </w:t>
            </w:r>
          </w:p>
        </w:tc>
        <w:tc>
          <w:tcPr>
            <w:tcW w:w="3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2.4390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6.0 </w:t>
            </w:r>
          </w:p>
        </w:tc>
        <w:tc>
          <w:tcPr>
            <w:tcW w:w="5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13.6 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14.0 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A-3 preferred OP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40,268 </w:t>
            </w:r>
          </w:p>
        </w:tc>
        <w:tc>
          <w:tcPr>
            <w:tcW w:w="3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1.8605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5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C preferred OP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305,948 </w:t>
            </w:r>
          </w:p>
        </w:tc>
        <w:tc>
          <w:tcPr>
            <w:tcW w:w="3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5.0 </w:t>
            </w:r>
          </w:p>
        </w:tc>
        <w:tc>
          <w:tcPr>
            <w:tcW w:w="5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23.1 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23.6 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E preferred OP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80,000 </w:t>
            </w:r>
          </w:p>
        </w:tc>
        <w:tc>
          <w:tcPr>
            <w:tcW w:w="3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0.6897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5.5 </w:t>
            </w:r>
          </w:p>
        </w:tc>
        <w:tc>
          <w:tcPr>
            <w:tcW w:w="5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3,080,847 </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78.7 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60"/>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Exchange rates are subject to adjustment upon stock splits, recapitalizations and similar events. The exchange rates of certain series of OP units are approximated to four decimal places.</w:t>
      </w:r>
    </w:p>
    <w:p>
      <w:pPr>
        <w:pStyle w:val="TextBody"/>
        <w:spacing w:lineRule="auto" w:line="288" w:before="0" w:after="0"/>
        <w:ind w:left="0" w:right="0" w:hanging="180"/>
        <w:jc w:val="both"/>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Distributions are payable on the issue price of each OP unit which is $100.00 per unit for all these preferred OP units.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Conversions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Conversions to Common Stock</w:t>
      </w:r>
      <w:r>
        <w:rPr>
          <w:color w:val="000000"/>
        </w:rPr>
        <w:t xml:space="preserve"> </w:t>
      </w:r>
      <w:r>
        <w:rPr>
          <w:rFonts w:ascii="Times New Roman;sans-serif" w:hAnsi="Times New Roman;sans-serif"/>
          <w:b w:val="false"/>
          <w:color w:val="000000"/>
          <w:sz w:val="20"/>
        </w:rPr>
        <w:t>- Subject to certain limitations, holders can convert certain series of OP units to shares of our common stock at any time. Below is the activity of conversions during the three months ended March 31, 2023 and 2022:</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610"/>
        <w:gridCol w:w="535"/>
        <w:gridCol w:w="541"/>
        <w:gridCol w:w="109"/>
        <w:gridCol w:w="109"/>
        <w:gridCol w:w="109"/>
        <w:gridCol w:w="404"/>
        <w:gridCol w:w="395"/>
        <w:gridCol w:w="397"/>
        <w:gridCol w:w="109"/>
        <w:gridCol w:w="109"/>
        <w:gridCol w:w="109"/>
        <w:gridCol w:w="570"/>
        <w:gridCol w:w="517"/>
        <w:gridCol w:w="519"/>
        <w:gridCol w:w="129"/>
        <w:gridCol w:w="129"/>
        <w:gridCol w:w="129"/>
        <w:gridCol w:w="426"/>
        <w:gridCol w:w="380"/>
        <w:gridCol w:w="381"/>
        <w:gridCol w:w="109"/>
        <w:gridCol w:w="109"/>
        <w:gridCol w:w="109"/>
        <w:gridCol w:w="517"/>
        <w:gridCol w:w="517"/>
        <w:gridCol w:w="519"/>
        <w:gridCol w:w="128"/>
        <w:gridCol w:w="128"/>
        <w:gridCol w:w="128"/>
        <w:gridCol w:w="374"/>
        <w:gridCol w:w="346"/>
        <w:gridCol w:w="505"/>
      </w:tblGrid>
      <w:tr>
        <w:trPr/>
        <w:tc>
          <w:tcPr>
            <w:tcW w:w="610"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r>
      <w:tr>
        <w:trPr/>
        <w:tc>
          <w:tcPr>
            <w:tcW w:w="16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9"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r>
      <w:tr>
        <w:trPr/>
        <w:tc>
          <w:tcPr>
            <w:tcW w:w="16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16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2022</w:t>
            </w:r>
          </w:p>
        </w:tc>
      </w:tr>
      <w:tr>
        <w:trPr/>
        <w:tc>
          <w:tcPr>
            <w:tcW w:w="16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Series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Conversion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Units / Shares Converted</w:t>
            </w:r>
          </w:p>
        </w:tc>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7"/>
              </w:rPr>
              <w:t>Common Stock</w:t>
            </w:r>
            <w:r>
              <w:rPr>
                <w:rFonts w:ascii="Times New Roman;sans-serif" w:hAnsi="Times New Roman;sans-serif"/>
                <w:b/>
                <w:color w:val="000000"/>
                <w:sz w:val="11"/>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Units / Shares Converted</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7"/>
              </w:rPr>
              <w:t>Common Stock</w:t>
            </w:r>
            <w:r>
              <w:rPr>
                <w:rFonts w:ascii="Times New Roman;sans-serif" w:hAnsi="Times New Roman;sans-serif"/>
                <w:b/>
                <w:color w:val="000000"/>
                <w:sz w:val="11"/>
              </w:rPr>
              <w:t>(1)</w:t>
            </w:r>
          </w:p>
        </w:tc>
      </w:tr>
      <w:tr>
        <w:trPr/>
        <w:tc>
          <w:tcPr>
            <w:tcW w:w="16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Aspen preferred OP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7"/>
              </w:rPr>
              <w:t>Various</w:t>
            </w:r>
            <w:r>
              <w:rPr>
                <w:rFonts w:ascii="Times New Roman;sans-serif" w:hAnsi="Times New Roman;sans-serif"/>
                <w:b w:val="false"/>
                <w:color w:val="000000"/>
                <w:sz w:val="11"/>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270,000 </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86,224 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OP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1.0000 </w:t>
            </w:r>
          </w:p>
        </w:tc>
        <w:tc>
          <w:tcPr>
            <w:tcW w:w="3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2,910 </w:t>
            </w:r>
          </w:p>
        </w:tc>
        <w:tc>
          <w:tcPr>
            <w:tcW w:w="5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2,910 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1,260 </w:t>
            </w:r>
          </w:p>
        </w:tc>
        <w:tc>
          <w:tcPr>
            <w:tcW w:w="5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1,260 </w:t>
            </w:r>
          </w:p>
        </w:tc>
        <w:tc>
          <w:tcPr>
            <w:tcW w:w="5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A-1 preferred OP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2.4390 </w:t>
            </w:r>
          </w:p>
        </w:tc>
        <w:tc>
          <w:tcPr>
            <w:tcW w:w="3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2,694 </w:t>
            </w:r>
          </w:p>
        </w:tc>
        <w:tc>
          <w:tcPr>
            <w:tcW w:w="5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6,568 </w:t>
            </w:r>
          </w:p>
        </w:tc>
        <w:tc>
          <w:tcPr>
            <w:tcW w:w="5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3"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r>
      <w:tr>
        <w:trPr/>
        <w:tc>
          <w:tcPr>
            <w:tcW w:w="16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3"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C preferred OP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1.1100 </w:t>
            </w:r>
          </w:p>
        </w:tc>
        <w:tc>
          <w:tcPr>
            <w:tcW w:w="3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65 </w:t>
            </w:r>
          </w:p>
        </w:tc>
        <w:tc>
          <w:tcPr>
            <w:tcW w:w="5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150 </w:t>
            </w:r>
          </w:p>
        </w:tc>
        <w:tc>
          <w:tcPr>
            <w:tcW w:w="5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166 </w:t>
            </w:r>
          </w:p>
        </w:tc>
        <w:tc>
          <w:tcPr>
            <w:tcW w:w="5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E preferred OP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0.6897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5,000 </w:t>
            </w:r>
          </w:p>
        </w:tc>
        <w:tc>
          <w:tcPr>
            <w:tcW w:w="5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3,448 </w:t>
            </w:r>
          </w:p>
        </w:tc>
        <w:tc>
          <w:tcPr>
            <w:tcW w:w="5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3"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G preferred OP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0.6452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5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645 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H preferred OP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0.6098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25 </w:t>
            </w:r>
          </w:p>
        </w:tc>
        <w:tc>
          <w:tcPr>
            <w:tcW w:w="5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3"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J preferred OP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0.6061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5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606 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6"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3"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 w:after="60"/>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Calculation may yield minor differences due to rounding incorporated in the above numbers.</w:t>
      </w:r>
    </w:p>
    <w:p>
      <w:pPr>
        <w:pStyle w:val="TextBody"/>
        <w:spacing w:lineRule="auto" w:line="288" w:before="0" w:after="0"/>
        <w:ind w:left="0" w:right="0" w:hanging="18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Refer to Note 8, "Debt and Line of Credit," for additional detail on Aspen preferred OP unit conversions.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Distributions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Distributions declared for the three months ended March 31, 2023 were as follows:</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1333"/>
        <w:gridCol w:w="1168"/>
        <w:gridCol w:w="1175"/>
        <w:gridCol w:w="109"/>
        <w:gridCol w:w="109"/>
        <w:gridCol w:w="109"/>
        <w:gridCol w:w="292"/>
        <w:gridCol w:w="292"/>
        <w:gridCol w:w="293"/>
        <w:gridCol w:w="109"/>
        <w:gridCol w:w="109"/>
        <w:gridCol w:w="109"/>
        <w:gridCol w:w="332"/>
        <w:gridCol w:w="332"/>
        <w:gridCol w:w="333"/>
        <w:gridCol w:w="109"/>
        <w:gridCol w:w="109"/>
        <w:gridCol w:w="109"/>
        <w:gridCol w:w="371"/>
        <w:gridCol w:w="882"/>
        <w:gridCol w:w="207"/>
        <w:gridCol w:w="109"/>
        <w:gridCol w:w="109"/>
        <w:gridCol w:w="109"/>
        <w:gridCol w:w="404"/>
        <w:gridCol w:w="1152"/>
        <w:gridCol w:w="331"/>
      </w:tblGrid>
      <w:tr>
        <w:trPr/>
        <w:tc>
          <w:tcPr>
            <w:tcW w:w="1333"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36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Common Stock, Common OP units and Restricted Stock Distributions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Record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Payment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Distribution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 Distribution (in Millions)</w:t>
            </w:r>
          </w:p>
        </w:tc>
      </w:tr>
      <w:tr>
        <w:trPr/>
        <w:tc>
          <w:tcPr>
            <w:tcW w:w="3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3/31/2023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4/17/2023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0.93 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before="0" w:after="0"/>
        <w:jc w:val="center"/>
        <w:rPr/>
      </w:pPr>
      <w:r>
        <w:rPr/>
      </w:r>
    </w:p>
    <w:p>
      <w:pPr>
        <w:pStyle w:val="TextBody"/>
        <w:spacing w:before="0" w:after="0"/>
        <w:jc w:val="center"/>
        <w:rPr/>
      </w:pPr>
      <w:r>
        <w:rPr/>
      </w:r>
    </w:p>
    <w:p>
      <w:pPr>
        <w:pStyle w:val="TextBody"/>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10. Share-Based Compensation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two share-based compensation plans: the Sun Communities, Inc. 2015 Equity Incentive Plan (as amended, the "2015 Equity Incentive Plan") and the First Amended and Restated 2004 Non-Employee Director Option Plan (as amended, the "2004 Non-Employee Director Option Plan"). We believe granting equity awards will provide certain executives, key employees and directors additional incentives to promote our financial success and promote employee and director retention by providing an opportunity to acquire or increase the direct proprietary interest of those individuals in our operations and future. Time based awards for directors generally vest over three years. Time based awards for key employees and executives generally vest over five years. Market condition awards for executives generally vest after three years.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shares were granted as follows:</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301"/>
        <w:gridCol w:w="265"/>
        <w:gridCol w:w="267"/>
        <w:gridCol w:w="109"/>
        <w:gridCol w:w="109"/>
        <w:gridCol w:w="109"/>
        <w:gridCol w:w="371"/>
        <w:gridCol w:w="371"/>
        <w:gridCol w:w="376"/>
        <w:gridCol w:w="109"/>
        <w:gridCol w:w="109"/>
        <w:gridCol w:w="109"/>
        <w:gridCol w:w="830"/>
        <w:gridCol w:w="612"/>
        <w:gridCol w:w="620"/>
        <w:gridCol w:w="109"/>
        <w:gridCol w:w="109"/>
        <w:gridCol w:w="109"/>
        <w:gridCol w:w="414"/>
        <w:gridCol w:w="365"/>
        <w:gridCol w:w="323"/>
        <w:gridCol w:w="109"/>
        <w:gridCol w:w="109"/>
        <w:gridCol w:w="109"/>
        <w:gridCol w:w="350"/>
        <w:gridCol w:w="1154"/>
        <w:gridCol w:w="194"/>
        <w:gridCol w:w="109"/>
        <w:gridCol w:w="109"/>
        <w:gridCol w:w="109"/>
        <w:gridCol w:w="393"/>
        <w:gridCol w:w="331"/>
        <w:gridCol w:w="325"/>
        <w:gridCol w:w="109"/>
        <w:gridCol w:w="109"/>
        <w:gridCol w:w="109"/>
        <w:gridCol w:w="109"/>
        <w:gridCol w:w="109"/>
        <w:gridCol w:w="163"/>
      </w:tblGrid>
      <w:tr>
        <w:trPr/>
        <w:tc>
          <w:tcPr>
            <w:tcW w:w="301"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8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Grant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Type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Plan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Shares Granted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Grant Date Fair Value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Vesting Type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83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Key Employees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2015 Equity Incentive Plan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220,258 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137.16 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Time Based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gridSpan w:val="2"/>
            <w:tcBorders/>
            <w:shd w:fill="auto" w:val="clear"/>
          </w:tcPr>
          <w:p>
            <w:pPr>
              <w:pStyle w:val="TableContents"/>
              <w:spacing w:before="0" w:after="283"/>
              <w:rPr>
                <w:sz w:val="4"/>
                <w:szCs w:val="4"/>
              </w:rPr>
            </w:pPr>
            <w:r>
              <w:rPr>
                <w:sz w:val="4"/>
                <w:szCs w:val="4"/>
              </w:rPr>
            </w:r>
          </w:p>
        </w:tc>
      </w:tr>
      <w:tr>
        <w:trPr/>
        <w:tc>
          <w:tcPr>
            <w:tcW w:w="83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Executive Officers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2015 Equity Incentive Plan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62,800 </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144.88 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Time Based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gridSpan w:val="2"/>
            <w:tcBorders/>
            <w:shd w:fill="auto" w:val="clear"/>
          </w:tcPr>
          <w:p>
            <w:pPr>
              <w:pStyle w:val="TableContents"/>
              <w:spacing w:before="0" w:after="283"/>
              <w:rPr>
                <w:sz w:val="4"/>
                <w:szCs w:val="4"/>
              </w:rPr>
            </w:pPr>
            <w:r>
              <w:rPr>
                <w:sz w:val="4"/>
                <w:szCs w:val="4"/>
              </w:rPr>
            </w:r>
          </w:p>
        </w:tc>
      </w:tr>
      <w:tr>
        <w:trPr/>
        <w:tc>
          <w:tcPr>
            <w:tcW w:w="83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Executive Officers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2015 Equity Incentive Plan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82,200 </w:t>
            </w:r>
          </w:p>
        </w:tc>
        <w:tc>
          <w:tcPr>
            <w:tcW w:w="3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108.60 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(2)</w:t>
            </w:r>
          </w:p>
        </w:tc>
        <w:tc>
          <w:tcPr>
            <w:tcW w:w="1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Market Condition</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83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Directors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2004 Non-Employee Director Option Plan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16,000 </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148.12 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Time Based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8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83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Key Employees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2015 Equity Incentive Plan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138,510 </w:t>
            </w:r>
          </w:p>
        </w:tc>
        <w:tc>
          <w:tcPr>
            <w:tcW w:w="3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180.49 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Time Based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gridSpan w:val="2"/>
            <w:tcBorders/>
            <w:shd w:fill="auto" w:val="clear"/>
          </w:tcPr>
          <w:p>
            <w:pPr>
              <w:pStyle w:val="TableContents"/>
              <w:spacing w:before="0" w:after="283"/>
              <w:rPr>
                <w:sz w:val="4"/>
                <w:szCs w:val="4"/>
              </w:rPr>
            </w:pPr>
            <w:r>
              <w:rPr>
                <w:sz w:val="4"/>
                <w:szCs w:val="4"/>
              </w:rPr>
            </w:r>
          </w:p>
        </w:tc>
      </w:tr>
      <w:tr>
        <w:trPr/>
        <w:tc>
          <w:tcPr>
            <w:tcW w:w="83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Executive Officers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2015 Equity Incentive Plan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66,000 </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178.20 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Time Based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gridSpan w:val="2"/>
            <w:tcBorders/>
            <w:shd w:fill="auto" w:val="clear"/>
          </w:tcPr>
          <w:p>
            <w:pPr>
              <w:pStyle w:val="TableContents"/>
              <w:spacing w:before="0" w:after="283"/>
              <w:rPr>
                <w:sz w:val="4"/>
                <w:szCs w:val="4"/>
              </w:rPr>
            </w:pPr>
            <w:r>
              <w:rPr>
                <w:sz w:val="4"/>
                <w:szCs w:val="4"/>
              </w:rPr>
            </w:r>
          </w:p>
        </w:tc>
      </w:tr>
      <w:tr>
        <w:trPr/>
        <w:tc>
          <w:tcPr>
            <w:tcW w:w="83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Executive Officers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2015 Equity Incentive Plan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91,500 </w:t>
            </w:r>
          </w:p>
        </w:tc>
        <w:tc>
          <w:tcPr>
            <w:tcW w:w="3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124.88 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(2)</w:t>
            </w:r>
          </w:p>
        </w:tc>
        <w:tc>
          <w:tcPr>
            <w:tcW w:w="1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Market Condition</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83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Directors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2004 Non-Employee Director Option Plan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11,900 </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197.00 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Time Based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8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gridSpan w:val="2"/>
            <w:tcBorders/>
            <w:shd w:fill="auto" w:val="clear"/>
          </w:tcPr>
          <w:p>
            <w:pPr>
              <w:pStyle w:val="TableContents"/>
              <w:spacing w:before="0" w:after="283"/>
              <w:rPr>
                <w:sz w:val="4"/>
                <w:szCs w:val="4"/>
              </w:rPr>
            </w:pPr>
            <w:r>
              <w:rPr>
                <w:sz w:val="4"/>
                <w:szCs w:val="4"/>
              </w:rPr>
            </w:r>
          </w:p>
        </w:tc>
      </w:tr>
      <w:tr>
        <w:trPr/>
        <w:tc>
          <w:tcPr>
            <w:tcW w:w="8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gridSpan w:val="2"/>
            <w:tcBorders/>
            <w:shd w:fill="auto" w:val="clear"/>
          </w:tcPr>
          <w:p>
            <w:pPr>
              <w:pStyle w:val="TableContents"/>
              <w:spacing w:before="0" w:after="283"/>
              <w:rPr>
                <w:sz w:val="4"/>
                <w:szCs w:val="4"/>
              </w:rPr>
            </w:pPr>
            <w:r>
              <w:rPr>
                <w:sz w:val="4"/>
                <w:szCs w:val="4"/>
              </w:rPr>
            </w:r>
          </w:p>
        </w:tc>
      </w:tr>
      <w:tr>
        <w:trPr/>
        <w:tc>
          <w:tcPr>
            <w:tcW w:w="8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gridSpan w:val="2"/>
            <w:tcBorders/>
            <w:shd w:fill="auto" w:val="clear"/>
          </w:tcPr>
          <w:p>
            <w:pPr>
              <w:pStyle w:val="TableContents"/>
              <w:spacing w:before="0" w:after="283"/>
              <w:rPr>
                <w:sz w:val="4"/>
                <w:szCs w:val="4"/>
              </w:rPr>
            </w:pPr>
            <w:r>
              <w:rPr>
                <w:sz w:val="4"/>
                <w:szCs w:val="4"/>
              </w:rPr>
            </w:r>
          </w:p>
        </w:tc>
      </w:tr>
      <w:tr>
        <w:trPr/>
        <w:tc>
          <w:tcPr>
            <w:tcW w:w="8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gridSpan w:val="2"/>
            <w:tcBorders/>
            <w:shd w:fill="auto" w:val="clear"/>
          </w:tcPr>
          <w:p>
            <w:pPr>
              <w:pStyle w:val="TableContents"/>
              <w:spacing w:before="0" w:after="283"/>
              <w:rPr>
                <w:sz w:val="4"/>
                <w:szCs w:val="4"/>
              </w:rPr>
            </w:pPr>
            <w:r>
              <w:rPr>
                <w:sz w:val="4"/>
                <w:szCs w:val="4"/>
              </w:rPr>
            </w:r>
          </w:p>
        </w:tc>
      </w:tr>
      <w:tr>
        <w:trPr/>
        <w:tc>
          <w:tcPr>
            <w:tcW w:w="8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gridSpan w:val="2"/>
            <w:tcBorders/>
            <w:shd w:fill="auto" w:val="clear"/>
          </w:tcPr>
          <w:p>
            <w:pPr>
              <w:pStyle w:val="TableContents"/>
              <w:spacing w:before="0" w:after="283"/>
              <w:rPr>
                <w:sz w:val="4"/>
                <w:szCs w:val="4"/>
              </w:rPr>
            </w:pPr>
            <w:r>
              <w:rPr>
                <w:sz w:val="4"/>
                <w:szCs w:val="4"/>
              </w:rPr>
            </w:r>
          </w:p>
        </w:tc>
      </w:tr>
      <w:tr>
        <w:trPr/>
        <w:tc>
          <w:tcPr>
            <w:tcW w:w="8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8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8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gridSpan w:val="2"/>
            <w:tcBorders/>
            <w:shd w:fill="auto" w:val="clear"/>
          </w:tcPr>
          <w:p>
            <w:pPr>
              <w:pStyle w:val="TableContents"/>
              <w:spacing w:before="0" w:after="283"/>
              <w:rPr>
                <w:sz w:val="4"/>
                <w:szCs w:val="4"/>
              </w:rPr>
            </w:pPr>
            <w:r>
              <w:rPr>
                <w:sz w:val="4"/>
                <w:szCs w:val="4"/>
              </w:rPr>
            </w:r>
          </w:p>
        </w:tc>
      </w:tr>
      <w:tr>
        <w:trPr/>
        <w:tc>
          <w:tcPr>
            <w:tcW w:w="8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8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8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gridSpan w:val="2"/>
            <w:tcBorders/>
            <w:shd w:fill="auto" w:val="clear"/>
          </w:tcPr>
          <w:p>
            <w:pPr>
              <w:pStyle w:val="TableContents"/>
              <w:spacing w:before="0" w:after="283"/>
              <w:rPr>
                <w:sz w:val="4"/>
                <w:szCs w:val="4"/>
              </w:rPr>
            </w:pPr>
            <w:r>
              <w:rPr>
                <w:sz w:val="4"/>
                <w:szCs w:val="4"/>
              </w:rPr>
            </w:r>
          </w:p>
        </w:tc>
      </w:tr>
      <w:tr>
        <w:trPr/>
        <w:tc>
          <w:tcPr>
            <w:tcW w:w="8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gridSpan w:val="2"/>
            <w:tcBorders/>
            <w:shd w:fill="auto" w:val="clear"/>
          </w:tcPr>
          <w:p>
            <w:pPr>
              <w:pStyle w:val="TableContents"/>
              <w:spacing w:before="0" w:after="283"/>
              <w:rPr>
                <w:sz w:val="4"/>
                <w:szCs w:val="4"/>
              </w:rPr>
            </w:pPr>
            <w:r>
              <w:rPr>
                <w:sz w:val="4"/>
                <w:szCs w:val="4"/>
              </w:rPr>
            </w:r>
          </w:p>
        </w:tc>
      </w:tr>
    </w:tbl>
    <w:p>
      <w:pPr>
        <w:pStyle w:val="TextBody"/>
        <w:spacing w:lineRule="auto" w:line="288" w:before="20" w:after="60"/>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Represents the weighted average fair value per share of the closing price of our common stock on the dates the shares were awarded.</w:t>
      </w:r>
    </w:p>
    <w:p>
      <w:pPr>
        <w:pStyle w:val="TextBody"/>
        <w:spacing w:lineRule="auto" w:line="288" w:before="0" w:after="60"/>
        <w:ind w:left="0" w:right="0" w:hanging="18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Represents the weighted average fair value per share of the Monte Carlo simulation fair value price of our market condition awards on the dates the shares were awarded.</w:t>
      </w:r>
    </w:p>
    <w:p>
      <w:pPr>
        <w:pStyle w:val="TextBody"/>
        <w:spacing w:lineRule="auto" w:line="288" w:before="0" w:after="0"/>
        <w:ind w:left="0" w:right="0" w:hanging="180"/>
        <w:jc w:val="both"/>
        <w:rPr/>
      </w:pPr>
      <w:r>
        <w:rPr>
          <w:rFonts w:ascii="Times New Roman;sans-serif" w:hAnsi="Times New Roman;sans-serif"/>
          <w:b w:val="false"/>
          <w:color w:val="000000"/>
          <w:sz w:val="10"/>
        </w:rPr>
        <w:t>(3)</w:t>
      </w:r>
      <w:r>
        <w:rPr>
          <w:rFonts w:ascii="Times New Roman;sans-serif" w:hAnsi="Times New Roman;sans-serif"/>
          <w:b w:val="false"/>
          <w:color w:val="000000"/>
          <w:sz w:val="16"/>
        </w:rPr>
        <w:t>Share-based compensation for restricted stock awards with market conditions is measured based on shares expected to vest using a Monte Carlo simulation to determine fair value.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vesting requirements for 203,898 and 230,411 restricted shares granted to our executives, directors and employees were satisfied during the three months ended March 31, 2023 and 2022,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capitalize a portion of share-based compensation costs for employees who work directly on construction and development of our communities. We recognized the following share-based compensation costs during the three months ended March 31, 2023 and 2022 (in millions):</w:t>
      </w:r>
    </w:p>
    <w:p>
      <w:pPr>
        <w:pStyle w:val="TextBody"/>
        <w:spacing w:before="0" w:after="0"/>
        <w:jc w:val="both"/>
        <w:rPr/>
      </w:pPr>
      <w:r>
        <w:rPr/>
      </w:r>
    </w:p>
    <w:tbl>
      <w:tblPr>
        <w:tblW w:w="6187" w:type="dxa"/>
        <w:jc w:val="left"/>
        <w:tblInd w:w="0" w:type="dxa"/>
        <w:tblCellMar>
          <w:top w:w="28" w:type="dxa"/>
          <w:left w:w="28" w:type="dxa"/>
          <w:bottom w:w="28" w:type="dxa"/>
          <w:right w:w="28" w:type="dxa"/>
        </w:tblCellMar>
      </w:tblPr>
      <w:tblGrid>
        <w:gridCol w:w="1074"/>
        <w:gridCol w:w="944"/>
        <w:gridCol w:w="951"/>
        <w:gridCol w:w="109"/>
        <w:gridCol w:w="109"/>
        <w:gridCol w:w="109"/>
        <w:gridCol w:w="362"/>
        <w:gridCol w:w="696"/>
        <w:gridCol w:w="201"/>
        <w:gridCol w:w="109"/>
        <w:gridCol w:w="109"/>
        <w:gridCol w:w="109"/>
        <w:gridCol w:w="338"/>
        <w:gridCol w:w="701"/>
        <w:gridCol w:w="266"/>
      </w:tblGrid>
      <w:tr>
        <w:trPr/>
        <w:tc>
          <w:tcPr>
            <w:tcW w:w="1074"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632" w:type="dxa"/>
            <w:gridSpan w:val="6"/>
            <w:tcBorders/>
            <w:shd w:fill="auto" w:val="clea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2022</w:t>
            </w:r>
          </w:p>
        </w:tc>
      </w:tr>
      <w:tr>
        <w:trPr/>
        <w:tc>
          <w:tcPr>
            <w:tcW w:w="29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Share-based compensation - expensed</w:t>
            </w:r>
            <w:r>
              <w:rPr>
                <w:rFonts w:ascii="Times New Roman;sans-serif" w:hAnsi="Times New Roman;sans-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Share-based compensation - capitalized</w:t>
            </w:r>
            <w:r>
              <w:rPr>
                <w:rFonts w:ascii="Times New Roman;sans-serif" w:hAnsi="Times New Roman;sans-serif"/>
                <w:b w:val="false"/>
                <w:color w:val="000000"/>
                <w:sz w:val="11"/>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60"/>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Recorded within General and Administrative Expense on the Consolidated Income Statements.</w:t>
      </w:r>
    </w:p>
    <w:p>
      <w:pPr>
        <w:pStyle w:val="TextBody"/>
        <w:spacing w:lineRule="auto" w:line="288" w:before="0" w:after="0"/>
        <w:ind w:left="0" w:right="0" w:hanging="18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Capitalized to Land Improvements and Buildings on the Consolidated Balance Sheets.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before="0" w:after="0"/>
        <w:jc w:val="center"/>
        <w:rPr/>
      </w:pPr>
      <w:r>
        <w:rPr/>
      </w:r>
    </w:p>
    <w:p>
      <w:pPr>
        <w:pStyle w:val="TextBody"/>
        <w:spacing w:before="0" w:after="0"/>
        <w:jc w:val="center"/>
        <w:rPr/>
      </w:pPr>
      <w:r>
        <w:rPr/>
      </w:r>
    </w:p>
    <w:p>
      <w:pPr>
        <w:pStyle w:val="TextBody"/>
        <w:spacing w:lineRule="auto" w:line="288" w:before="0" w:after="0"/>
        <w:ind w:left="0" w:right="0" w:hanging="540"/>
        <w:rPr>
          <w:rFonts w:ascii="Times New Roman;sans-serif" w:hAnsi="Times New Roman;sans-serif"/>
          <w:b/>
          <w:color w:val="000000"/>
          <w:sz w:val="20"/>
        </w:rPr>
      </w:pPr>
      <w:r>
        <w:rPr>
          <w:rFonts w:ascii="Times New Roman;sans-serif" w:hAnsi="Times New Roman;sans-serif"/>
          <w:b/>
          <w:color w:val="000000"/>
          <w:sz w:val="20"/>
        </w:rPr>
        <w:t>11. Segment Reporting</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ASC Topic 280, "</w:t>
      </w:r>
      <w:r>
        <w:rPr>
          <w:rFonts w:ascii="Times New Roman;sans-serif" w:hAnsi="Times New Roman;sans-serif"/>
          <w:b w:val="false"/>
          <w:i/>
          <w:color w:val="000000"/>
          <w:sz w:val="20"/>
        </w:rPr>
        <w:t>Segment Reporting,</w:t>
      </w:r>
      <w:r>
        <w:rPr>
          <w:rFonts w:ascii="Times New Roman;sans-serif" w:hAnsi="Times New Roman;sans-serif"/>
          <w:b w:val="false"/>
          <w:color w:val="000000"/>
          <w:sz w:val="20"/>
        </w:rPr>
        <w:t>" establishes standards for the way that business enterprises report information about operating segments in its financial statements. As described in Note 1, "Basis of Presentation,"</w:t>
      </w:r>
      <w:r>
        <w:rPr>
          <w:color w:val="000000"/>
        </w:rPr>
        <w:t xml:space="preserve"> </w:t>
      </w:r>
      <w:r>
        <w:rPr>
          <w:rFonts w:ascii="Times New Roman;sans-serif" w:hAnsi="Times New Roman;sans-serif"/>
          <w:b w:val="false"/>
          <w:color w:val="000000"/>
          <w:sz w:val="20"/>
        </w:rPr>
        <w:t>we analyze our operating results through the following segments: (i) Manufactured home ("MH") communities, (ii) Recreational vehicle ("RV") communities and (iii) Marina. Hybrid properties are classified to a segment based on the predominant site counts at the properties. We evaluate segment operating performance based on NOI.</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MH segment owns, operates, develops, or has an interest in, a portfolio of MH communities in the U.S. and the UK, and is in the business of acquiring, operating and developing ground-up MH communities to provide affordable housing solutions to residents. The MH segment in the U.S. also provides manufactured home sales and leasing services to tenants and prospective tenants of our communities. The MH segment in the UK provides holiday home sales and associated site license activities to holiday homeowners in our communities.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RV segment owns, operates, develops, or has an interest in, a portfolio of RV communities and is in the business of acquiring, operating and developing ground-up RV communities in the U.S. and Canada. It also provides leasing services for vacation rentals within the RV communities.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Marina segment owns, operates and develops marinas, and is in the business of acquiring and operating marinas in the U.S., with the majority of such marinas concentrated in coastal regions, and others located in various inland regions.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presentation of segment financial information is summarized as follows (in millions):</w:t>
      </w:r>
    </w:p>
    <w:p>
      <w:pPr>
        <w:pStyle w:val="TextBody"/>
        <w:spacing w:before="0" w:after="0"/>
        <w:jc w:val="both"/>
        <w:rPr/>
      </w:pPr>
      <w:r>
        <w:rPr/>
      </w:r>
    </w:p>
    <w:tbl>
      <w:tblPr>
        <w:tblW w:w="10863" w:type="dxa"/>
        <w:jc w:val="left"/>
        <w:tblInd w:w="0" w:type="dxa"/>
        <w:tblCellMar>
          <w:top w:w="28" w:type="dxa"/>
          <w:left w:w="28" w:type="dxa"/>
          <w:bottom w:w="28" w:type="dxa"/>
          <w:right w:w="28" w:type="dxa"/>
        </w:tblCellMar>
      </w:tblPr>
      <w:tblGrid>
        <w:gridCol w:w="744"/>
        <w:gridCol w:w="258"/>
        <w:gridCol w:w="25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39"/>
        <w:gridCol w:w="678"/>
        <w:gridCol w:w="134"/>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37"/>
        <w:gridCol w:w="672"/>
        <w:gridCol w:w="187"/>
      </w:tblGrid>
      <w:tr>
        <w:trPr/>
        <w:tc>
          <w:tcPr>
            <w:tcW w:w="74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602" w:type="dxa"/>
            <w:gridSpan w:val="4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6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2022</w:t>
            </w:r>
          </w:p>
        </w:tc>
      </w:tr>
      <w:tr>
        <w:trPr/>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Consolidated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Consolidated</w:t>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630.3 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533.7 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expenses / Cost of sales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349.9 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271.8 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NOI</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280.4 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261.9 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Adjustments to arrive at net income</w:t>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income</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11.4 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Brokerage commissions and other revenues, net</w:t>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General and administrative expense</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(63.9)</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(55.7)</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Catastrophic event-related charges, net</w:t>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Business combination expense, net</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(158.0)</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(148.5)</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Loss on extinguishment of debt (see Note 8)</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expense</w:t>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(76.6)</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(45.2)</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on mandatorily redeemable preferred OP units / equity</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Loss on remeasurement of marketable securities</w:t>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(19.9)</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(34.5)</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Loss on foreign currency exchanges</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dispositions of properties</w:t>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expense, net</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notes receivable</w:t>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Income / (loss) from nonconsolidated affiliates (see Note 6)</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investment in nonconsolidated affiliates</w:t>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tax expense</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tax benefit</w:t>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Income / (Loss)</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(32.9)</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Preferred return to preferred OP units / equity interests</w:t>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Loss attributable to noncontrolling interests</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Income / (Loss) Attributable to SUI Common Shareholders</w:t>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(30.1)</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5292"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23" w:type="dxa"/>
            <w:gridSpan w:val="4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969" w:type="dxa"/>
            <w:gridSpan w:val="36"/>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tbl>
      <w:tblPr>
        <w:tblW w:w="11563" w:type="dxa"/>
        <w:jc w:val="left"/>
        <w:tblInd w:w="0" w:type="dxa"/>
        <w:tblCellMar>
          <w:top w:w="28" w:type="dxa"/>
          <w:left w:w="28" w:type="dxa"/>
          <w:bottom w:w="28" w:type="dxa"/>
          <w:right w:w="28" w:type="dxa"/>
        </w:tblCellMar>
      </w:tblPr>
      <w:tblGrid>
        <w:gridCol w:w="477"/>
        <w:gridCol w:w="301"/>
        <w:gridCol w:w="303"/>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781"/>
        <w:gridCol w:w="109"/>
        <w:gridCol w:w="109"/>
        <w:gridCol w:w="109"/>
        <w:gridCol w:w="109"/>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781"/>
        <w:gridCol w:w="154"/>
      </w:tblGrid>
      <w:tr>
        <w:trPr/>
        <w:tc>
          <w:tcPr>
            <w:tcW w:w="477"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5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Consolidated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Consolidated</w:t>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Identifiable Assets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property, net</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6,871.5 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3,808.2 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3,171.1 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13,850.8 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7,181.7 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3,744.3 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3,045.0 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13,971.0 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cash equivalents and restricted cash</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Marketable securities</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Inventory of manufactured homes</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Notes and other receivables, net</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617.3 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Goodwill</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intangible assets, net</w:t>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 net</w:t>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8,986.6 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4,085.4 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4,291.8 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17,363.8 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8,899.2 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4,034.7 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4,150.3 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17,084.2 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1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before="0" w:after="0"/>
        <w:jc w:val="center"/>
        <w:rPr/>
      </w:pPr>
      <w:r>
        <w:rPr/>
      </w:r>
    </w:p>
    <w:p>
      <w:pPr>
        <w:pStyle w:val="TextBody"/>
        <w:spacing w:before="0" w:after="0"/>
        <w:jc w:val="center"/>
        <w:rPr/>
      </w:pPr>
      <w:r>
        <w:rPr/>
      </w:r>
    </w:p>
    <w:p>
      <w:pPr>
        <w:pStyle w:val="TextBody"/>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elected to be taxed as a real estate investment trust ("REIT") pursuant to Section 856(c) of the Internal Revenue Code of 1986, as amended ("Code"). In order for us to qualify as a REIT, at least 95% of our gross income in any year must be derived from qualifying sources. In addition, a REIT must distribute annually at least 90% of its REIT taxable income (calculated without any deduction for dividends paid and excluding capital gain) to its shareholders and meet other tests.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Qualification as a REIT involves the satisfaction of numerous requirements (on an annual and quarterly basis) established under highly technical and complex Code provisions for which there are limited judicial or administrative interpretations and involves the determination of various factual matters and circumstances not entirely within our control. In addition, frequent changes occur in the area of REIT taxation, which requires us to continually monitor our tax status. We analyzed the various REIT tests and confirmed that we continued to qualify as a REIT for the three months ended March 31, 2023.</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REIT, we generally will not be subject to U.S. federal income taxes at the corporate level on the ordinary taxable income we distribute to our shareholders as dividends. If we fail to qualify as a REIT in any taxable year, our taxable income could be subject to U.S. federal income tax at regular corporate rates. Even if we qualify as a REIT, we may be subject to certain state and local income taxes, as well as U.S. federal income and excise taxes on our undistributed income. In addition, taxable income from non-REIT activities managed through taxable REIT subsidiaries is subject to federal, state and local income taxes. We are also subject to local income taxes in Canada, Puerto Rico and the UK due to certain properties located in those jurisdictions. We do not provide for withholding taxes on our undistributed earnings from our Canadian subsidiaries as they are reinvested and will continue to be reinvested indefinitely outside of the U.S. However, we are subject to Australian withholding taxes on distributions from our investment in Ingenia Communities Group. As currently structured, we are not subject to UK withholding taxes on distributions from our UK properties.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 and liabilities reflect the impact of temporary differences between the amounts of assets and liabilities for financial reporting purposes and the basis of such assets and liabilities as measured by tax laws. Deferred tax assets are reduced, if necessary, by a valuation allowance to the amount where realization is more likely than not assured after considering all available evidence. Our temporary differences primarily relate to net operating loss carryforwards, depreciation and basis differences between tax and GAAP. Our deferred tax assets that have a full valuation allowance relate to our taxable REIT subsidiaries. As of March 31, 2023, we had $230.4 million of net deferred tax liabilities, comprised of deferred tax assets, net of valuation allowance of $37.6 million, and deferred tax liabilities of $268.0 million. Additionally, we have $59.0 million of deferred tax liabilities that have been reclassified as real estate held for sale. Refer to Note 3, "Real Estate Acquisitions and Dispositions," for additional information. The deferred tax liability balance is comprised primarily of basis differences in our foreign investment in properties in the UK and Canada. As of December 31, 2022, we had $308.6 million of net deferred tax liabilities, comprised of deferred tax assets, net of valuation allowance of $49.8 million, and deferred tax liabilities of $340.8 million. The net deferred tax assets and deferred tax liabilities are recorded within Other assets and Other liabilities, respectively, on our Consolidated Balance Sheets as of March 31, 2023 and December 31, 2022.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had no unrecognized tax benefits as of March 31, 2023 and 2022. We do not expect significant changes in tax positions that would result in unrecognized tax benefits within one year of March 31, 2023.</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 xml:space="preserve">For the three months ended March 31, 2023 and </w:t>
      </w:r>
      <w:r>
        <w:rPr>
          <w:rFonts w:ascii="Times New Roman;sans-serif" w:hAnsi="Times New Roman;sans-serif"/>
          <w:b w:val="false"/>
          <w:color w:val="000000"/>
          <w:sz w:val="20"/>
        </w:rPr>
        <w:t>2022</w:t>
      </w:r>
      <w:r>
        <w:rPr>
          <w:rFonts w:ascii="Times New Roman;sans-serif" w:hAnsi="Times New Roman;sans-serif"/>
          <w:b w:val="false"/>
          <w:color w:val="000000"/>
          <w:sz w:val="20"/>
          <w:highlight w:val="white"/>
        </w:rPr>
        <w:t>,</w:t>
      </w:r>
      <w:r>
        <w:rPr>
          <w:color w:val="000000"/>
        </w:rPr>
        <w:t xml:space="preserve"> </w:t>
      </w:r>
      <w:r>
        <w:rPr>
          <w:rFonts w:ascii="Times New Roman;sans-serif" w:hAnsi="Times New Roman;sans-serif"/>
          <w:b w:val="false"/>
          <w:color w:val="000000"/>
          <w:sz w:val="20"/>
        </w:rPr>
        <w:t>we recorded current tax expense for federal, state, Canadian, Puerto Rican, and UK income taxes and Australian withholding taxes totaling $3.9 million and $1.3 million, respectively.</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For the three months ended March 31, 2023, we recorded a deferred tax benefit o</w:t>
      </w:r>
      <w:r>
        <w:rPr>
          <w:rFonts w:ascii="Times New Roman;sans-serif" w:hAnsi="Times New Roman;sans-serif"/>
          <w:b w:val="false"/>
          <w:color w:val="000000"/>
          <w:sz w:val="20"/>
        </w:rPr>
        <w:t>f $4.6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before="0" w:after="0"/>
        <w:jc w:val="center"/>
        <w:rPr/>
      </w:pPr>
      <w:r>
        <w:rPr/>
      </w:r>
    </w:p>
    <w:p>
      <w:pPr>
        <w:pStyle w:val="TextBody"/>
        <w:spacing w:before="0" w:after="0"/>
        <w:jc w:val="center"/>
        <w:rPr/>
      </w:pPr>
      <w:r>
        <w:rPr/>
      </w:r>
    </w:p>
    <w:p>
      <w:pPr>
        <w:pStyle w:val="TextBody"/>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13. Earnings Per Share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Earnings per share ("EPS") is computed by dividing net income by the weighted average number of common shares outstanding during the period on a basic and diluted basis. We calculate diluted EPS using the more dilutive of the treasury stock method and the two-class method for stock option and restricted common shares, the treasury stock method for forward equity sales and the if converted method for convertible units.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enter into forward equity sales agreements, which are discussed in Note 9, "Equity and Temporary Equity." We considered the potential dilution resulting from the forward equity sales agreements on the EPS calculations. At inception, the agreements do not have an effect on the computation of basic EPS as no shares are delivered unless there is a physical settlement. Common shares issued upon the physical settlement of the forward equity sales agreements, weighted for the period these common shares are outstanding, are included in the denominator of basic EPS. To determine the dilution resulting from the forward equity sales agreements during the period of time prior to settlement, we calculate the number of weighted-average shares outstanding - diluted in accordance with the treasury stock method.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potentially dilutive securities include our potential common shares related to our forward equity offerings, our unvested restricted common shares, and our Operating Partnership outstanding common OP units, Series A-1 preferred OP units, Series A-3 preferred OP units, Series C preferred OP units, Series D preferred OP units, Series E preferred OP units, Series F preferred OP units, Series G preferred OP units, Series H preferred OP units, Series J preferred OP units, Series K preferred OP units and Aspen preferred OP Units, which, if converted or exercised, may impact dilution.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Diluted EPS considers the impact of potentially dilutive securities except when the potential common shares have an anti-dilutive effect. Our unvested restricted stock common shares contain rights to receive non-forfeitable distributions and participate equally with common stock with respect to distributions issued or declared, and thus, are participating securities, requiring the two-class method of computing EPS. In calculating the two-class method, undistributed earnings are allocated to both common shares and participating securities based on the weighted average number of shares outstanding during the period. The two-class method determines EPS by (1) dividing the sum of distributed earnings allocated to common shareholders and undistributed earnings allocated to common shareholders by the weighted average number of shares of common stock outstanding for the period; and (2) dividing the sum of distributed earnings allocated to participating securities and undistributed earnings allocated to participating securities by the weighted average number of shares of participating securities for the period. The remaining potential dilutive common shares do not contain rights to distributions and are included in the computation of diluted EPS.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Computations of basic and diluted EPS were as follows (in millions, except for per share data):</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2462"/>
        <w:gridCol w:w="2167"/>
        <w:gridCol w:w="2188"/>
        <w:gridCol w:w="109"/>
        <w:gridCol w:w="109"/>
        <w:gridCol w:w="109"/>
        <w:gridCol w:w="267"/>
        <w:gridCol w:w="723"/>
        <w:gridCol w:w="148"/>
        <w:gridCol w:w="109"/>
        <w:gridCol w:w="109"/>
        <w:gridCol w:w="109"/>
        <w:gridCol w:w="319"/>
        <w:gridCol w:w="614"/>
        <w:gridCol w:w="177"/>
        <w:gridCol w:w="109"/>
        <w:gridCol w:w="109"/>
        <w:gridCol w:w="109"/>
        <w:gridCol w:w="159"/>
      </w:tblGrid>
      <w:tr>
        <w:trPr/>
        <w:tc>
          <w:tcPr>
            <w:tcW w:w="2462"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sz w:val="4"/>
                <w:szCs w:val="4"/>
              </w:rPr>
            </w:pPr>
            <w:r>
              <w:rPr>
                <w:sz w:val="4"/>
                <w:szCs w:val="4"/>
              </w:rPr>
            </w:r>
          </w:p>
        </w:tc>
        <w:tc>
          <w:tcPr>
            <w:tcW w:w="2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gridSpan w:val="2"/>
            <w:tcBorders/>
            <w:shd w:fill="auto" w:val="clear"/>
          </w:tcPr>
          <w:p>
            <w:pPr>
              <w:pStyle w:val="TableContents"/>
              <w:spacing w:before="0" w:after="283"/>
              <w:rPr>
                <w:sz w:val="4"/>
                <w:szCs w:val="4"/>
              </w:rPr>
            </w:pPr>
            <w:r>
              <w:rPr>
                <w:sz w:val="4"/>
                <w:szCs w:val="4"/>
              </w:rPr>
            </w:r>
          </w:p>
        </w:tc>
      </w:tr>
      <w:tr>
        <w:trPr/>
        <w:tc>
          <w:tcPr>
            <w:tcW w:w="6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Numerator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 (loss) attributable to SUI common shareholders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(30.1)</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allocation to restricted stock awards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Basic earnings - net income / (loss) attributable to common shareholders after allocation to restricted stock awards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(30.0)</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 allocation to restricted stock awards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 allocation to common and preferred OP units dilutive effect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1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Diluted earnings - net income / (loss) attributable to common shareholders after allocation to common and preferred OP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(30.7)</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tbl>
      <w:tblPr>
        <w:tblW w:w="7177" w:type="dxa"/>
        <w:jc w:val="left"/>
        <w:tblInd w:w="0" w:type="dxa"/>
        <w:tblCellMar>
          <w:top w:w="28" w:type="dxa"/>
          <w:left w:w="28" w:type="dxa"/>
          <w:bottom w:w="28" w:type="dxa"/>
          <w:right w:w="28" w:type="dxa"/>
        </w:tblCellMar>
      </w:tblPr>
      <w:tblGrid>
        <w:gridCol w:w="1601"/>
        <w:gridCol w:w="1408"/>
        <w:gridCol w:w="1416"/>
        <w:gridCol w:w="109"/>
        <w:gridCol w:w="109"/>
        <w:gridCol w:w="109"/>
        <w:gridCol w:w="196"/>
        <w:gridCol w:w="541"/>
        <w:gridCol w:w="109"/>
        <w:gridCol w:w="109"/>
        <w:gridCol w:w="109"/>
        <w:gridCol w:w="109"/>
        <w:gridCol w:w="196"/>
        <w:gridCol w:w="466"/>
        <w:gridCol w:w="109"/>
        <w:gridCol w:w="109"/>
        <w:gridCol w:w="109"/>
        <w:gridCol w:w="109"/>
        <w:gridCol w:w="154"/>
      </w:tblGrid>
      <w:tr>
        <w:trPr/>
        <w:tc>
          <w:tcPr>
            <w:tcW w:w="1601" w:type="dxa"/>
            <w:tcBorders/>
            <w:shd w:fill="auto" w:val="clear"/>
            <w:vAlign w:val="center"/>
          </w:tcPr>
          <w:p>
            <w:pPr>
              <w:pStyle w:val="TableContents"/>
              <w:spacing w:before="0" w:after="283"/>
              <w:rPr>
                <w:sz w:val="4"/>
                <w:szCs w:val="4"/>
              </w:rPr>
            </w:pPr>
            <w:r>
              <w:rPr>
                <w:sz w:val="4"/>
                <w:szCs w:val="4"/>
              </w:rPr>
            </w:r>
          </w:p>
        </w:tc>
        <w:tc>
          <w:tcPr>
            <w:tcW w:w="1408" w:type="dxa"/>
            <w:tcBorders/>
            <w:shd w:fill="auto" w:val="clear"/>
            <w:vAlign w:val="center"/>
          </w:tcPr>
          <w:p>
            <w:pPr>
              <w:pStyle w:val="TableContents"/>
              <w:spacing w:before="0" w:after="283"/>
              <w:rPr>
                <w:sz w:val="4"/>
                <w:szCs w:val="4"/>
              </w:rPr>
            </w:pPr>
            <w:r>
              <w:rPr>
                <w:sz w:val="4"/>
                <w:szCs w:val="4"/>
              </w:rPr>
            </w:r>
          </w:p>
        </w:tc>
        <w:tc>
          <w:tcPr>
            <w:tcW w:w="14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Denominator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 common shares dilutive effect: Forward Equity Offering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 dilutive restricted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 common and preferred OP units dilutive effect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Diluted weighted average common shares and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EPS Available to Common Shareholders After Allocation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Basic earnings / (loss)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Diluted earnings / (loss)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excluded certain convertible securities from the computation of diluted EPS because the inclusion of those securities would have been anti-dilutive for the periods presented. The following table presents the outstanding securities that were excluded from the computation of diluted EPS as of March 31, 2023 and 2022 (in thousands):</w:t>
      </w:r>
    </w:p>
    <w:p>
      <w:pPr>
        <w:pStyle w:val="TextBody"/>
        <w:spacing w:before="0" w:after="0"/>
        <w:jc w:val="both"/>
        <w:rPr/>
      </w:pPr>
      <w:r>
        <w:rPr/>
      </w:r>
    </w:p>
    <w:tbl>
      <w:tblPr>
        <w:tblW w:w="5287" w:type="dxa"/>
        <w:jc w:val="left"/>
        <w:tblInd w:w="0" w:type="dxa"/>
        <w:tblCellMar>
          <w:top w:w="28" w:type="dxa"/>
          <w:left w:w="28" w:type="dxa"/>
          <w:bottom w:w="28" w:type="dxa"/>
          <w:right w:w="28" w:type="dxa"/>
        </w:tblCellMar>
      </w:tblPr>
      <w:tblGrid>
        <w:gridCol w:w="749"/>
        <w:gridCol w:w="659"/>
        <w:gridCol w:w="662"/>
        <w:gridCol w:w="109"/>
        <w:gridCol w:w="109"/>
        <w:gridCol w:w="109"/>
        <w:gridCol w:w="419"/>
        <w:gridCol w:w="419"/>
        <w:gridCol w:w="421"/>
        <w:gridCol w:w="109"/>
        <w:gridCol w:w="109"/>
        <w:gridCol w:w="109"/>
        <w:gridCol w:w="380"/>
        <w:gridCol w:w="380"/>
        <w:gridCol w:w="544"/>
      </w:tblGrid>
      <w:tr>
        <w:trPr/>
        <w:tc>
          <w:tcPr>
            <w:tcW w:w="749"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of</w:t>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2022</w:t>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OP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2,551 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A-1 preferred OP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208 </w:t>
            </w:r>
          </w:p>
        </w:tc>
        <w:tc>
          <w:tcPr>
            <w:tcW w:w="4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272 </w:t>
            </w:r>
          </w:p>
        </w:tc>
        <w:tc>
          <w:tcPr>
            <w:tcW w:w="5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A-3 preferred OP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4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5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Aspen preferred OP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989 </w:t>
            </w:r>
          </w:p>
        </w:tc>
        <w:tc>
          <w:tcPr>
            <w:tcW w:w="4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1,284 </w:t>
            </w:r>
          </w:p>
        </w:tc>
        <w:tc>
          <w:tcPr>
            <w:tcW w:w="5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C preferred OP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306 </w:t>
            </w:r>
          </w:p>
        </w:tc>
        <w:tc>
          <w:tcPr>
            <w:tcW w:w="4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306 </w:t>
            </w:r>
          </w:p>
        </w:tc>
        <w:tc>
          <w:tcPr>
            <w:tcW w:w="5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D preferred OP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489 </w:t>
            </w:r>
          </w:p>
        </w:tc>
        <w:tc>
          <w:tcPr>
            <w:tcW w:w="4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489 </w:t>
            </w:r>
          </w:p>
        </w:tc>
        <w:tc>
          <w:tcPr>
            <w:tcW w:w="5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E preferred OP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80 </w:t>
            </w:r>
          </w:p>
        </w:tc>
        <w:tc>
          <w:tcPr>
            <w:tcW w:w="4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85 </w:t>
            </w:r>
          </w:p>
        </w:tc>
        <w:tc>
          <w:tcPr>
            <w:tcW w:w="5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F preferred OP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90 </w:t>
            </w:r>
          </w:p>
        </w:tc>
        <w:tc>
          <w:tcPr>
            <w:tcW w:w="4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90 </w:t>
            </w:r>
          </w:p>
        </w:tc>
        <w:tc>
          <w:tcPr>
            <w:tcW w:w="5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G preferred OP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240 </w:t>
            </w:r>
          </w:p>
        </w:tc>
        <w:tc>
          <w:tcPr>
            <w:tcW w:w="4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241 </w:t>
            </w:r>
          </w:p>
        </w:tc>
        <w:tc>
          <w:tcPr>
            <w:tcW w:w="5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H preferred OP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581 </w:t>
            </w:r>
          </w:p>
        </w:tc>
        <w:tc>
          <w:tcPr>
            <w:tcW w:w="4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581 </w:t>
            </w:r>
          </w:p>
        </w:tc>
        <w:tc>
          <w:tcPr>
            <w:tcW w:w="5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Series I preferred OP units</w:t>
            </w:r>
            <w:r>
              <w:rPr>
                <w:rFonts w:ascii="Times New Roman;sans-serif" w:hAnsi="Times New Roman;sans-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922 </w:t>
            </w:r>
          </w:p>
        </w:tc>
        <w:tc>
          <w:tcPr>
            <w:tcW w:w="5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J preferred OP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239 </w:t>
            </w:r>
          </w:p>
        </w:tc>
        <w:tc>
          <w:tcPr>
            <w:tcW w:w="4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240 </w:t>
            </w:r>
          </w:p>
        </w:tc>
        <w:tc>
          <w:tcPr>
            <w:tcW w:w="5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K preferred OP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4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r>
      <w:tr>
        <w:trPr/>
        <w:tc>
          <w:tcPr>
            <w:tcW w:w="2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4,262 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7,101 </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All of our outstanding Series I preferred OP units converted during the year ended December 31, 2022.</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540"/>
        <w:rPr>
          <w:rFonts w:ascii="Times New Roman;sans-serif" w:hAnsi="Times New Roman;sans-serif"/>
          <w:b/>
          <w:color w:val="000000"/>
          <w:sz w:val="20"/>
        </w:rPr>
      </w:pPr>
      <w:r>
        <w:rPr>
          <w:rFonts w:ascii="Times New Roman;sans-serif" w:hAnsi="Times New Roman;sans-serif"/>
          <w:b/>
          <w:color w:val="000000"/>
          <w:sz w:val="20"/>
        </w:rPr>
        <w:t>14. Derivative Financial Instruments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objective and strategy in using interest rate derivatives is to manage exposure to interest rate movements, thereby minimizing the effect of interest rate changes and the effect they could have on future cash outflows (forecasted interest payments) on a forecasted issuance of long-term debt or on outstanding floating rate debt. We typically enter into treasury locks and interest rate swaps to accomplish this objective. We do not enter into derivative instruments for speculative purposes. We recognize derivative instruments at fair value on a recurring basis on the Consolidated Balance Sheets and classify the derivatives within Level 2 of the fair value hierarchy. We adjust our Consolidated Balance Sheets on a quarterly basis to reflect the current fair market value of the derivative instruments.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As of March 31, 2023, we held four interest rate swap contracts, which have each been designated as a cash flow hedge under ASC Topic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The risk being hedged is the interest rate risk related to forecasted debt issuance transactions and the benchmark interest rate used is the SOFR. Additionally, the interest rate risk related to outstanding floating rate debt is being hedged and the benchmark interest rate used is the SONIA Rate. The unrealized gains or losses on the derivative instruments are recorded in Accumulated other comprehensive income / (loss) and are reclassified to Interest expense on the Consolidated Statements of Operations during the same period in which the hedged transaction affects earnings. We estimate that $13.4 million will be reclassified as a reduction to Interest expense over the next 12 months for all of our outstanding cash flow hedges. Cash flow from these derivative instruments is classified in the same category as the cash flow items being hedged on the Consolidated Statements of Cash Flows.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entered into one interest rate swap contract to hedge variable rate borrowings of £100.0 million (equivalent to $123.7 million on March 31, 2023). The interest rate swap locks in a total fixed rate, inclusive of spread, of 4.808% through the maturity date of April 7, 2025. We also entered into one forward starting interest rate swap contract with an aggregate notional value of $50.0 million to hedge interest rate risk associated with a potential future debt offering.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in connection with the 2033 Notes issuance, we settled two $100.0 million 10-year treasury rate lock contracts and one $50.0 million forward swap totaling $250.0 million and received a net settlement payment of $7.4 million. This lowered the effective interest rate on the 2033 Notes from 5.7% to 5.5%. As of the settlement date, the net accumulated gain included in AOCI is being reclassified into earnings as a reduction to interest expense on a straight-line basis over the 10-year term of the hedged transaction.</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gross fair value amounts of our derivative financial instruments and the associated notional amounts (in millions):</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993"/>
        <w:gridCol w:w="874"/>
        <w:gridCol w:w="880"/>
        <w:gridCol w:w="109"/>
        <w:gridCol w:w="109"/>
        <w:gridCol w:w="109"/>
        <w:gridCol w:w="196"/>
        <w:gridCol w:w="556"/>
        <w:gridCol w:w="109"/>
        <w:gridCol w:w="109"/>
        <w:gridCol w:w="109"/>
        <w:gridCol w:w="109"/>
        <w:gridCol w:w="228"/>
        <w:gridCol w:w="542"/>
        <w:gridCol w:w="126"/>
        <w:gridCol w:w="109"/>
        <w:gridCol w:w="109"/>
        <w:gridCol w:w="109"/>
        <w:gridCol w:w="265"/>
        <w:gridCol w:w="551"/>
        <w:gridCol w:w="149"/>
        <w:gridCol w:w="109"/>
        <w:gridCol w:w="109"/>
        <w:gridCol w:w="109"/>
        <w:gridCol w:w="196"/>
        <w:gridCol w:w="556"/>
        <w:gridCol w:w="109"/>
        <w:gridCol w:w="109"/>
        <w:gridCol w:w="109"/>
        <w:gridCol w:w="109"/>
        <w:gridCol w:w="228"/>
        <w:gridCol w:w="542"/>
        <w:gridCol w:w="126"/>
        <w:gridCol w:w="109"/>
        <w:gridCol w:w="109"/>
        <w:gridCol w:w="109"/>
        <w:gridCol w:w="261"/>
        <w:gridCol w:w="542"/>
        <w:gridCol w:w="214"/>
      </w:tblGrid>
      <w:tr>
        <w:trPr/>
        <w:tc>
          <w:tcPr>
            <w:tcW w:w="993"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2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27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Derivatives designated as cash flow hedges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Notional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 xml:space="preserve">Fair Value </w:t>
            </w:r>
          </w:p>
          <w:p>
            <w:pPr>
              <w:pStyle w:val="TableContents"/>
              <w:spacing w:lineRule="auto" w:line="240" w:before="0" w:after="0"/>
              <w:jc w:val="center"/>
              <w:rPr/>
            </w:pPr>
            <w:r>
              <w:rPr>
                <w:rFonts w:ascii="Times New Roman;sans-serif" w:hAnsi="Times New Roman;sans-serif"/>
                <w:b/>
                <w:color w:val="000000"/>
                <w:sz w:val="17"/>
              </w:rPr>
              <w:t>of Assets</w:t>
            </w:r>
            <w:r>
              <w:rPr>
                <w:rFonts w:ascii="Times New Roman;sans-serif" w:hAnsi="Times New Roman;sans-serif"/>
                <w:b w:val="false"/>
                <w:color w:val="000000"/>
                <w:sz w:val="11"/>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 xml:space="preserve">Fair Value </w:t>
            </w:r>
          </w:p>
          <w:p>
            <w:pPr>
              <w:pStyle w:val="TableContents"/>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of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Notional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 xml:space="preserve">Fair Value </w:t>
            </w:r>
          </w:p>
          <w:p>
            <w:pPr>
              <w:pStyle w:val="TableContents"/>
              <w:spacing w:lineRule="auto" w:line="240" w:before="0" w:after="0"/>
              <w:jc w:val="center"/>
              <w:rPr/>
            </w:pPr>
            <w:r>
              <w:rPr>
                <w:rFonts w:ascii="Times New Roman;sans-serif" w:hAnsi="Times New Roman;sans-serif"/>
                <w:b/>
                <w:color w:val="000000"/>
                <w:sz w:val="17"/>
              </w:rPr>
              <w:t>of Assets</w:t>
            </w:r>
            <w:r>
              <w:rPr>
                <w:rFonts w:ascii="Times New Roman;sans-serif" w:hAnsi="Times New Roman;sans-serif"/>
                <w:b w:val="false"/>
                <w:color w:val="000000"/>
                <w:sz w:val="11"/>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 xml:space="preserve">Fair Value </w:t>
            </w:r>
          </w:p>
          <w:p>
            <w:pPr>
              <w:pStyle w:val="TableContents"/>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of Liabilities</w:t>
            </w:r>
          </w:p>
        </w:tc>
      </w:tr>
      <w:tr>
        <w:trPr/>
        <w:tc>
          <w:tcPr>
            <w:tcW w:w="274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rate derivatives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Included within Other Assets, net on the Consolidated Balance Sheets.</w:t>
      </w:r>
    </w:p>
    <w:tbl>
      <w:tblPr>
        <w:tblW w:w="2022"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15, "Fair Value of Financial Instruments," for additional information related to the fair value methodology used for derivative financial instruments.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gains / (losses) on derivatives in cash flow hedging relationships recognized in Other Comprehensive Income (in millions):</w:t>
      </w:r>
    </w:p>
    <w:p>
      <w:pPr>
        <w:pStyle w:val="TextBody"/>
        <w:spacing w:before="0" w:after="0"/>
        <w:jc w:val="both"/>
        <w:rPr/>
      </w:pPr>
      <w:r>
        <w:rPr/>
      </w:r>
    </w:p>
    <w:tbl>
      <w:tblPr>
        <w:tblW w:w="6411" w:type="dxa"/>
        <w:jc w:val="left"/>
        <w:tblInd w:w="0" w:type="dxa"/>
        <w:tblCellMar>
          <w:top w:w="28" w:type="dxa"/>
          <w:left w:w="28" w:type="dxa"/>
          <w:bottom w:w="28" w:type="dxa"/>
          <w:right w:w="28" w:type="dxa"/>
        </w:tblCellMar>
      </w:tblPr>
      <w:tblGrid>
        <w:gridCol w:w="1155"/>
        <w:gridCol w:w="1016"/>
        <w:gridCol w:w="1023"/>
        <w:gridCol w:w="109"/>
        <w:gridCol w:w="109"/>
        <w:gridCol w:w="109"/>
        <w:gridCol w:w="326"/>
        <w:gridCol w:w="752"/>
        <w:gridCol w:w="181"/>
        <w:gridCol w:w="109"/>
        <w:gridCol w:w="109"/>
        <w:gridCol w:w="109"/>
        <w:gridCol w:w="313"/>
        <w:gridCol w:w="745"/>
        <w:gridCol w:w="246"/>
      </w:tblGrid>
      <w:tr>
        <w:trPr/>
        <w:tc>
          <w:tcPr>
            <w:tcW w:w="1155"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r>
      <w:tr>
        <w:trPr/>
        <w:tc>
          <w:tcPr>
            <w:tcW w:w="31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Derivatives designated as cash flow hedges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2022</w:t>
            </w:r>
          </w:p>
        </w:tc>
      </w:tr>
      <w:tr>
        <w:trPr/>
        <w:tc>
          <w:tcPr>
            <w:tcW w:w="31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rate derivatives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24.1 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tbl>
      <w:tblPr>
        <w:tblW w:w="2022"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amount of gains / (losses) on derivative instruments reclassified from Accumulated Other Comprehensive Income into earnings (in millions):</w:t>
      </w:r>
    </w:p>
    <w:p>
      <w:pPr>
        <w:pStyle w:val="TextBody"/>
        <w:spacing w:before="0" w:after="0"/>
        <w:jc w:val="both"/>
        <w:rPr/>
      </w:pPr>
      <w:r>
        <w:rPr/>
      </w:r>
    </w:p>
    <w:tbl>
      <w:tblPr>
        <w:tblW w:w="9753" w:type="dxa"/>
        <w:jc w:val="left"/>
        <w:tblInd w:w="0" w:type="dxa"/>
        <w:tblCellMar>
          <w:top w:w="28" w:type="dxa"/>
          <w:left w:w="28" w:type="dxa"/>
          <w:bottom w:w="28" w:type="dxa"/>
          <w:right w:w="28" w:type="dxa"/>
        </w:tblCellMar>
      </w:tblPr>
      <w:tblGrid>
        <w:gridCol w:w="1155"/>
        <w:gridCol w:w="1016"/>
        <w:gridCol w:w="1023"/>
        <w:gridCol w:w="109"/>
        <w:gridCol w:w="109"/>
        <w:gridCol w:w="109"/>
        <w:gridCol w:w="859"/>
        <w:gridCol w:w="859"/>
        <w:gridCol w:w="861"/>
        <w:gridCol w:w="109"/>
        <w:gridCol w:w="109"/>
        <w:gridCol w:w="109"/>
        <w:gridCol w:w="362"/>
        <w:gridCol w:w="696"/>
        <w:gridCol w:w="201"/>
        <w:gridCol w:w="109"/>
        <w:gridCol w:w="109"/>
        <w:gridCol w:w="109"/>
        <w:gridCol w:w="326"/>
        <w:gridCol w:w="752"/>
        <w:gridCol w:w="181"/>
        <w:gridCol w:w="109"/>
        <w:gridCol w:w="109"/>
        <w:gridCol w:w="109"/>
        <w:gridCol w:w="154"/>
      </w:tblGrid>
      <w:tr>
        <w:trPr/>
        <w:tc>
          <w:tcPr>
            <w:tcW w:w="1155"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Financial Statement 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1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Derivatives designated as cash flow hedges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rate derivatives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540"/>
        <w:rPr>
          <w:rFonts w:ascii="Times New Roman;sans-serif" w:hAnsi="Times New Roman;sans-serif"/>
          <w:b/>
          <w:color w:val="000000"/>
          <w:sz w:val="20"/>
        </w:rPr>
      </w:pPr>
      <w:r>
        <w:rPr>
          <w:rFonts w:ascii="Times New Roman;sans-serif" w:hAnsi="Times New Roman;sans-serif"/>
          <w:b/>
          <w:color w:val="000000"/>
          <w:sz w:val="20"/>
        </w:rPr>
        <w:t>15. Fair Value of Financial Instruments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Our financial instruments consist primarily of cash, cash equivalents and restricted cash, marketable securities, notes and other receivables, derivatives assets, debt, warrants and other liabilities. We utilize fair value measurements to record fair value adjustments to certain assets and liabilities and to determine fair value disclosures, pursuant to ASC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The following methods and assumptions were used in order to estimate the fair value of each class of financial instruments for which it is practicable to estimate that value: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ASC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requires disclosure regarding determination of fair value for assets and liabilities and establishes a hierarchy under which these assets and liabilities must be grouped, based on significant levels of observable or unobservable inputs. Observable inputs reflect market data obtained from independent sources, while unobservable inputs reflect our market assumption. This hierarchy requires the use of observable market data when available. These two types of inputs have created the following fair value hierarchy: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1 - Quoted unadjusted prices for identical instruments in active markets that we have the ability to access;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2 - Quoted prices for similar instruments in active markets, quoted prices for identical or similar instruments in markets that are not active and model-derived valuations in which all significant inputs and significant value drivers are observable (e.g., interest rates, yield curves, prepayment speeds, default rates, loss severity, etc.) in active markets or can be corroborated by observable market data; and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3 - Valuations derived from valuation techniques in which one or more significant inputs or significant value drivers are unobservable. The unobservable inputs reflect our assumptions about the assumptions that market participants would use.</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Assets by Hierarchy Level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our financial assets and liabilities (in millions) that required disclosure of fair value on a recurring basis as of March 31, 2023. The table presents the carrying values and fair values of our financial instruments as of March 31, 2023 and December 31, 2022, that were measured using the valuation techniques described above. The table excludes other financial instruments such as other receivables and accounts payable as the carrying values associated with these instruments approximate their fair value since their maturities are less than one year. These are classified as Level 1 in the hierarchy.</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792"/>
        <w:gridCol w:w="504"/>
        <w:gridCol w:w="508"/>
        <w:gridCol w:w="109"/>
        <w:gridCol w:w="109"/>
        <w:gridCol w:w="109"/>
        <w:gridCol w:w="207"/>
        <w:gridCol w:w="731"/>
        <w:gridCol w:w="115"/>
        <w:gridCol w:w="109"/>
        <w:gridCol w:w="109"/>
        <w:gridCol w:w="109"/>
        <w:gridCol w:w="417"/>
        <w:gridCol w:w="1185"/>
        <w:gridCol w:w="232"/>
        <w:gridCol w:w="109"/>
        <w:gridCol w:w="109"/>
        <w:gridCol w:w="109"/>
        <w:gridCol w:w="278"/>
        <w:gridCol w:w="981"/>
        <w:gridCol w:w="154"/>
        <w:gridCol w:w="109"/>
        <w:gridCol w:w="109"/>
        <w:gridCol w:w="109"/>
        <w:gridCol w:w="322"/>
        <w:gridCol w:w="914"/>
        <w:gridCol w:w="181"/>
        <w:gridCol w:w="109"/>
        <w:gridCol w:w="109"/>
        <w:gridCol w:w="109"/>
        <w:gridCol w:w="196"/>
        <w:gridCol w:w="691"/>
        <w:gridCol w:w="162"/>
      </w:tblGrid>
      <w:tr>
        <w:trPr/>
        <w:tc>
          <w:tcPr>
            <w:tcW w:w="792"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7021" w:type="dxa"/>
            <w:gridSpan w:val="24"/>
            <w:tcBorders/>
            <w:shd w:fill="auto" w:val="clear"/>
          </w:tcPr>
          <w:p>
            <w:pPr>
              <w:pStyle w:val="TableContents"/>
              <w:spacing w:before="0" w:after="283"/>
              <w:rPr>
                <w:sz w:val="4"/>
                <w:szCs w:val="4"/>
              </w:rPr>
            </w:pPr>
            <w:r>
              <w:rPr>
                <w:sz w:val="4"/>
                <w:szCs w:val="4"/>
              </w:rPr>
            </w:r>
          </w:p>
        </w:tc>
      </w:tr>
      <w:tr>
        <w:trPr/>
        <w:tc>
          <w:tcPr>
            <w:tcW w:w="1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4"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r>
      <w:tr>
        <w:trPr/>
        <w:tc>
          <w:tcPr>
            <w:tcW w:w="1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Carrying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Quoted Prices in Active Markets for Identical Assets and Liabilities </w:t>
              <w:b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Significant Other Observable Inputs </w:t>
              <w:b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Significant Unobservable Inputs </w:t>
              <w:b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Fair Value</w:t>
            </w:r>
          </w:p>
        </w:tc>
      </w:tr>
      <w:tr>
        <w:trPr/>
        <w:tc>
          <w:tcPr>
            <w:tcW w:w="1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74.8 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74.8 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74.8 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Marketable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105.5 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105.5 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105.5 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Installment notes receivable on manufactured homes,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62.2 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62.2 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62.2 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Notes receivable from real estate developers and operators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435.0 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435.0 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435.0 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15.2 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15.2 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assets measured at 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692.7 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180.3 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497.2 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692.7 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Financial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Secured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3,386.4 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8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3,386.4 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3,015.4 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r>
      <w:tr>
        <w:trPr/>
        <w:tc>
          <w:tcPr>
            <w:tcW w:w="1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Unsecured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Senior unsecured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2,175.6 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1,926.1 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Line of credit and other unsecured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1,900.0 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1,900.0 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unsecured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4,075.6 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4,075.6 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3,826.1 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financial liabilities (contingent consideration)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liabilities measured at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7,482.2 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7,462.0 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6,861.7 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792"/>
        <w:gridCol w:w="504"/>
        <w:gridCol w:w="508"/>
        <w:gridCol w:w="109"/>
        <w:gridCol w:w="109"/>
        <w:gridCol w:w="109"/>
        <w:gridCol w:w="207"/>
        <w:gridCol w:w="731"/>
        <w:gridCol w:w="115"/>
        <w:gridCol w:w="109"/>
        <w:gridCol w:w="109"/>
        <w:gridCol w:w="109"/>
        <w:gridCol w:w="417"/>
        <w:gridCol w:w="1185"/>
        <w:gridCol w:w="232"/>
        <w:gridCol w:w="109"/>
        <w:gridCol w:w="109"/>
        <w:gridCol w:w="109"/>
        <w:gridCol w:w="278"/>
        <w:gridCol w:w="981"/>
        <w:gridCol w:w="154"/>
        <w:gridCol w:w="109"/>
        <w:gridCol w:w="109"/>
        <w:gridCol w:w="109"/>
        <w:gridCol w:w="322"/>
        <w:gridCol w:w="914"/>
        <w:gridCol w:w="181"/>
        <w:gridCol w:w="109"/>
        <w:gridCol w:w="109"/>
        <w:gridCol w:w="109"/>
        <w:gridCol w:w="196"/>
        <w:gridCol w:w="691"/>
        <w:gridCol w:w="162"/>
      </w:tblGrid>
      <w:tr>
        <w:trPr/>
        <w:tc>
          <w:tcPr>
            <w:tcW w:w="792"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7021" w:type="dxa"/>
            <w:gridSpan w:val="24"/>
            <w:tcBorders/>
            <w:shd w:fill="auto" w:val="clear"/>
          </w:tcPr>
          <w:p>
            <w:pPr>
              <w:pStyle w:val="TableContents"/>
              <w:spacing w:before="0" w:after="283"/>
              <w:rPr>
                <w:sz w:val="4"/>
                <w:szCs w:val="4"/>
              </w:rPr>
            </w:pPr>
            <w:r>
              <w:rPr>
                <w:sz w:val="4"/>
                <w:szCs w:val="4"/>
              </w:rPr>
            </w:r>
          </w:p>
        </w:tc>
      </w:tr>
      <w:tr>
        <w:trPr/>
        <w:tc>
          <w:tcPr>
            <w:tcW w:w="1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4"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1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Carrying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Quoted Prices in Active Markets for Identical Assets and Liabilities </w:t>
              <w:b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Significant Other Observable Inputs </w:t>
              <w:b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Significant Unobservable Inputs </w:t>
              <w:b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Fair Value</w:t>
            </w:r>
          </w:p>
        </w:tc>
      </w:tr>
      <w:tr>
        <w:trPr/>
        <w:tc>
          <w:tcPr>
            <w:tcW w:w="1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90.4 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90.4 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Marketable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127.3 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127.3 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127.3 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Installment notes receivable on manufactured homes,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65.9 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65.9 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Notes receivable from real estate developers and operators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305.2 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305.2 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305.2 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32.0 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assets measured at 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620.8 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217.7 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371.1 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620.8 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Financial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Secured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3,217.8 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8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3,217.8 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2,814.1 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r>
      <w:tr>
        <w:trPr/>
        <w:tc>
          <w:tcPr>
            <w:tcW w:w="1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r>
      <w:tr>
        <w:trPr/>
        <w:tc>
          <w:tcPr>
            <w:tcW w:w="1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Unsecured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Senior unsecured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1,779.6 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1,779.6 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1,432.7 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Line of credit and other unsecured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2,199.8 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2,199.8 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2,199.8 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unsecured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3,979.4 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3,979.4 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3,632.5 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r>
      <w:tr>
        <w:trPr/>
        <w:tc>
          <w:tcPr>
            <w:tcW w:w="1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financial liabilities (contingent consideration)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liabilities measured at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7,217.4 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7,197.2 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6,466.8 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fair value measurements to record fair value adjustments to certain assets and liabilities and to determine fair value disclosures. The following methods and assumptions were used in order to estimate the fair value of each class of financial instruments for which it is practicable to estimate that value: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Cash Equivalents and Restricted Cash</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of cash, cash equivalents and restricted cash approximate their fair market values due to the short-term nature of the instruments. These are classified as Level 1 in the hierarchy.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Marketable Securities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marketable securities is measured by the quoted unadjusted share price which is readily available in active markets (Level 1). The change in the marketable securities balance was as follows (in millions):</w:t>
      </w:r>
    </w:p>
    <w:p>
      <w:pPr>
        <w:pStyle w:val="TextBody"/>
        <w:spacing w:before="0" w:after="0"/>
        <w:jc w:val="both"/>
        <w:rPr/>
      </w:pPr>
      <w:r>
        <w:rPr/>
      </w:r>
    </w:p>
    <w:tbl>
      <w:tblPr>
        <w:tblW w:w="6683" w:type="dxa"/>
        <w:jc w:val="left"/>
        <w:tblInd w:w="0" w:type="dxa"/>
        <w:tblCellMar>
          <w:top w:w="28" w:type="dxa"/>
          <w:left w:w="28" w:type="dxa"/>
          <w:bottom w:w="28" w:type="dxa"/>
          <w:right w:w="28" w:type="dxa"/>
        </w:tblCellMar>
      </w:tblPr>
      <w:tblGrid>
        <w:gridCol w:w="1042"/>
        <w:gridCol w:w="917"/>
        <w:gridCol w:w="920"/>
        <w:gridCol w:w="109"/>
        <w:gridCol w:w="109"/>
        <w:gridCol w:w="109"/>
        <w:gridCol w:w="365"/>
        <w:gridCol w:w="1037"/>
        <w:gridCol w:w="203"/>
        <w:gridCol w:w="109"/>
        <w:gridCol w:w="109"/>
        <w:gridCol w:w="109"/>
        <w:gridCol w:w="334"/>
        <w:gridCol w:w="950"/>
        <w:gridCol w:w="261"/>
      </w:tblGrid>
      <w:tr>
        <w:trPr/>
        <w:tc>
          <w:tcPr>
            <w:tcW w:w="1042"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Year Ended</w:t>
            </w:r>
          </w:p>
        </w:tc>
      </w:tr>
      <w:tr>
        <w:trPr/>
        <w:tc>
          <w:tcPr>
            <w:tcW w:w="2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Beginning Balance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127.3 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186.9 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fair value measurement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(19.9)</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(53.4)</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 reinvestment, net of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Ending Balance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105.5 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127.3 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Installment Notes Receivable on Manufactured Homes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Installment notes receivable on manufactured homes are recorded at fair value and are measured using model-derived indicative pricing using primarily unobservable inputs, inclusive of default rates, interest rates and recovery rates (Level 3). Refer to Note 4, "Notes and Other Receivables," for additional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Notes Receivable from Real Estate Developers and Operators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Notes receivable from real estate developers and operators are recorded at fair value and are measured using model-derived indicative pricing using primarily unobservable inputs including interest rates and counterparty performance (Level 3). The carrying values of the notes generally approximate their fair market values either due to the nature of the note and / or the note being secured primarily by underlying real estate and real estate related collateral and / or personal guarantees. Refer to Note 4, "Notes and Other Receivables," for additional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 Assets - Interest Rate Derivatives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rate derivatives are recorded at fair value and consist of treasury rate lock contracts, interest rate swaps and forward swaps. The fair value of these financial instruments are measured using observable inputs based on the 10-year Treasury note rate, the SOFR and SONIA Rates, respectively (Level 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Secured Debt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Secured debt consists primarily of our mortgage term loans. The fair value of mortgage term loans is based on the estimates of management and on rates currently quoted, rates currently prevailing for comparable loans and instruments of comparable maturities (Level 2). Refer to Note 8, "Debt and Line of Credit," for additional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Unsecured Debt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Senior unsecured notes - the fair value of senior unsecured notes is based on the estimates of management and on rates currently quoted, rates currently prevailing for comparable loans and instruments of comparable maturities (Level 2). Refer to Note 8, "Debt and Line of Credit," for additional information.</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Line of credit and other unsecured debt - consists primarily of our Senior Credit Facility. We have variable rates on our Senior Credit Facility. The fair value of the debt with variable rates approximates carrying value as the interest rates of these amounts approximate market rates. The estimated fair value of our indebtedness as of March 31, 2023 approximated its gross carrying value.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Financial Liabilities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the fair value of contingent consideration liabilities based on valuation models using significant unobservable inputs that generally consider discounting of future cash flows using market interest rates and adjusting for non-performance risk over the remaining term of the liability (Level 3).</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Level 3 Reconciliation, Measurements and Transfers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at the beginning fair value for the reporting period in which the changes occur. Availability of secondary market activity and consistency of pricing from third-party sources impacts our ability to classify securities as Level 2 or Level 3. There were no transfers into or out of Level 3 during the three months ended March 31, 2023.</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changes to our financial instruments carried at fair value and classified within Level 3 of the fair value hierarchy for the three months ended March 31, 2023 and 2022 (in millions):</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578"/>
        <w:gridCol w:w="405"/>
        <w:gridCol w:w="412"/>
        <w:gridCol w:w="109"/>
        <w:gridCol w:w="109"/>
        <w:gridCol w:w="109"/>
        <w:gridCol w:w="303"/>
        <w:gridCol w:w="723"/>
        <w:gridCol w:w="171"/>
        <w:gridCol w:w="109"/>
        <w:gridCol w:w="109"/>
        <w:gridCol w:w="109"/>
        <w:gridCol w:w="316"/>
        <w:gridCol w:w="896"/>
        <w:gridCol w:w="177"/>
        <w:gridCol w:w="109"/>
        <w:gridCol w:w="109"/>
        <w:gridCol w:w="109"/>
        <w:gridCol w:w="223"/>
        <w:gridCol w:w="463"/>
        <w:gridCol w:w="125"/>
        <w:gridCol w:w="109"/>
        <w:gridCol w:w="109"/>
        <w:gridCol w:w="109"/>
        <w:gridCol w:w="303"/>
        <w:gridCol w:w="723"/>
        <w:gridCol w:w="171"/>
        <w:gridCol w:w="109"/>
        <w:gridCol w:w="109"/>
        <w:gridCol w:w="109"/>
        <w:gridCol w:w="316"/>
        <w:gridCol w:w="896"/>
        <w:gridCol w:w="177"/>
        <w:gridCol w:w="109"/>
        <w:gridCol w:w="109"/>
        <w:gridCol w:w="109"/>
        <w:gridCol w:w="221"/>
        <w:gridCol w:w="459"/>
        <w:gridCol w:w="185"/>
      </w:tblGrid>
      <w:tr>
        <w:trPr/>
        <w:tc>
          <w:tcPr>
            <w:tcW w:w="578"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13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c>
          <w:tcPr>
            <w:tcW w:w="5570" w:type="dxa"/>
            <w:gridSpan w:val="24"/>
            <w:tcBorders/>
            <w:shd w:fill="auto" w:val="clear"/>
          </w:tcPr>
          <w:p>
            <w:pPr>
              <w:pStyle w:val="TableContents"/>
              <w:spacing w:before="0" w:after="283"/>
              <w:rPr>
                <w:sz w:val="4"/>
                <w:szCs w:val="4"/>
              </w:rPr>
            </w:pPr>
            <w:r>
              <w:rPr>
                <w:sz w:val="4"/>
                <w:szCs w:val="4"/>
              </w:rPr>
            </w:r>
          </w:p>
        </w:tc>
      </w:tr>
      <w:tr>
        <w:trPr/>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2022</w:t>
            </w:r>
          </w:p>
        </w:tc>
      </w:tr>
      <w:tr>
        <w:trPr/>
        <w:tc>
          <w:tcPr>
            <w:tcW w:w="13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Installment Notes Receivable on MH, net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Notes Receivable From Real Estate Developers and Operators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Warrants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Installment Notes Receivable on MH, net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Notes Receivable From Real Estate Developers and Operators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Warrants</w:t>
            </w:r>
          </w:p>
        </w:tc>
      </w:tr>
      <w:tr>
        <w:trPr/>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Level 3 beginning balance at December 31, 2022 and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305.2 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284.0 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5" w:type="dxa"/>
            <w:gridSpan w:val="3"/>
            <w:tcBorders/>
            <w:shd w:fill="auto" w:val="clear"/>
            <w:vAlign w:val="center"/>
          </w:tcPr>
          <w:p>
            <w:pPr>
              <w:pStyle w:val="TableContents"/>
              <w:spacing w:before="0" w:after="283"/>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Realized gains / (losses)</w:t>
            </w:r>
            <w:r>
              <w:rPr>
                <w:rFonts w:ascii="Times New Roman;sans-serif" w:hAnsi="Times New Roman;sans-serif"/>
                <w:b w:val="false"/>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Purchases and issuances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124.3 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30.5 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Sales and settlements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Dispositions of properties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Foreign currency exchange gain /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5" w:type="dxa"/>
            <w:gridSpan w:val="3"/>
            <w:tcBorders/>
            <w:shd w:fill="auto" w:val="clear"/>
            <w:vAlign w:val="center"/>
          </w:tcPr>
          <w:p>
            <w:pPr>
              <w:pStyle w:val="TableContents"/>
              <w:spacing w:before="0" w:after="283"/>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Level 3 ending balance at March 31, 2023 and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435.0 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304.4 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Includes realized gains / (losses) recorded in earnings within the following line items on the Consolidated Income Statements: Warrants - Income from nonconsolidated affiliates; Installment Notes Receivable on MH, net - Gain on remeasurement of notes receivable.</w:t>
      </w:r>
    </w:p>
    <w:tbl>
      <w:tblPr>
        <w:tblW w:w="431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15" w:type="dxa"/>
            <w:gridSpan w:val="30"/>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61" w:type="dxa"/>
            <w:gridSpan w:val="24"/>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tbl>
      <w:tblPr>
        <w:tblW w:w="9190" w:type="dxa"/>
        <w:jc w:val="left"/>
        <w:tblInd w:w="0" w:type="dxa"/>
        <w:tblCellMar>
          <w:top w:w="28" w:type="dxa"/>
          <w:left w:w="28" w:type="dxa"/>
          <w:bottom w:w="28" w:type="dxa"/>
          <w:right w:w="28" w:type="dxa"/>
        </w:tblCellMar>
      </w:tblPr>
      <w:tblGrid>
        <w:gridCol w:w="1481"/>
        <w:gridCol w:w="1305"/>
        <w:gridCol w:w="1309"/>
        <w:gridCol w:w="109"/>
        <w:gridCol w:w="109"/>
        <w:gridCol w:w="109"/>
        <w:gridCol w:w="503"/>
        <w:gridCol w:w="1198"/>
        <w:gridCol w:w="279"/>
        <w:gridCol w:w="109"/>
        <w:gridCol w:w="109"/>
        <w:gridCol w:w="109"/>
        <w:gridCol w:w="503"/>
        <w:gridCol w:w="1198"/>
        <w:gridCol w:w="279"/>
        <w:gridCol w:w="109"/>
        <w:gridCol w:w="109"/>
        <w:gridCol w:w="109"/>
        <w:gridCol w:w="154"/>
      </w:tblGrid>
      <w:tr>
        <w:trPr/>
        <w:tc>
          <w:tcPr>
            <w:tcW w:w="1481"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c>
          <w:tcPr>
            <w:tcW w:w="13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198"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198"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80" w:type="dxa"/>
            <w:gridSpan w:val="3"/>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4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Contingent Consideration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Contingent Consideration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Level 3 beginning balance December 31, 2022 and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Level 3 ending balance at March 31, 2023 and 2022</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 w:after="283"/>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There was no activity related to the Contingent consideration liability during the three months ended March 31, 2023 and 2022.</w:t>
      </w:r>
    </w:p>
    <w:p>
      <w:pPr>
        <w:pStyle w:val="TextBody"/>
        <w:spacing w:before="0" w:after="0"/>
        <w:ind w:left="0" w:right="0" w:hanging="18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have determined the estimated fair value amounts using available market information and commonly accepted valuation methodologies, considerable judgment is required in interpreting market data to develop fair value estimates. The fair value estimates are based on information available as of March 31, 2023. As such, our estimates of fair value could differ significantly from the actual carrying value.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before="0" w:after="0"/>
        <w:jc w:val="center"/>
        <w:rPr/>
      </w:pPr>
      <w:r>
        <w:rPr/>
      </w:r>
    </w:p>
    <w:p>
      <w:pPr>
        <w:pStyle w:val="TextBody"/>
        <w:spacing w:before="0" w:after="0"/>
        <w:jc w:val="center"/>
        <w:rPr/>
      </w:pPr>
      <w:r>
        <w:rPr/>
      </w:r>
    </w:p>
    <w:p>
      <w:pPr>
        <w:pStyle w:val="TextBody"/>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16. Commitments and Contingencies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Legal Proceedings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various legal proceedings arising in the ordinary course of business. All such proceedings, taken together, are not expected to have a material adverse impact on our results of operations or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Catastrophic Event-Related Charges - Hurricane Ian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2022, Hurricane Ian made landfall on Florida's western coast. The storm primarily affected three properties in the Fort Myers area, comprising approximately 2,500 sites. These properties sustained significant flooding and wind damage from the hurricane. At other affected MH and RV properties, most of the damage was limited to trees, roofs, fences, skirting and carports. At affected marina properties, docks, buildings, and landscaping sustained wind and water damage.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property, casualty, flood and business interruption insurance for our community portfolio, subject to customary deductibles and limits. The table below sets forth estimated insurance recoveries (in millions):</w:t>
      </w:r>
    </w:p>
    <w:p>
      <w:pPr>
        <w:pStyle w:val="TextBody"/>
        <w:spacing w:before="0" w:after="0"/>
        <w:jc w:val="both"/>
        <w:rPr/>
      </w:pPr>
      <w:r>
        <w:rPr/>
      </w:r>
    </w:p>
    <w:tbl>
      <w:tblPr>
        <w:tblW w:w="6131" w:type="dxa"/>
        <w:jc w:val="left"/>
        <w:tblInd w:w="0" w:type="dxa"/>
        <w:tblCellMar>
          <w:top w:w="28" w:type="dxa"/>
          <w:left w:w="28" w:type="dxa"/>
          <w:bottom w:w="28" w:type="dxa"/>
          <w:right w:w="28" w:type="dxa"/>
        </w:tblCellMar>
      </w:tblPr>
      <w:tblGrid>
        <w:gridCol w:w="1504"/>
        <w:gridCol w:w="1321"/>
        <w:gridCol w:w="1330"/>
        <w:gridCol w:w="109"/>
        <w:gridCol w:w="109"/>
        <w:gridCol w:w="109"/>
        <w:gridCol w:w="396"/>
        <w:gridCol w:w="942"/>
        <w:gridCol w:w="311"/>
      </w:tblGrid>
      <w:tr>
        <w:trPr/>
        <w:tc>
          <w:tcPr>
            <w:tcW w:w="1504"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13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br/>
              <w:t>March 31, 2023</w:t>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estimated insurance receivable -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54.9 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estimated insurance recoveries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22.1 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Advances from insurer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(13.5)</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Total estimated insurance receivable -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63.5 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estimates are based on current information available, and we continue to assess these estimates. Actual charges and, insurance recoveries could vary significantly from these estimates. Any changes to these estimates will be recognized in the period(s) in which they are determined.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estimated insurance recoveries related to Hurricane Ian during the three months ended March 31, 2023 were primarily the result of incremental costs that exceeded the applicable deductible.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Expected insurance recoveries for lost earnings and redevelopment costs greater than asset impairment charges for the three Fort Myers, Florida properties were excluded from our Consolidated Statements of Operations for the three months ended March 31, 2023. We are actively working with our insurer on the related claims. The three Fort Myers, Florida RV communities will require redevelopment, followed by a tenant lease-up period. As such, we currently cannot estimate a date when operating results will be restored to pre-hurricane levels. Our business interruption insurance policy provides for up to 60 months of coverage from the date of restoration.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before="0" w:after="0"/>
        <w:jc w:val="center"/>
        <w:rPr/>
      </w:pPr>
      <w:r>
        <w:rPr/>
      </w:r>
    </w:p>
    <w:p>
      <w:pPr>
        <w:pStyle w:val="TextBody"/>
        <w:spacing w:before="0" w:after="0"/>
        <w:jc w:val="center"/>
        <w:rPr/>
      </w:pPr>
      <w:r>
        <w:rPr/>
      </w:r>
    </w:p>
    <w:p>
      <w:pPr>
        <w:pStyle w:val="TextBody"/>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17. Leases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Lessee Accounting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lease land under non-cancelable operating leases at certain MH, RV and Marina properties expiring at various dates through 2100. The majority of the leases have terms requiring fixed payments plus additional rents based on a percentage of revenues at those properties. We also have other operating leases, primarily office space and equipment expiring at various dates through 2042.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non-cancellable leases as of March 31, 2023 where we are the lessee include:</w:t>
      </w:r>
    </w:p>
    <w:p>
      <w:pPr>
        <w:pStyle w:val="TextBody"/>
        <w:spacing w:before="0" w:after="0"/>
        <w:jc w:val="both"/>
        <w:rPr/>
      </w:pPr>
      <w:r>
        <w:rPr/>
      </w:r>
    </w:p>
    <w:tbl>
      <w:tblPr>
        <w:tblW w:w="8349" w:type="dxa"/>
        <w:jc w:val="left"/>
        <w:tblInd w:w="0" w:type="dxa"/>
        <w:tblCellMar>
          <w:top w:w="28" w:type="dxa"/>
          <w:left w:w="28" w:type="dxa"/>
          <w:bottom w:w="28" w:type="dxa"/>
          <w:right w:w="28" w:type="dxa"/>
        </w:tblCellMar>
      </w:tblPr>
      <w:tblGrid>
        <w:gridCol w:w="1417"/>
        <w:gridCol w:w="1246"/>
        <w:gridCol w:w="1251"/>
        <w:gridCol w:w="109"/>
        <w:gridCol w:w="109"/>
        <w:gridCol w:w="109"/>
        <w:gridCol w:w="310"/>
        <w:gridCol w:w="882"/>
        <w:gridCol w:w="172"/>
        <w:gridCol w:w="109"/>
        <w:gridCol w:w="109"/>
        <w:gridCol w:w="109"/>
        <w:gridCol w:w="301"/>
        <w:gridCol w:w="716"/>
        <w:gridCol w:w="167"/>
        <w:gridCol w:w="109"/>
        <w:gridCol w:w="109"/>
        <w:gridCol w:w="109"/>
        <w:gridCol w:w="196"/>
        <w:gridCol w:w="556"/>
        <w:gridCol w:w="154"/>
      </w:tblGrid>
      <w:tr>
        <w:trPr/>
        <w:tc>
          <w:tcPr>
            <w:tcW w:w="1417"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Maturity of Lease Liabilities (in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Operating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Finance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39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2023 (excluding three months ended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13.7 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240.6 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20.3 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Lease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299.0 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Imputed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(139.0)</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(12.8)</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160.0 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Right-of-use ("ROU") assets and lease liabilities for finance and operating leases as included in our Consolidated Balance Sheets are as follows (in millions):</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1413"/>
        <w:gridCol w:w="1245"/>
        <w:gridCol w:w="1250"/>
        <w:gridCol w:w="109"/>
        <w:gridCol w:w="109"/>
        <w:gridCol w:w="109"/>
        <w:gridCol w:w="759"/>
        <w:gridCol w:w="759"/>
        <w:gridCol w:w="761"/>
        <w:gridCol w:w="109"/>
        <w:gridCol w:w="109"/>
        <w:gridCol w:w="109"/>
        <w:gridCol w:w="268"/>
        <w:gridCol w:w="762"/>
        <w:gridCol w:w="149"/>
        <w:gridCol w:w="109"/>
        <w:gridCol w:w="109"/>
        <w:gridCol w:w="109"/>
        <w:gridCol w:w="109"/>
        <w:gridCol w:w="109"/>
        <w:gridCol w:w="109"/>
        <w:gridCol w:w="109"/>
        <w:gridCol w:w="306"/>
        <w:gridCol w:w="869"/>
        <w:gridCol w:w="247"/>
      </w:tblGrid>
      <w:tr>
        <w:trPr/>
        <w:tc>
          <w:tcPr>
            <w:tcW w:w="1413"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r>
      <w:tr>
        <w:trPr/>
        <w:tc>
          <w:tcPr>
            <w:tcW w:w="3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Financial Statement 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5"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As of </w:t>
            </w:r>
          </w:p>
        </w:tc>
        <w:tc>
          <w:tcPr>
            <w:tcW w:w="1749" w:type="dxa"/>
            <w:gridSpan w:val="6"/>
            <w:tcBorders/>
            <w:shd w:fill="auto" w:val="clear"/>
          </w:tcPr>
          <w:p>
            <w:pPr>
              <w:pStyle w:val="TableContents"/>
              <w:spacing w:before="0" w:after="283"/>
              <w:rPr>
                <w:sz w:val="4"/>
                <w:szCs w:val="4"/>
              </w:rPr>
            </w:pPr>
            <w:r>
              <w:rPr>
                <w:sz w:val="4"/>
                <w:szCs w:val="4"/>
              </w:rPr>
            </w:r>
          </w:p>
        </w:tc>
      </w:tr>
      <w:tr>
        <w:trPr/>
        <w:tc>
          <w:tcPr>
            <w:tcW w:w="39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390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Lease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Finance lease, right-of-use asset, net of accumulated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property,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32.8 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32.2 </w:t>
            </w:r>
          </w:p>
        </w:tc>
        <w:tc>
          <w:tcPr>
            <w:tcW w:w="2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right-of-use asset,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186.8 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189.4 </w:t>
            </w:r>
          </w:p>
        </w:tc>
        <w:tc>
          <w:tcPr>
            <w:tcW w:w="2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Below market operating leases,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90.3 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90.9 </w:t>
            </w:r>
          </w:p>
        </w:tc>
        <w:tc>
          <w:tcPr>
            <w:tcW w:w="2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Finance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15.0 </w:t>
            </w:r>
          </w:p>
        </w:tc>
        <w:tc>
          <w:tcPr>
            <w:tcW w:w="2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160.0 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160.3 </w:t>
            </w:r>
          </w:p>
        </w:tc>
        <w:tc>
          <w:tcPr>
            <w:tcW w:w="2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Lease expense for finance and operating leases as included in our Consolidated Statements of Operations are as follows (in millions):</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686"/>
        <w:gridCol w:w="591"/>
        <w:gridCol w:w="595"/>
        <w:gridCol w:w="109"/>
        <w:gridCol w:w="109"/>
        <w:gridCol w:w="109"/>
        <w:gridCol w:w="1510"/>
        <w:gridCol w:w="1510"/>
        <w:gridCol w:w="1515"/>
        <w:gridCol w:w="109"/>
        <w:gridCol w:w="109"/>
        <w:gridCol w:w="109"/>
        <w:gridCol w:w="334"/>
        <w:gridCol w:w="643"/>
        <w:gridCol w:w="185"/>
        <w:gridCol w:w="109"/>
        <w:gridCol w:w="109"/>
        <w:gridCol w:w="109"/>
        <w:gridCol w:w="322"/>
        <w:gridCol w:w="668"/>
        <w:gridCol w:w="179"/>
        <w:gridCol w:w="109"/>
        <w:gridCol w:w="109"/>
        <w:gridCol w:w="109"/>
        <w:gridCol w:w="159"/>
      </w:tblGrid>
      <w:tr>
        <w:trPr/>
        <w:tc>
          <w:tcPr>
            <w:tcW w:w="68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0" w:type="dxa"/>
            <w:tcBorders/>
            <w:shd w:fill="auto" w:val="clear"/>
            <w:vAlign w:val="center"/>
          </w:tcPr>
          <w:p>
            <w:pPr>
              <w:pStyle w:val="TableContents"/>
              <w:spacing w:before="0" w:after="283"/>
              <w:rPr>
                <w:sz w:val="4"/>
                <w:szCs w:val="4"/>
              </w:rPr>
            </w:pPr>
            <w:r>
              <w:rPr>
                <w:sz w:val="4"/>
                <w:szCs w:val="4"/>
              </w:rPr>
            </w:r>
          </w:p>
        </w:tc>
        <w:tc>
          <w:tcPr>
            <w:tcW w:w="1510" w:type="dxa"/>
            <w:tcBorders/>
            <w:shd w:fill="auto" w:val="clear"/>
            <w:vAlign w:val="center"/>
          </w:tcPr>
          <w:p>
            <w:pPr>
              <w:pStyle w:val="TableContents"/>
              <w:spacing w:before="0" w:after="283"/>
              <w:rPr>
                <w:sz w:val="4"/>
                <w:szCs w:val="4"/>
              </w:rPr>
            </w:pPr>
            <w:r>
              <w:rPr>
                <w:sz w:val="4"/>
                <w:szCs w:val="4"/>
              </w:rPr>
            </w:r>
          </w:p>
        </w:tc>
        <w:tc>
          <w:tcPr>
            <w:tcW w:w="15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gridSpan w:val="2"/>
            <w:tcBorders/>
            <w:shd w:fill="auto" w:val="clear"/>
          </w:tcPr>
          <w:p>
            <w:pPr>
              <w:pStyle w:val="TableContents"/>
              <w:spacing w:before="0" w:after="283"/>
              <w:rPr>
                <w:sz w:val="4"/>
                <w:szCs w:val="4"/>
              </w:rPr>
            </w:pPr>
            <w:r>
              <w:rPr>
                <w:sz w:val="4"/>
                <w:szCs w:val="4"/>
              </w:rPr>
            </w:r>
          </w:p>
        </w:tc>
      </w:tr>
      <w:tr>
        <w:trPr/>
        <w:tc>
          <w:tcPr>
            <w:tcW w:w="18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Financial Statement 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8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Finance Lease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of ROU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8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on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General and administrative expense, Property operating and maintenance,</w:t>
              <w:b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8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Variable 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Property operating and maintenance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Short term lease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Property operating and maintenance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8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Lease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Lease term, discount rates and additional information for finance and operating leases are as follows:</w:t>
      </w:r>
    </w:p>
    <w:p>
      <w:pPr>
        <w:pStyle w:val="TextBody"/>
        <w:spacing w:before="0" w:after="0"/>
        <w:jc w:val="both"/>
        <w:rPr/>
      </w:pPr>
      <w:r>
        <w:rPr/>
      </w:r>
    </w:p>
    <w:tbl>
      <w:tblPr>
        <w:tblW w:w="5246" w:type="dxa"/>
        <w:jc w:val="left"/>
        <w:tblInd w:w="0" w:type="dxa"/>
        <w:tblCellMar>
          <w:top w:w="28" w:type="dxa"/>
          <w:left w:w="28" w:type="dxa"/>
          <w:bottom w:w="28" w:type="dxa"/>
          <w:right w:w="28" w:type="dxa"/>
        </w:tblCellMar>
      </w:tblPr>
      <w:tblGrid>
        <w:gridCol w:w="1308"/>
        <w:gridCol w:w="1151"/>
        <w:gridCol w:w="1155"/>
        <w:gridCol w:w="109"/>
        <w:gridCol w:w="109"/>
        <w:gridCol w:w="109"/>
        <w:gridCol w:w="281"/>
        <w:gridCol w:w="281"/>
        <w:gridCol w:w="743"/>
      </w:tblGrid>
      <w:tr>
        <w:trPr/>
        <w:tc>
          <w:tcPr>
            <w:tcW w:w="1308"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r>
      <w:tr>
        <w:trPr/>
        <w:tc>
          <w:tcPr>
            <w:tcW w:w="3614" w:type="dxa"/>
            <w:gridSpan w:val="3"/>
            <w:tcBorders/>
            <w:shd w:fill="auto" w:val="clear"/>
            <w:tcMar>
              <w:top w:w="0" w:type="dxa"/>
              <w:left w:w="0" w:type="dxa"/>
              <w:bottom w:w="0" w:type="dxa"/>
              <w:right w:w="0" w:type="dxa"/>
            </w:tcMar>
            <w:vAlign w:val="center"/>
          </w:tcPr>
          <w:p>
            <w:pPr>
              <w:pStyle w:val="TableContents"/>
              <w:spacing w:lineRule="auto" w:line="240" w:before="0" w:after="283"/>
              <w:rPr>
                <w:rFonts w:ascii="Times New Roman;sans-serif" w:hAnsi="Times New Roman;sans-serif"/>
                <w:b w:val="false"/>
                <w:sz w:val="17"/>
              </w:rPr>
            </w:pPr>
            <w:r>
              <w:rPr>
                <w:rFonts w:ascii="Times New Roman;sans-serif" w:hAnsi="Times New Roman;sans-serif"/>
                <w:b w:val="false"/>
                <w:sz w:val="17"/>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of</w:t>
            </w:r>
          </w:p>
        </w:tc>
      </w:tr>
      <w:tr>
        <w:trPr/>
        <w:tc>
          <w:tcPr>
            <w:tcW w:w="3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Lease Term and Discount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Weighted-average Remaining Lease Terms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Finance lease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36.23</w:t>
            </w:r>
          </w:p>
        </w:tc>
      </w:tr>
      <w:tr>
        <w:trPr/>
        <w:tc>
          <w:tcPr>
            <w:tcW w:w="3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34.11</w:t>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Finance lease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3.38 </w:t>
            </w:r>
          </w:p>
        </w:tc>
        <w:tc>
          <w:tcPr>
            <w:tcW w:w="7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3.80 </w:t>
            </w:r>
          </w:p>
        </w:tc>
        <w:tc>
          <w:tcPr>
            <w:tcW w:w="7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bl>
    <w:p>
      <w:pPr>
        <w:pStyle w:val="TextBody"/>
        <w:spacing w:before="0" w:after="0"/>
        <w:jc w:val="both"/>
        <w:rPr/>
      </w:pPr>
      <w:r>
        <w:rPr/>
      </w:r>
    </w:p>
    <w:tbl>
      <w:tblPr>
        <w:tblW w:w="8362" w:type="dxa"/>
        <w:jc w:val="left"/>
        <w:tblInd w:w="0" w:type="dxa"/>
        <w:tblCellMar>
          <w:top w:w="28" w:type="dxa"/>
          <w:left w:w="28" w:type="dxa"/>
          <w:bottom w:w="28" w:type="dxa"/>
          <w:right w:w="28" w:type="dxa"/>
        </w:tblCellMar>
      </w:tblPr>
      <w:tblGrid>
        <w:gridCol w:w="1862"/>
        <w:gridCol w:w="1636"/>
        <w:gridCol w:w="1646"/>
        <w:gridCol w:w="109"/>
        <w:gridCol w:w="109"/>
        <w:gridCol w:w="109"/>
        <w:gridCol w:w="362"/>
        <w:gridCol w:w="696"/>
        <w:gridCol w:w="201"/>
        <w:gridCol w:w="109"/>
        <w:gridCol w:w="109"/>
        <w:gridCol w:w="109"/>
        <w:gridCol w:w="352"/>
        <w:gridCol w:w="676"/>
        <w:gridCol w:w="277"/>
      </w:tblGrid>
      <w:tr>
        <w:trPr/>
        <w:tc>
          <w:tcPr>
            <w:tcW w:w="1862" w:type="dxa"/>
            <w:tcBorders/>
            <w:shd w:fill="auto" w:val="clear"/>
            <w:vAlign w:val="center"/>
          </w:tcPr>
          <w:p>
            <w:pPr>
              <w:pStyle w:val="TableContents"/>
              <w:spacing w:before="0" w:after="283"/>
              <w:rPr>
                <w:sz w:val="4"/>
                <w:szCs w:val="4"/>
              </w:rPr>
            </w:pPr>
            <w:r>
              <w:rPr>
                <w:sz w:val="4"/>
                <w:szCs w:val="4"/>
              </w:rPr>
            </w:r>
          </w:p>
        </w:tc>
        <w:tc>
          <w:tcPr>
            <w:tcW w:w="1636" w:type="dxa"/>
            <w:tcBorders/>
            <w:shd w:fill="auto" w:val="clear"/>
            <w:vAlign w:val="center"/>
          </w:tcPr>
          <w:p>
            <w:pPr>
              <w:pStyle w:val="TableContents"/>
              <w:spacing w:before="0" w:after="283"/>
              <w:rPr>
                <w:sz w:val="4"/>
                <w:szCs w:val="4"/>
              </w:rPr>
            </w:pPr>
            <w:r>
              <w:rPr>
                <w:sz w:val="4"/>
                <w:szCs w:val="4"/>
              </w:rPr>
            </w:r>
          </w:p>
        </w:tc>
        <w:tc>
          <w:tcPr>
            <w:tcW w:w="1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r>
      <w:tr>
        <w:trPr/>
        <w:tc>
          <w:tcPr>
            <w:tcW w:w="5144"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r>
      <w:tr>
        <w:trPr/>
        <w:tc>
          <w:tcPr>
            <w:tcW w:w="5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2022</w:t>
            </w:r>
          </w:p>
        </w:tc>
      </w:tr>
      <w:tr>
        <w:trPr/>
        <w:tc>
          <w:tcPr>
            <w:tcW w:w="5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Other Information (in millions)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Amounts Included in the Measurement of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cash flow from 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Financing cash flow from 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Cash Paid On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Lessor Accounting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not the lessor for any finance leases at our MH, RV or Marina properties as of March 31, 2023.</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Nearly all of our operating leases with our residents and customers at our MH and RV properties where we are the lessor are either month-to-month or for a time period not to exceed one year. As of March 31, 2023, future minimum lease payments with our residents or customers would not exceed 12 months.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operating leases with real estate operators on our MH properties. At our RV communities and marinas, future minimum lease payments under non-cancellable leases with real estate operators where we are the lessor include the following as of March 31, 2023:</w:t>
      </w:r>
    </w:p>
    <w:p>
      <w:pPr>
        <w:pStyle w:val="TextBody"/>
        <w:spacing w:before="0" w:after="0"/>
        <w:jc w:val="both"/>
        <w:rPr/>
      </w:pPr>
      <w:r>
        <w:rPr/>
      </w:r>
    </w:p>
    <w:tbl>
      <w:tblPr>
        <w:tblW w:w="5905" w:type="dxa"/>
        <w:jc w:val="left"/>
        <w:tblInd w:w="0" w:type="dxa"/>
        <w:tblCellMar>
          <w:top w:w="28" w:type="dxa"/>
          <w:left w:w="28" w:type="dxa"/>
          <w:bottom w:w="28" w:type="dxa"/>
          <w:right w:w="28" w:type="dxa"/>
        </w:tblCellMar>
      </w:tblPr>
      <w:tblGrid>
        <w:gridCol w:w="1509"/>
        <w:gridCol w:w="1327"/>
        <w:gridCol w:w="1333"/>
        <w:gridCol w:w="109"/>
        <w:gridCol w:w="109"/>
        <w:gridCol w:w="109"/>
        <w:gridCol w:w="305"/>
        <w:gridCol w:w="865"/>
        <w:gridCol w:w="239"/>
      </w:tblGrid>
      <w:tr>
        <w:trPr/>
        <w:tc>
          <w:tcPr>
            <w:tcW w:w="1509" w:type="dxa"/>
            <w:tcBorders/>
            <w:shd w:fill="auto" w:val="clear"/>
            <w:vAlign w:val="center"/>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41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Maturity of Lease Payments (in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Operating Leases</w:t>
            </w:r>
          </w:p>
        </w:tc>
      </w:tr>
      <w:tr>
        <w:trPr/>
        <w:tc>
          <w:tcPr>
            <w:tcW w:w="41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2023 (excluding the three months ended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21.6 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19.4 </w:t>
            </w:r>
          </w:p>
        </w:tc>
        <w:tc>
          <w:tcPr>
            <w:tcW w:w="2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6.9 </w:t>
            </w:r>
          </w:p>
        </w:tc>
        <w:tc>
          <w:tcPr>
            <w:tcW w:w="2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53.1 </w:t>
            </w:r>
          </w:p>
        </w:tc>
        <w:tc>
          <w:tcPr>
            <w:tcW w:w="2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Undiscounted Cash Flows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118.0 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income for our operating leases, as included in our Consolidated Statement of Operations are as follows (in millions):</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595"/>
        <w:gridCol w:w="523"/>
        <w:gridCol w:w="526"/>
        <w:gridCol w:w="109"/>
        <w:gridCol w:w="109"/>
        <w:gridCol w:w="109"/>
        <w:gridCol w:w="1577"/>
        <w:gridCol w:w="1577"/>
        <w:gridCol w:w="1581"/>
        <w:gridCol w:w="109"/>
        <w:gridCol w:w="109"/>
        <w:gridCol w:w="109"/>
        <w:gridCol w:w="339"/>
        <w:gridCol w:w="652"/>
        <w:gridCol w:w="188"/>
        <w:gridCol w:w="109"/>
        <w:gridCol w:w="109"/>
        <w:gridCol w:w="109"/>
        <w:gridCol w:w="339"/>
        <w:gridCol w:w="652"/>
        <w:gridCol w:w="188"/>
        <w:gridCol w:w="109"/>
        <w:gridCol w:w="109"/>
        <w:gridCol w:w="109"/>
        <w:gridCol w:w="160"/>
      </w:tblGrid>
      <w:tr>
        <w:trPr/>
        <w:tc>
          <w:tcPr>
            <w:tcW w:w="595"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7" w:type="dxa"/>
            <w:tcBorders/>
            <w:shd w:fill="auto" w:val="clear"/>
            <w:vAlign w:val="center"/>
          </w:tcPr>
          <w:p>
            <w:pPr>
              <w:pStyle w:val="TableContents"/>
              <w:spacing w:before="0" w:after="283"/>
              <w:rPr>
                <w:sz w:val="4"/>
                <w:szCs w:val="4"/>
              </w:rPr>
            </w:pPr>
            <w:r>
              <w:rPr>
                <w:sz w:val="4"/>
                <w:szCs w:val="4"/>
              </w:rPr>
            </w:r>
          </w:p>
        </w:tc>
        <w:tc>
          <w:tcPr>
            <w:tcW w:w="1577" w:type="dxa"/>
            <w:tcBorders/>
            <w:shd w:fill="auto" w:val="clear"/>
            <w:vAlign w:val="center"/>
          </w:tcPr>
          <w:p>
            <w:pPr>
              <w:pStyle w:val="TableContents"/>
              <w:spacing w:before="0" w:after="283"/>
              <w:rPr>
                <w:sz w:val="4"/>
                <w:szCs w:val="4"/>
              </w:rPr>
            </w:pPr>
            <w:r>
              <w:rPr>
                <w:sz w:val="4"/>
                <w:szCs w:val="4"/>
              </w:rPr>
            </w:r>
          </w:p>
        </w:tc>
        <w:tc>
          <w:tcPr>
            <w:tcW w:w="15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gridSpan w:val="2"/>
            <w:tcBorders/>
            <w:shd w:fill="auto" w:val="clear"/>
          </w:tcPr>
          <w:p>
            <w:pPr>
              <w:pStyle w:val="TableContents"/>
              <w:spacing w:before="0" w:after="283"/>
              <w:rPr>
                <w:sz w:val="4"/>
                <w:szCs w:val="4"/>
              </w:rPr>
            </w:pPr>
            <w:r>
              <w:rPr>
                <w:sz w:val="4"/>
                <w:szCs w:val="4"/>
              </w:rPr>
            </w:r>
          </w:p>
        </w:tc>
      </w:tr>
      <w:tr>
        <w:trPr/>
        <w:tc>
          <w:tcPr>
            <w:tcW w:w="16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Financial Statement 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6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6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7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Fixed lease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from real property; Brokerage commissions and other revenue,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6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Variable lease income</w:t>
            </w:r>
            <w:r>
              <w:rPr>
                <w:rFonts w:ascii="Times New Roman;sans-serif" w:hAnsi="Times New Roman;sans-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from real property; Brokerage commissions and other revenue,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 w:after="283"/>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Consists of rent primarily based on a percentage of acquisition costs and net operating income.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Failed Sale Leaseback</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In connection with our acquisition of Park Holidays, we assumed ground lease arrangements for 34 UK properties that we concluded to be failed sale-leaseback transactions under ASC Topic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The arrangements have maturities ranging from 2117 through 2197 with an option to repurchase for £1.00 at the end of the term. The obligation related to the underlying ground leases has been recorded as a financial liability of $337.5 million as of March 31, 2023. The financial liability is recorded within Other Liabilities on the Consolidated Balance Sheets. The following table presents the future minimum rental payments for this financial liability as of March 31, 2023:</w:t>
      </w:r>
    </w:p>
    <w:p>
      <w:pPr>
        <w:pStyle w:val="TextBody"/>
        <w:spacing w:before="0" w:after="0"/>
        <w:jc w:val="both"/>
        <w:rPr/>
      </w:pPr>
      <w:r>
        <w:rPr/>
      </w:r>
    </w:p>
    <w:tbl>
      <w:tblPr>
        <w:tblW w:w="5545" w:type="dxa"/>
        <w:jc w:val="left"/>
        <w:tblInd w:w="0" w:type="dxa"/>
        <w:tblCellMar>
          <w:top w:w="28" w:type="dxa"/>
          <w:left w:w="28" w:type="dxa"/>
          <w:bottom w:w="28" w:type="dxa"/>
          <w:right w:w="28" w:type="dxa"/>
        </w:tblCellMar>
      </w:tblPr>
      <w:tblGrid>
        <w:gridCol w:w="1417"/>
        <w:gridCol w:w="1243"/>
        <w:gridCol w:w="1254"/>
        <w:gridCol w:w="109"/>
        <w:gridCol w:w="109"/>
        <w:gridCol w:w="109"/>
        <w:gridCol w:w="245"/>
        <w:gridCol w:w="866"/>
        <w:gridCol w:w="193"/>
      </w:tblGrid>
      <w:tr>
        <w:trPr/>
        <w:tc>
          <w:tcPr>
            <w:tcW w:w="1417"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12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Maturity of Financial Liability (in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r>
      <w:tr>
        <w:trPr/>
        <w:tc>
          <w:tcPr>
            <w:tcW w:w="39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2023 (excluding three months ended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11.3 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1,623.0 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1,675.3 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Imputed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(1,337.8)</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Present Value of Financial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337.5 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18. Recent Accounting Pronouncements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 - Adopted</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In March 2020, the FASB issued ASU 2020-04, "</w:t>
      </w:r>
      <w:r>
        <w:rPr>
          <w:rFonts w:ascii="Times New Roman;sans-serif" w:hAnsi="Times New Roman;sans-serif"/>
          <w:b w:val="false"/>
          <w:i/>
          <w:color w:val="000000"/>
          <w:sz w:val="20"/>
        </w:rPr>
        <w:t>Reference Rate Reform (Topic 848) - Facilitation of the Effects of Reference Rate Reform on Financial Reporting</w:t>
      </w:r>
      <w:r>
        <w:rPr>
          <w:rFonts w:ascii="Times New Roman;sans-serif" w:hAnsi="Times New Roman;sans-serif"/>
          <w:b w:val="false"/>
          <w:color w:val="000000"/>
          <w:sz w:val="20"/>
        </w:rPr>
        <w:t>," which provides optional guidance for accounting for contracts, hedging relationships and other transactions affected by the reference rate reform, if certain criteria are met. The provisions of this standard are available for election through December 31, 2022. In December 2022, the FASB issued ASU 2022-06, "</w:t>
      </w:r>
      <w:r>
        <w:rPr>
          <w:rFonts w:ascii="Times New Roman;sans-serif" w:hAnsi="Times New Roman;sans-serif"/>
          <w:b w:val="false"/>
          <w:i/>
          <w:color w:val="000000"/>
          <w:sz w:val="20"/>
        </w:rPr>
        <w:t>Reference Rate Reform (Topic 848) - Deferral of the Sunset Date of Topic 848</w:t>
      </w:r>
      <w:r>
        <w:rPr>
          <w:rFonts w:ascii="Times New Roman;sans-serif" w:hAnsi="Times New Roman;sans-serif"/>
          <w:b w:val="false"/>
          <w:color w:val="000000"/>
          <w:sz w:val="20"/>
        </w:rPr>
        <w:t>," which defers the sunset date for Topic 848 from December 31, 2022 to December 31, 2024, after which entities will no longer be permitted to apply the relief in Topic 848. As of December 31, 2022, all of our debt and derivative instruments were converted from LIBOR to alternative reference rates. The adoption of this ASU did not have a material impact on our Consolidated Financial Statements as the majority of our debt has fixed interest rates.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19. Subsequent Events </w:t>
      </w:r>
    </w:p>
    <w:tbl>
      <w:tblPr>
        <w:tblW w:w="387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evaluated our Consolidated Financial Statements for subsequent events through the date that this Form 10-Q was issued.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spacing w:lineRule="auto" w:line="288" w:before="0" w:after="0"/>
        <w:ind w:left="0" w:right="0" w:hanging="945"/>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of the consolidated financial condition and results of operations should be read in conjunction with the Consolidated Financial Statements and the accompanying Notes, along with our 2022 Annual Report.</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 fully integrated REIT. As of March 31, 2023, we owned and operated, directly or indirectly, or had an interest in, a portfolio of 671 developed properties located in the U.S., the UK and Canada, including 354 MH communities, 182 RV communities and 135 marinas. We have been in the business of acquiring, operating, developing and expanding MH and RV communities since 1975 and marinas since 2020. We lease individual sites with utilities access for placement of manufactured homes, RVs or boats to our customers. In the U.S., we are also engaged in the marketing, selling and leasing of new and pre-owned homes to current and future residents in our MH communities. In the UK, we provide holiday home sales and associated site license activities to holiday homeowners in our MH communities. The Rental Program operations within our MH communities support and enhance our occupancy levels, property performance and cash flows.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SIGNIFICANT ACCOUNTING POLICIES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identified significant accounting policies that, as a result of the judgments, uncertainties and complexities of the underlying accounting standards and operations involved could result in material changes to our financial condition or results of operations under different conditions or using different assumptions. Details regarding significant accounting policies are described fully in our Annual Report on Form 10-K for the year ended December 31, 2022.</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results reported in accordance with GAAP in our "Results of Operations" below, we have provided information regarding net operating income ("NOI") and funds from operations ("FFO") as supplemental performance measures. We believe NOI and FFO are appropriate measures given their wide use by and relevance to investors and analysts following the real estate industry. NOI provides a measure of rental operations and does not factor in depreciation, amortization and non-property specific expenses such as general and administrative expenses. FFO, reflecting the assumption that real estate values rise or fall with market conditions, principally adjusts for the effects of GAAP depreciation / amortization of real estate assets. In addition, NOI and FFO are commonly used in various ratios, pricing multiples / yields and returns and valuation calculations used to measure financial position, performance and value.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NOI</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 xml:space="preserve">Total Portfolio NOI - </w:t>
      </w:r>
      <w:r>
        <w:rPr>
          <w:rFonts w:ascii="Times New Roman;sans-serif" w:hAnsi="Times New Roman;sans-serif"/>
          <w:b w:val="false"/>
          <w:color w:val="000000"/>
          <w:sz w:val="20"/>
        </w:rPr>
        <w:t>NOI is derived from property operating revenues minus property operating expenses and real estate taxes. NOI is a non-GAAP financial measure that we believe is helpful to investors as a supplemental measure of operating performance because it is an indicator of the return on property investment and provides a method of comparing property performance over time. We use NOI as a key measure when evaluating performance and growth of particular properties and / or groups of properties. The principal limitation of NOI is that it excludes depreciation, amortization, interest expense and non-property specific expenses such as general and administrative expenses, all of which are significant costs. Therefore, NOI is a measure of the operating performance of our properties rather than of the Company overall. We believe that NOI provides enhanced comparability for investor evaluation of properties' performance and growth over time.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GAAP net income (loss) is the most directly comparable measure to NOI. NOI should not be considered to be an alternative to GAAP net income (loss) as an indication of our financial performance or GAAP cash flow from operating activities as a measure of our liquidity; nor is it indicative of funds available for our cash needs, including our ability to make cash distributions. Because of the inclusion of items such as interest, depreciation and amortization, the use of GAAP net income (loss) as a performance measure is limited as these items may not accurately reflect the actual change in market value of a property, in the case of depreciation and in the case of interest, may not necessarily be linked to the operating performance of a real estate asset, as it is often incurred at a parent company level and not at a property level.</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spacing w:lineRule="auto" w:line="288" w:before="0" w:after="0"/>
        <w:jc w:val="both"/>
        <w:rPr/>
      </w:pPr>
      <w:r>
        <w:rPr>
          <w:rFonts w:ascii="Times New Roman;sans-serif" w:hAnsi="Times New Roman;sans-serif"/>
          <w:b/>
          <w:color w:val="000000"/>
          <w:sz w:val="20"/>
        </w:rPr>
        <w:t>Same Property NOI</w:t>
      </w:r>
      <w:r>
        <w:rPr>
          <w:color w:val="000000"/>
        </w:rPr>
        <w:t xml:space="preserve"> </w:t>
      </w:r>
      <w:r>
        <w:rPr>
          <w:rFonts w:ascii="Times New Roman;sans-serif" w:hAnsi="Times New Roman;sans-serif"/>
          <w:b w:val="false"/>
          <w:color w:val="000000"/>
          <w:sz w:val="20"/>
        </w:rPr>
        <w:t>- This is a management tool used when evaluating performance and growth of our Same Property portfolio. We define same properties as those we have owned and operated continuously since January 1, 2022. Same properties exclude ground-up development properties, acquired properties and properties sold after December 31, 2021. The Same Property data may change from time-to-time depending on acquisitions, dispositions, management discretion, significant transactions or unique situations. Same Property NOI does not include the revenues and expenses related to home sales, service, retail, dining and entertainment activities at the properties. We believe that same property NOI is helpful to investors as a supplemental comparative performance measure of the income generated from the Same Property portfolio from one period to the next.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FFO</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FFO is defined by the National Association of Real Estate Investment Trusts ("NAREIT") as GAAP net income (loss), excluding gains (or losses) from sales of depreciable operating property, plus real estate related depreciation and amortization, real estate related impairments, and after adjustments for unconsolidated partnerships and joint ventures. FFO is a non-GAAP financial measure that management believes is a useful supplemental measure of our operating performance. By excluding gains and losses related to sales of previously depreciated operating real estate assets, real estate related to impairment and real estate asset depreciation and amortization (which can vary among owners of identical assets in similar condition based on historical cost accounting and useful life estimates), FFO provides a performance measure that, when compared period-over-period, reflects the impact to operations from trends in occupancy rates, rental rates, and operating costs, providing perspective not readily apparent from GAAP net income (loss). Management believes the use of FFO has been beneficial in improving the understanding of operating results of REITs among the investing public and making comparisons of REIT operating results more meaningful.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Core FFO - In addition, we use FFO excluding certain gain and loss items that management considers unrelated to the operational and financial performance of our core business ("Core FFO").</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Core FFO provide enhanced comparability for investor evaluations of period-over-period results. We believe that GAAP net income (loss) is the most directly comparable measure to FFO. The principal limitation of FFO is that it does not replace GAAP net income (loss) as a financial performance measure or GAAP cash flow from operating activities as a measure of our liquidity. Because FFO excludes significant economic components of GAAP net income (loss) including depreciation and amortization, FFO should be used as a supplement to GAAP net income (loss) and not as an alternative to it. Furthermore, FFO is not intended as a measure of a REIT's ability to meet debt principal repayments and other cash requirements, nor as a measure of working capital. FFO is calculated in accordance with our interpretation of standards established by NAREIT, which may not be comparable to FFO reported by other REITs that interpret the NAREIT definition differently.</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Catastrophic Event-Related Charges - Hurricane Ian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2022, Hurricane Ian made landfall on Florida's western coast. The storm primarily affected three properties in the Fort Myers area, comprising approximately 2,500 sites. These properties sustained significant flooding and wind damage from the hurricane. At other affected MH and RV properties, most of the damage was limited to trees, roofs, fences, skirting and carports. At affected marina properties, docks, buildings, and landscaping sustained wind and water damage.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property, casualty, flood and business interruption insurance for our community portfolio, subject to customary deductibles and limits. As of March 31, 2023 estimated insurance recoveries of $63.5 million related to Hurricane Ian were recorded in Notes and other receivables, net on the Consolidated Balance Sheets. During the three months ended March 31, 2023, we received insurance recoveries of $13.5 million.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estimates are based on current information available, and we continue to assess these estimates. Actual charges and, insurance recoveries could vary significantly from these estimates. Any changes to these estimates will be recognized in the period(s) in which they are determined.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estimated insurance recoveries related to Hurricane Ian during the three months ended March 31, 2023 were primarily the result of incremental costs that exceeded the applicable deductible.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Expected insurance recoveries for lost earnings and redevelopment costs greater than asset impairment charges for the three Fort Myers, Florida properties were excluded from our Consolidated Statements of Operations for the three months ended March 31, 2023. We are actively working with our insurer on the related claims. The three Fort Myers, Florida RV communities will require redevelopment, followed by a tenant lease-up period. As such, we currently cannot estimate a date when operating results will be restored to pre-hurricane levels. Our business interruption insurance policy provides for up to 60 months of coverage from the date of restoration.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reconcile the Net income attributable to SUI common shareholders to NOI and summarize our consolidated financial results for the three months ended March 31, 2023 and 2022 (in millions):</w:t>
      </w:r>
    </w:p>
    <w:p>
      <w:pPr>
        <w:pStyle w:val="TextBody"/>
        <w:spacing w:before="0" w:after="0"/>
        <w:jc w:val="both"/>
        <w:rPr/>
      </w:pPr>
      <w:r>
        <w:rPr/>
      </w:r>
    </w:p>
    <w:tbl>
      <w:tblPr>
        <w:tblW w:w="9804" w:type="dxa"/>
        <w:jc w:val="center"/>
        <w:tblInd w:w="0" w:type="dxa"/>
        <w:tblCellMar>
          <w:top w:w="28" w:type="dxa"/>
          <w:left w:w="28" w:type="dxa"/>
          <w:bottom w:w="28" w:type="dxa"/>
          <w:right w:w="28" w:type="dxa"/>
        </w:tblCellMar>
      </w:tblPr>
      <w:tblGrid>
        <w:gridCol w:w="2227"/>
        <w:gridCol w:w="1955"/>
        <w:gridCol w:w="1967"/>
        <w:gridCol w:w="109"/>
        <w:gridCol w:w="109"/>
        <w:gridCol w:w="109"/>
        <w:gridCol w:w="287"/>
        <w:gridCol w:w="814"/>
        <w:gridCol w:w="159"/>
        <w:gridCol w:w="109"/>
        <w:gridCol w:w="109"/>
        <w:gridCol w:w="109"/>
        <w:gridCol w:w="287"/>
        <w:gridCol w:w="814"/>
        <w:gridCol w:w="159"/>
        <w:gridCol w:w="109"/>
        <w:gridCol w:w="109"/>
        <w:gridCol w:w="109"/>
        <w:gridCol w:w="154"/>
      </w:tblGrid>
      <w:tr>
        <w:trPr/>
        <w:tc>
          <w:tcPr>
            <w:tcW w:w="2227" w:type="dxa"/>
            <w:tcBorders/>
            <w:shd w:fill="auto" w:val="clear"/>
            <w:vAlign w:val="center"/>
          </w:tcPr>
          <w:p>
            <w:pPr>
              <w:pStyle w:val="TableContents"/>
              <w:spacing w:before="0" w:after="283"/>
              <w:rPr>
                <w:sz w:val="4"/>
                <w:szCs w:val="4"/>
              </w:rPr>
            </w:pPr>
            <w:r>
              <w:rPr>
                <w:sz w:val="4"/>
                <w:szCs w:val="4"/>
              </w:rPr>
            </w:r>
          </w:p>
        </w:tc>
        <w:tc>
          <w:tcPr>
            <w:tcW w:w="1955" w:type="dxa"/>
            <w:tcBorders/>
            <w:shd w:fill="auto" w:val="clear"/>
            <w:vAlign w:val="center"/>
          </w:tcPr>
          <w:p>
            <w:pPr>
              <w:pStyle w:val="TableContents"/>
              <w:spacing w:before="0" w:after="283"/>
              <w:rPr>
                <w:sz w:val="4"/>
                <w:szCs w:val="4"/>
              </w:rPr>
            </w:pPr>
            <w:r>
              <w:rPr>
                <w:sz w:val="4"/>
                <w:szCs w:val="4"/>
              </w:rPr>
            </w:r>
          </w:p>
        </w:tc>
        <w:tc>
          <w:tcPr>
            <w:tcW w:w="19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Income / (Loss) Attributable to SUI Common Shareholders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(11.4)</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Brokerage commissions and other revenues,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63.9 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Catastrophic event-related charges,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Business combination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Loss on extinguishment of debt (see Note 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76.6 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on mandatorily redeemable preferred OP units /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Loss on remeasurement of marketable securities (see Note 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19.9 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Loss on foreign currency exchanges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disposition of property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notes receivable (see Note 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(Income) / loss from nonconsolidated affiliates (see Note 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investment in nonconsolidated affiliates (see Note 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Current tax expense (see Note 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Deferred tax benefit (see Note 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Preferred return to preferred OP units / equity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NOI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280.4 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261.9 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6894" w:type="dxa"/>
        <w:jc w:val="left"/>
        <w:tblInd w:w="0" w:type="dxa"/>
        <w:tblCellMar>
          <w:top w:w="28" w:type="dxa"/>
          <w:left w:w="28" w:type="dxa"/>
          <w:bottom w:w="28" w:type="dxa"/>
          <w:right w:w="28" w:type="dxa"/>
        </w:tblCellMar>
      </w:tblPr>
      <w:tblGrid>
        <w:gridCol w:w="1172"/>
        <w:gridCol w:w="1029"/>
        <w:gridCol w:w="1038"/>
        <w:gridCol w:w="109"/>
        <w:gridCol w:w="109"/>
        <w:gridCol w:w="109"/>
        <w:gridCol w:w="287"/>
        <w:gridCol w:w="814"/>
        <w:gridCol w:w="159"/>
        <w:gridCol w:w="109"/>
        <w:gridCol w:w="109"/>
        <w:gridCol w:w="109"/>
        <w:gridCol w:w="287"/>
        <w:gridCol w:w="814"/>
        <w:gridCol w:w="159"/>
        <w:gridCol w:w="109"/>
        <w:gridCol w:w="109"/>
        <w:gridCol w:w="109"/>
        <w:gridCol w:w="154"/>
      </w:tblGrid>
      <w:tr>
        <w:trPr/>
        <w:tc>
          <w:tcPr>
            <w:tcW w:w="1172"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2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 property NOI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254.7 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237.6 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Home sales NOI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Service, retail, dining and entertainment NOI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NOI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280.4 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261.9 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Seasonality of Revenue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RV and marina industries are seasonal in nature, and the results of operations in any one period may not be indicative of results in future periods.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RV business, certain properties maintain higher occupancy during the summer months, while other properties maintain higher occupancy during the winter months. Based on the location of our properties with transient RV sites, our portfolio generally produces higher revenues between April and September than between October and March. As of March 31, 2023, we recognized $39.8 million of Real property - transient revenue in the first quarter. Real property-transient revenue for the year ended December 31, 2022 was recognized as follows:</w:t>
      </w:r>
    </w:p>
    <w:p>
      <w:pPr>
        <w:pStyle w:val="TextBody"/>
        <w:spacing w:before="0" w:after="0"/>
        <w:jc w:val="both"/>
        <w:rPr/>
      </w:pPr>
      <w:r>
        <w:rPr/>
      </w:r>
    </w:p>
    <w:tbl>
      <w:tblPr>
        <w:tblW w:w="9742" w:type="dxa"/>
        <w:jc w:val="left"/>
        <w:tblInd w:w="0" w:type="dxa"/>
        <w:tblCellMar>
          <w:top w:w="28" w:type="dxa"/>
          <w:left w:w="28" w:type="dxa"/>
          <w:bottom w:w="28" w:type="dxa"/>
          <w:right w:w="28" w:type="dxa"/>
        </w:tblCellMar>
      </w:tblPr>
      <w:tblGrid>
        <w:gridCol w:w="174"/>
        <w:gridCol w:w="153"/>
        <w:gridCol w:w="154"/>
        <w:gridCol w:w="109"/>
        <w:gridCol w:w="109"/>
        <w:gridCol w:w="109"/>
        <w:gridCol w:w="587"/>
        <w:gridCol w:w="1666"/>
        <w:gridCol w:w="326"/>
        <w:gridCol w:w="109"/>
        <w:gridCol w:w="109"/>
        <w:gridCol w:w="109"/>
        <w:gridCol w:w="233"/>
        <w:gridCol w:w="233"/>
        <w:gridCol w:w="426"/>
        <w:gridCol w:w="109"/>
        <w:gridCol w:w="109"/>
        <w:gridCol w:w="109"/>
        <w:gridCol w:w="233"/>
        <w:gridCol w:w="233"/>
        <w:gridCol w:w="354"/>
        <w:gridCol w:w="109"/>
        <w:gridCol w:w="109"/>
        <w:gridCol w:w="109"/>
        <w:gridCol w:w="259"/>
        <w:gridCol w:w="259"/>
        <w:gridCol w:w="577"/>
        <w:gridCol w:w="109"/>
        <w:gridCol w:w="109"/>
        <w:gridCol w:w="109"/>
        <w:gridCol w:w="249"/>
        <w:gridCol w:w="249"/>
        <w:gridCol w:w="552"/>
        <w:gridCol w:w="109"/>
        <w:gridCol w:w="109"/>
        <w:gridCol w:w="109"/>
        <w:gridCol w:w="278"/>
        <w:gridCol w:w="278"/>
        <w:gridCol w:w="307"/>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1666"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Real property - transient revenue </w:t>
              <w:b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For the 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4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3" w:type="dxa"/>
            <w:gridSpan w:val="3"/>
            <w:tcBorders/>
            <w:shd w:fill="auto" w:val="clear"/>
            <w:vAlign w:val="center"/>
          </w:tcPr>
          <w:p>
            <w:pPr>
              <w:pStyle w:val="TableContents"/>
              <w:spacing w:before="0" w:after="283"/>
              <w:rPr>
                <w:sz w:val="4"/>
                <w:szCs w:val="4"/>
              </w:rPr>
            </w:pPr>
            <w:r>
              <w:rPr>
                <w:sz w:val="4"/>
                <w:szCs w:val="4"/>
              </w:rPr>
            </w:r>
          </w:p>
        </w:tc>
      </w:tr>
      <w:tr>
        <w:trPr/>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6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334.5 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27.8 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45.8 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13.7 </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marina business, demand for wet slip storage increases during the summer months as customers contract for the summer boating season. Demand for dry storage increases during the winter season as weather patterns require boat owners to store their vessels on dry docks or within covered racks. As of March 31, 2023, we recognized $72.5 million of seasonal real property revenue in the first quarter. Seasonal real property revenue for the year ended December 31, 2022 was recognized as follows:</w:t>
      </w:r>
    </w:p>
    <w:p>
      <w:pPr>
        <w:pStyle w:val="TextBody"/>
        <w:spacing w:before="0" w:after="0"/>
        <w:jc w:val="both"/>
        <w:rPr/>
      </w:pPr>
      <w:r>
        <w:rPr/>
      </w:r>
    </w:p>
    <w:tbl>
      <w:tblPr>
        <w:tblW w:w="9533" w:type="dxa"/>
        <w:jc w:val="left"/>
        <w:tblInd w:w="0" w:type="dxa"/>
        <w:tblCellMar>
          <w:top w:w="28" w:type="dxa"/>
          <w:left w:w="28" w:type="dxa"/>
          <w:bottom w:w="28" w:type="dxa"/>
          <w:right w:w="28" w:type="dxa"/>
        </w:tblCellMar>
      </w:tblPr>
      <w:tblGrid>
        <w:gridCol w:w="174"/>
        <w:gridCol w:w="153"/>
        <w:gridCol w:w="154"/>
        <w:gridCol w:w="109"/>
        <w:gridCol w:w="109"/>
        <w:gridCol w:w="109"/>
        <w:gridCol w:w="539"/>
        <w:gridCol w:w="1531"/>
        <w:gridCol w:w="300"/>
        <w:gridCol w:w="109"/>
        <w:gridCol w:w="109"/>
        <w:gridCol w:w="109"/>
        <w:gridCol w:w="233"/>
        <w:gridCol w:w="233"/>
        <w:gridCol w:w="426"/>
        <w:gridCol w:w="109"/>
        <w:gridCol w:w="109"/>
        <w:gridCol w:w="109"/>
        <w:gridCol w:w="233"/>
        <w:gridCol w:w="233"/>
        <w:gridCol w:w="354"/>
        <w:gridCol w:w="109"/>
        <w:gridCol w:w="109"/>
        <w:gridCol w:w="109"/>
        <w:gridCol w:w="259"/>
        <w:gridCol w:w="259"/>
        <w:gridCol w:w="577"/>
        <w:gridCol w:w="109"/>
        <w:gridCol w:w="109"/>
        <w:gridCol w:w="109"/>
        <w:gridCol w:w="249"/>
        <w:gridCol w:w="249"/>
        <w:gridCol w:w="552"/>
        <w:gridCol w:w="109"/>
        <w:gridCol w:w="109"/>
        <w:gridCol w:w="109"/>
        <w:gridCol w:w="278"/>
        <w:gridCol w:w="278"/>
        <w:gridCol w:w="307"/>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Seasonal real property revenue</w:t>
            </w:r>
          </w:p>
          <w:p>
            <w:pPr>
              <w:pStyle w:val="TableContents"/>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For the 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4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3" w:type="dxa"/>
            <w:gridSpan w:val="3"/>
            <w:tcBorders/>
            <w:shd w:fill="auto" w:val="clear"/>
            <w:vAlign w:val="center"/>
          </w:tcPr>
          <w:p>
            <w:pPr>
              <w:pStyle w:val="TableContents"/>
              <w:spacing w:before="0" w:after="283"/>
              <w:rPr>
                <w:sz w:val="4"/>
                <w:szCs w:val="4"/>
              </w:rPr>
            </w:pPr>
            <w:r>
              <w:rPr>
                <w:sz w:val="4"/>
                <w:szCs w:val="4"/>
              </w:rPr>
            </w:r>
          </w:p>
        </w:tc>
      </w:tr>
      <w:tr>
        <w:trPr/>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310.2 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20.1 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25.6 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29.0 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25.3 </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Real Property Operations - Total Portfolio</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reflect certain financial and other information for our real estate operations by segment as of and for the three months ended March 31, 2023 and 2022 (in millions, except for statistical information).</w:t>
      </w:r>
    </w:p>
    <w:p>
      <w:pPr>
        <w:pStyle w:val="TextBody"/>
        <w:spacing w:before="0" w:after="0"/>
        <w:jc w:val="both"/>
        <w:rPr/>
      </w:pPr>
      <w:r>
        <w:rPr/>
      </w:r>
    </w:p>
    <w:tbl>
      <w:tblPr>
        <w:tblW w:w="14687" w:type="dxa"/>
        <w:jc w:val="left"/>
        <w:tblInd w:w="0" w:type="dxa"/>
        <w:tblCellMar>
          <w:top w:w="28" w:type="dxa"/>
          <w:left w:w="28" w:type="dxa"/>
          <w:bottom w:w="28" w:type="dxa"/>
          <w:right w:w="28" w:type="dxa"/>
        </w:tblCellMar>
      </w:tblPr>
      <w:tblGrid>
        <w:gridCol w:w="364"/>
        <w:gridCol w:w="320"/>
        <w:gridCol w:w="322"/>
        <w:gridCol w:w="196"/>
        <w:gridCol w:w="556"/>
        <w:gridCol w:w="241"/>
        <w:gridCol w:w="109"/>
        <w:gridCol w:w="109"/>
        <w:gridCol w:w="109"/>
        <w:gridCol w:w="196"/>
        <w:gridCol w:w="466"/>
        <w:gridCol w:w="241"/>
        <w:gridCol w:w="109"/>
        <w:gridCol w:w="109"/>
        <w:gridCol w:w="109"/>
        <w:gridCol w:w="196"/>
        <w:gridCol w:w="556"/>
        <w:gridCol w:w="241"/>
        <w:gridCol w:w="109"/>
        <w:gridCol w:w="109"/>
        <w:gridCol w:w="109"/>
        <w:gridCol w:w="196"/>
        <w:gridCol w:w="466"/>
        <w:gridCol w:w="241"/>
        <w:gridCol w:w="109"/>
        <w:gridCol w:w="109"/>
        <w:gridCol w:w="109"/>
        <w:gridCol w:w="334"/>
        <w:gridCol w:w="209"/>
        <w:gridCol w:w="212"/>
        <w:gridCol w:w="109"/>
        <w:gridCol w:w="109"/>
        <w:gridCol w:w="109"/>
        <w:gridCol w:w="234"/>
        <w:gridCol w:w="253"/>
        <w:gridCol w:w="258"/>
        <w:gridCol w:w="109"/>
        <w:gridCol w:w="109"/>
        <w:gridCol w:w="109"/>
        <w:gridCol w:w="196"/>
        <w:gridCol w:w="556"/>
        <w:gridCol w:w="241"/>
        <w:gridCol w:w="109"/>
        <w:gridCol w:w="109"/>
        <w:gridCol w:w="109"/>
        <w:gridCol w:w="120"/>
        <w:gridCol w:w="120"/>
        <w:gridCol w:w="121"/>
        <w:gridCol w:w="109"/>
        <w:gridCol w:w="109"/>
        <w:gridCol w:w="109"/>
        <w:gridCol w:w="196"/>
        <w:gridCol w:w="556"/>
        <w:gridCol w:w="241"/>
        <w:gridCol w:w="109"/>
        <w:gridCol w:w="109"/>
        <w:gridCol w:w="109"/>
        <w:gridCol w:w="196"/>
        <w:gridCol w:w="466"/>
        <w:gridCol w:w="241"/>
        <w:gridCol w:w="109"/>
        <w:gridCol w:w="109"/>
        <w:gridCol w:w="109"/>
        <w:gridCol w:w="334"/>
        <w:gridCol w:w="421"/>
        <w:gridCol w:w="327"/>
        <w:gridCol w:w="231"/>
        <w:gridCol w:w="556"/>
      </w:tblGrid>
      <w:tr>
        <w:trPr/>
        <w:tc>
          <w:tcPr>
            <w:tcW w:w="364"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7" w:type="dxa"/>
            <w:gridSpan w:val="3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7" w:type="dxa"/>
            <w:gridSpan w:val="3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3"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1"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America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MH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RV</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Marinas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America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MH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RV</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Marinas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Information</w:t>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 property (excluding transient)</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223.5 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208.3 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208.3 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342.8</w:t>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 property - transient</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w:t>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revenues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387.8</w:t>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Expenses</w:t>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operating expenses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150.2</w:t>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Real Property NOI</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237.6</w:t>
            </w:r>
          </w:p>
        </w:tc>
      </w:tr>
      <w:tr>
        <w:trPr/>
        <w:tc>
          <w:tcPr>
            <w:tcW w:w="1006"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Other information </w:t>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Number of properties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w:t>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Sites, wet slips and dry storage spaces</w:t>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Sites, wet slips and dry storage spaces</w:t>
            </w:r>
            <w:r>
              <w:rPr>
                <w:rFonts w:ascii="Times New Roman;sans-serif" w:hAnsi="Times New Roman;sans-serif"/>
                <w:b w:val="false"/>
                <w:color w:val="000000"/>
                <w:sz w:val="10"/>
              </w:rPr>
              <w:t>(a)</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100,120 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17,850 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117,970 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30,860 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47,990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196,820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98,900 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98,900 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31,120 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175,750</w:t>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Transient RV sites</w:t>
            </w:r>
            <w:r>
              <w:rPr>
                <w:rFonts w:ascii="Times New Roman;sans-serif" w:hAnsi="Times New Roman;sans-serif"/>
                <w:b w:val="false"/>
                <w:color w:val="000000"/>
                <w:sz w:val="10"/>
              </w:rPr>
              <w:t>(b)</w:t>
            </w:r>
          </w:p>
        </w:tc>
        <w:tc>
          <w:tcPr>
            <w:tcW w:w="99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30,870 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0"/>
              </w:rPr>
            </w:pPr>
            <w:r>
              <w:rPr>
                <w:rFonts w:ascii="Times New Roman;sans-serif" w:hAnsi="Times New Roman;sans-serif"/>
                <w:b w:val="false"/>
                <w:color w:val="000000"/>
                <w:sz w:val="10"/>
              </w:rPr>
              <w:t>(b)</w:t>
            </w:r>
          </w:p>
        </w:tc>
        <w:tc>
          <w:tcPr>
            <w:tcW w:w="7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29,270 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29,270</w:t>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100,120 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17,850 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117,970 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61,730 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47,990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227,690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98,900 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98,900 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60,390 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205,020</w:t>
            </w:r>
          </w:p>
        </w:tc>
      </w:tr>
      <w:tr>
        <w:trPr/>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MH and Annual RV Occupancy</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95.1 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1006"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 w:after="60"/>
        <w:ind w:left="0" w:right="0" w:hanging="180"/>
        <w:jc w:val="both"/>
        <w:rPr/>
      </w:pPr>
      <w:r>
        <w:rPr>
          <w:rFonts w:ascii="Times New Roman;sans-serif" w:hAnsi="Times New Roman;sans-serif"/>
          <w:b w:val="false"/>
          <w:color w:val="000000"/>
          <w:sz w:val="10"/>
        </w:rPr>
        <w:t xml:space="preserve">(a) </w:t>
      </w:r>
      <w:r>
        <w:rPr>
          <w:rFonts w:ascii="Times New Roman;sans-serif" w:hAnsi="Times New Roman;sans-serif"/>
          <w:b w:val="false"/>
          <w:color w:val="000000"/>
          <w:sz w:val="15"/>
        </w:rPr>
        <w:t>MH annual sites included 9,520 and 9,470 rental homes in the Company's Rental Program at the end of the three months ended March 31, 2023 and 2022, respectively.</w:t>
      </w:r>
    </w:p>
    <w:p>
      <w:pPr>
        <w:pStyle w:val="TextBody"/>
        <w:spacing w:lineRule="auto" w:line="288" w:before="0" w:after="0"/>
        <w:ind w:left="0" w:right="0" w:hanging="180"/>
        <w:jc w:val="both"/>
        <w:rPr/>
      </w:pPr>
      <w:r>
        <w:rPr>
          <w:rFonts w:ascii="Times New Roman;sans-serif" w:hAnsi="Times New Roman;sans-serif"/>
          <w:b w:val="false"/>
          <w:color w:val="000000"/>
          <w:sz w:val="10"/>
        </w:rPr>
        <w:t xml:space="preserve">(b) </w:t>
      </w:r>
      <w:r>
        <w:rPr>
          <w:rFonts w:ascii="Times New Roman;sans-serif" w:hAnsi="Times New Roman;sans-serif"/>
          <w:b w:val="false"/>
          <w:color w:val="000000"/>
          <w:sz w:val="15"/>
        </w:rPr>
        <w:t>Transient RV sites for the quarter ended March 31, 2023 includes 3,260 UK sites.</w:t>
      </w:r>
    </w:p>
    <w:p>
      <w:pPr>
        <w:pStyle w:val="TextBody"/>
        <w:spacing w:before="0" w:after="0"/>
        <w:ind w:left="0" w:right="0" w:hanging="18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the $17.1 million, or 7.2% increase in Real Property NOI as compared to the same period in 2022, consists of $7.2 million from Same Property MH, $2.0 million from Same Property RV, $6.0 million from Same Property Marina, $6.3 million from the UK operations and a $4.4 million decrease from other recently acquired or developed properties.</w:t>
      </w:r>
    </w:p>
    <w:tbl>
      <w:tblPr>
        <w:tblW w:w="7908"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27"/>
        <w:gridCol w:w="327"/>
        <w:gridCol w:w="37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85" w:type="dxa"/>
            <w:gridSpan w:val="60"/>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61" w:type="dxa"/>
            <w:gridSpan w:val="24"/>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20"/>
        <w:ind w:left="0" w:right="0" w:hanging="1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spacing w:lineRule="auto" w:line="288" w:before="0" w:after="100"/>
        <w:jc w:val="both"/>
        <w:rPr>
          <w:rFonts w:ascii="Times New Roman;sans-serif" w:hAnsi="Times New Roman;sans-serif"/>
          <w:b w:val="false"/>
          <w:i/>
          <w:color w:val="000000"/>
          <w:sz w:val="20"/>
        </w:rPr>
      </w:pPr>
      <w:r>
        <w:rPr>
          <w:rFonts w:ascii="Times New Roman;sans-serif" w:hAnsi="Times New Roman;sans-serif"/>
          <w:b w:val="false"/>
          <w:i/>
          <w:color w:val="000000"/>
          <w:sz w:val="20"/>
        </w:rPr>
        <w:t>Real Property Operations - Same Property Portfolio</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Same Property refers to properties that we have owned for at least the preceding year, exclusive of properties recently completed or under construction, and other properties as determined by management. The Same Property data may change from time-to-time depending on acquisitions, dispositions, management discretion, significant transactions or unique situations. In order to evaluate the growth of the Same Property portfolio, management has classified certain items differently than our GAAP statement. The reclassification difference between our GAAP statements and our Same Property portfolio is the reclassification of utility revenues from real property revenue to operating expenses. Additionally, prior period Canadian currency figures have been translated at 2022 average exchange rates for constant currency comparability.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reflect certain financial and other information for our Same Property MH, RV and Marina portfolios as of and for the three months ended March 31, 2023 and 2022 (in millions, except for statistical information):</w:t>
      </w:r>
    </w:p>
    <w:tbl>
      <w:tblPr>
        <w:tblW w:w="13277" w:type="dxa"/>
        <w:jc w:val="left"/>
        <w:tblInd w:w="0" w:type="dxa"/>
        <w:tblCellMar>
          <w:top w:w="28" w:type="dxa"/>
          <w:left w:w="28" w:type="dxa"/>
          <w:bottom w:w="28" w:type="dxa"/>
          <w:right w:w="28" w:type="dxa"/>
        </w:tblCellMar>
      </w:tblPr>
      <w:tblGrid>
        <w:gridCol w:w="359"/>
        <w:gridCol w:w="315"/>
        <w:gridCol w:w="317"/>
        <w:gridCol w:w="196"/>
        <w:gridCol w:w="556"/>
        <w:gridCol w:w="241"/>
        <w:gridCol w:w="323"/>
        <w:gridCol w:w="323"/>
        <w:gridCol w:w="109"/>
        <w:gridCol w:w="196"/>
        <w:gridCol w:w="466"/>
        <w:gridCol w:w="241"/>
        <w:gridCol w:w="323"/>
        <w:gridCol w:w="323"/>
        <w:gridCol w:w="109"/>
        <w:gridCol w:w="196"/>
        <w:gridCol w:w="466"/>
        <w:gridCol w:w="241"/>
        <w:gridCol w:w="109"/>
        <w:gridCol w:w="109"/>
        <w:gridCol w:w="109"/>
        <w:gridCol w:w="196"/>
        <w:gridCol w:w="556"/>
        <w:gridCol w:w="241"/>
        <w:gridCol w:w="109"/>
        <w:gridCol w:w="109"/>
        <w:gridCol w:w="109"/>
        <w:gridCol w:w="199"/>
        <w:gridCol w:w="253"/>
        <w:gridCol w:w="258"/>
        <w:gridCol w:w="109"/>
        <w:gridCol w:w="109"/>
        <w:gridCol w:w="109"/>
        <w:gridCol w:w="196"/>
        <w:gridCol w:w="210"/>
        <w:gridCol w:w="211"/>
        <w:gridCol w:w="233"/>
        <w:gridCol w:w="233"/>
        <w:gridCol w:w="109"/>
        <w:gridCol w:w="305"/>
        <w:gridCol w:w="209"/>
        <w:gridCol w:w="212"/>
        <w:gridCol w:w="109"/>
        <w:gridCol w:w="109"/>
        <w:gridCol w:w="109"/>
        <w:gridCol w:w="234"/>
        <w:gridCol w:w="253"/>
        <w:gridCol w:w="258"/>
        <w:gridCol w:w="109"/>
        <w:gridCol w:w="109"/>
        <w:gridCol w:w="109"/>
        <w:gridCol w:w="312"/>
        <w:gridCol w:w="246"/>
        <w:gridCol w:w="175"/>
        <w:gridCol w:w="109"/>
        <w:gridCol w:w="109"/>
        <w:gridCol w:w="109"/>
        <w:gridCol w:w="198"/>
        <w:gridCol w:w="198"/>
        <w:gridCol w:w="520"/>
      </w:tblGrid>
      <w:tr>
        <w:trPr/>
        <w:tc>
          <w:tcPr>
            <w:tcW w:w="35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6" w:type="dxa"/>
            <w:gridSpan w:val="5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r>
      <w:tr>
        <w:trPr/>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9"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27"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 Change</w:t>
            </w:r>
          </w:p>
          <w:p>
            <w:pPr>
              <w:pStyle w:val="TableContents"/>
              <w:spacing w:lineRule="auto" w:line="240" w:before="0" w:after="0"/>
              <w:jc w:val="center"/>
              <w:rPr/>
            </w:pPr>
            <w:r>
              <w:rPr>
                <w:color w:val="000000"/>
              </w:rPr>
              <w:t> </w:t>
            </w:r>
            <w:r>
              <w:rPr>
                <w:rFonts w:ascii="Times New Roman;sans-serif" w:hAnsi="Times New Roman;sans-serif"/>
                <w:b/>
                <w:color w:val="000000"/>
                <w:sz w:val="17"/>
              </w:rPr>
              <w:t>in Total</w:t>
            </w:r>
            <w:r>
              <w:rPr>
                <w:rFonts w:ascii="Times New Roman;sans-serif" w:hAnsi="Times New Roman;sans-serif"/>
                <w:b/>
                <w:color w:val="000000"/>
                <w:sz w:val="11"/>
              </w:rPr>
              <w:t>(c)</w:t>
            </w:r>
          </w:p>
        </w:tc>
      </w:tr>
      <w:tr>
        <w:trPr/>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7"/>
              </w:rPr>
              <w:t>MH</w:t>
            </w:r>
            <w:r>
              <w:rPr>
                <w:rFonts w:ascii="Times New Roman;sans-serif" w:hAnsi="Times New Roman;sans-serif"/>
                <w:b/>
                <w:color w:val="000000"/>
                <w:sz w:val="11"/>
              </w:rPr>
              <w:t>(a)</w:t>
            </w:r>
          </w:p>
        </w:tc>
        <w:tc>
          <w:tcPr>
            <w:tcW w:w="7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7"/>
              </w:rPr>
              <w:t>RV</w:t>
            </w:r>
            <w:r>
              <w:rPr>
                <w:rFonts w:ascii="Times New Roman;sans-serif" w:hAnsi="Times New Roman;sans-serif"/>
                <w:b/>
                <w:color w:val="000000"/>
                <w:sz w:val="11"/>
              </w:rPr>
              <w:t>(a)</w:t>
            </w:r>
          </w:p>
        </w:tc>
        <w:tc>
          <w:tcPr>
            <w:tcW w:w="7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7"/>
              </w:rPr>
              <w:t>MH</w:t>
            </w:r>
            <w:r>
              <w:rPr>
                <w:rFonts w:ascii="Times New Roman;sans-serif" w:hAnsi="Times New Roman;sans-serif"/>
                <w:b/>
                <w:color w:val="000000"/>
                <w:sz w:val="11"/>
              </w:rPr>
              <w:t>(a)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7"/>
              </w:rPr>
              <w:t>RV</w:t>
            </w:r>
            <w:r>
              <w:rPr>
                <w:rFonts w:ascii="Times New Roman;sans-serif" w:hAnsi="Times New Roman;sans-serif"/>
                <w:b/>
                <w:color w:val="000000"/>
                <w:sz w:val="11"/>
              </w:rPr>
              <w:t>(a)</w:t>
            </w:r>
          </w:p>
        </w:tc>
        <w:tc>
          <w:tcPr>
            <w:tcW w:w="5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Financial information</w:t>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Same Property Revenues</w:t>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 property (excluding transient)</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203.9 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57.4 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69.3 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330.6 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49.6</w:t>
            </w:r>
          </w:p>
        </w:tc>
        <w:tc>
          <w:tcPr>
            <w:tcW w:w="5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8.6 </w:t>
            </w:r>
          </w:p>
        </w:tc>
        <w:tc>
          <w:tcPr>
            <w:tcW w:w="5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 property - transient</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36.1 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39.8 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38.4</w:t>
            </w:r>
          </w:p>
        </w:tc>
        <w:tc>
          <w:tcPr>
            <w:tcW w:w="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w:t>
            </w:r>
          </w:p>
        </w:tc>
        <w:tc>
          <w:tcPr>
            <w:tcW w:w="5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991"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Same Property operating revenues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204.2 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370.4 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88.0</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345.5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7.2 </w:t>
            </w:r>
          </w:p>
        </w:tc>
        <w:tc>
          <w:tcPr>
            <w:tcW w:w="5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Same Property Expenses</w:t>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r>
      <w:tr>
        <w:trPr/>
        <w:tc>
          <w:tcPr>
            <w:tcW w:w="991"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r>
      <w:tr>
        <w:trPr/>
        <w:tc>
          <w:tcPr>
            <w:tcW w:w="991"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r>
      <w:tr>
        <w:trPr/>
        <w:tc>
          <w:tcPr>
            <w:tcW w:w="991"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r>
      <w:tr>
        <w:trPr/>
        <w:tc>
          <w:tcPr>
            <w:tcW w:w="991"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r>
      <w:tr>
        <w:trPr/>
        <w:tc>
          <w:tcPr>
            <w:tcW w:w="991"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Same Property operating expenses</w:t>
            </w:r>
            <w:r>
              <w:rPr>
                <w:rFonts w:ascii="Times New Roman;sans-serif" w:hAnsi="Times New Roman;sans-serif"/>
                <w:b w:val="false"/>
                <w:color w:val="000000"/>
                <w:sz w:val="11"/>
              </w:rPr>
              <w:t>(b)(d)</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53.9 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26.9 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127.8 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43.5</w:t>
            </w:r>
          </w:p>
        </w:tc>
        <w:tc>
          <w:tcPr>
            <w:tcW w:w="5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8.2 </w:t>
            </w:r>
          </w:p>
        </w:tc>
        <w:tc>
          <w:tcPr>
            <w:tcW w:w="5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7"/>
              </w:rPr>
              <w:t>Real Property NOI</w:t>
            </w:r>
            <w:r>
              <w:rPr>
                <w:rFonts w:ascii="Times New Roman;sans-serif" w:hAnsi="Times New Roman;sans-serif"/>
                <w:b/>
                <w:color w:val="000000"/>
                <w:sz w:val="11"/>
              </w:rPr>
              <w:t>(d)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242.6 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44.5</w:t>
            </w:r>
          </w:p>
        </w:tc>
        <w:tc>
          <w:tcPr>
            <w:tcW w:w="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227.4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6.7 </w:t>
            </w:r>
          </w:p>
        </w:tc>
        <w:tc>
          <w:tcPr>
            <w:tcW w:w="5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Change</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15.2 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 Change</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Other information</w:t>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54,243 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35,055 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Number of properties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289 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161 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569 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161</w:t>
            </w:r>
          </w:p>
        </w:tc>
        <w:tc>
          <w:tcPr>
            <w:tcW w:w="5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Sites, wet slips and dry storage spaces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98,630 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54,540 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194,170 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97,750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54,240</w:t>
            </w:r>
          </w:p>
        </w:tc>
        <w:tc>
          <w:tcPr>
            <w:tcW w:w="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40,830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192,820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60"/>
        <w:ind w:left="0" w:right="0" w:hanging="180"/>
        <w:jc w:val="both"/>
        <w:rPr/>
      </w:pPr>
      <w:r>
        <w:rPr>
          <w:rFonts w:ascii="Times New Roman;sans-serif" w:hAnsi="Times New Roman;sans-serif"/>
          <w:b w:val="false"/>
          <w:color w:val="000000"/>
          <w:sz w:val="10"/>
        </w:rPr>
        <w:t>(a)</w:t>
      </w:r>
      <w:r>
        <w:rPr>
          <w:color w:val="000000"/>
        </w:rPr>
        <w:t xml:space="preserve"> </w:t>
      </w:r>
      <w:r>
        <w:rPr>
          <w:rFonts w:ascii="Times New Roman;sans-serif" w:hAnsi="Times New Roman;sans-serif"/>
          <w:b w:val="false"/>
          <w:color w:val="000000"/>
          <w:sz w:val="15"/>
        </w:rPr>
        <w:t>Same property results for our MH and RV properties reflect constant currency for comparative purposes. Canadian currency figures in the prior comparative period have been translated at the average exchange rate during the three months ended March 31, 2023 of $0.7396 USD per Canadian dollar.</w:t>
      </w:r>
    </w:p>
    <w:p>
      <w:pPr>
        <w:pStyle w:val="TextBody"/>
        <w:spacing w:lineRule="auto" w:line="288" w:before="0" w:after="60"/>
        <w:ind w:left="0" w:right="0" w:hanging="180"/>
        <w:jc w:val="both"/>
        <w:rPr/>
      </w:pPr>
      <w:r>
        <w:rPr>
          <w:rFonts w:ascii="Times New Roman;sans-serif" w:hAnsi="Times New Roman;sans-serif"/>
          <w:b w:val="false"/>
          <w:color w:val="000000"/>
          <w:sz w:val="10"/>
        </w:rPr>
        <w:t>(b)</w:t>
      </w:r>
      <w:r>
        <w:rPr>
          <w:color w:val="000000"/>
        </w:rPr>
        <w:t xml:space="preserve"> </w:t>
      </w:r>
      <w:r>
        <w:rPr>
          <w:rFonts w:ascii="Times New Roman;sans-serif" w:hAnsi="Times New Roman;sans-serif"/>
          <w:b w:val="false"/>
          <w:color w:val="000000"/>
          <w:sz w:val="15"/>
        </w:rPr>
        <w:t>We netted total utilities revenues (which include utility reimbursement revenues from residents) of $27.3 million and $24.2 million for the three months ended March 31, 2023 and 2022, respectively, against related utility expenses.</w:t>
      </w:r>
    </w:p>
    <w:p>
      <w:pPr>
        <w:pStyle w:val="TextBody"/>
        <w:spacing w:lineRule="auto" w:line="288" w:before="0" w:after="60"/>
        <w:ind w:left="0" w:right="0" w:hanging="180"/>
        <w:jc w:val="both"/>
        <w:rPr/>
      </w:pPr>
      <w:r>
        <w:rPr>
          <w:rFonts w:ascii="Times New Roman;sans-serif" w:hAnsi="Times New Roman;sans-serif"/>
          <w:b w:val="false"/>
          <w:color w:val="000000"/>
          <w:sz w:val="10"/>
        </w:rPr>
        <w:t>(c)</w:t>
      </w:r>
      <w:r>
        <w:rPr>
          <w:color w:val="000000"/>
        </w:rPr>
        <w:t xml:space="preserve"> </w:t>
      </w:r>
      <w:r>
        <w:rPr>
          <w:rFonts w:ascii="Times New Roman;sans-serif" w:hAnsi="Times New Roman;sans-serif"/>
          <w:b w:val="false"/>
          <w:color w:val="000000"/>
          <w:sz w:val="15"/>
        </w:rPr>
        <w:t>Percentages are calculated based on unrounded numbers.</w:t>
      </w:r>
    </w:p>
    <w:p>
      <w:pPr>
        <w:pStyle w:val="TextBody"/>
        <w:spacing w:lineRule="auto" w:line="288" w:before="0" w:after="0"/>
        <w:ind w:left="0" w:right="0" w:hanging="180"/>
        <w:jc w:val="both"/>
        <w:rPr/>
      </w:pPr>
      <w:r>
        <w:rPr>
          <w:rFonts w:ascii="Times New Roman;sans-serif" w:hAnsi="Times New Roman;sans-serif"/>
          <w:b w:val="false"/>
          <w:color w:val="000000"/>
          <w:sz w:val="10"/>
        </w:rPr>
        <w:t>(d)</w:t>
      </w:r>
      <w:r>
        <w:rPr>
          <w:color w:val="000000"/>
        </w:rPr>
        <w:t xml:space="preserve"> </w:t>
      </w:r>
      <w:r>
        <w:rPr>
          <w:rFonts w:ascii="Times New Roman;sans-serif" w:hAnsi="Times New Roman;sans-serif"/>
          <w:b w:val="false"/>
          <w:color w:val="000000"/>
          <w:sz w:val="15"/>
        </w:rPr>
        <w:t>Total Same Property operating expenses consist of the following components for the periods shown (in millions), and exclude amounts invested into recently acquired properties to bring them up to the Company's standards.</w:t>
      </w:r>
    </w:p>
    <w:tbl>
      <w:tblPr>
        <w:tblW w:w="8303" w:type="dxa"/>
        <w:jc w:val="left"/>
        <w:tblInd w:w="0" w:type="dxa"/>
        <w:tblCellMar>
          <w:top w:w="28" w:type="dxa"/>
          <w:left w:w="28" w:type="dxa"/>
          <w:bottom w:w="28" w:type="dxa"/>
          <w:right w:w="28" w:type="dxa"/>
        </w:tblCellMar>
      </w:tblPr>
      <w:tblGrid>
        <w:gridCol w:w="1134"/>
        <w:gridCol w:w="995"/>
        <w:gridCol w:w="1006"/>
        <w:gridCol w:w="287"/>
        <w:gridCol w:w="814"/>
        <w:gridCol w:w="159"/>
        <w:gridCol w:w="109"/>
        <w:gridCol w:w="109"/>
        <w:gridCol w:w="109"/>
        <w:gridCol w:w="287"/>
        <w:gridCol w:w="814"/>
        <w:gridCol w:w="159"/>
        <w:gridCol w:w="109"/>
        <w:gridCol w:w="109"/>
        <w:gridCol w:w="109"/>
        <w:gridCol w:w="196"/>
        <w:gridCol w:w="376"/>
        <w:gridCol w:w="109"/>
        <w:gridCol w:w="109"/>
        <w:gridCol w:w="109"/>
        <w:gridCol w:w="109"/>
        <w:gridCol w:w="233"/>
        <w:gridCol w:w="233"/>
        <w:gridCol w:w="520"/>
      </w:tblGrid>
      <w:tr>
        <w:trPr/>
        <w:tc>
          <w:tcPr>
            <w:tcW w:w="1134"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Change</w:t>
            </w:r>
          </w:p>
        </w:tc>
      </w:tr>
      <w:tr>
        <w:trPr/>
        <w:tc>
          <w:tcPr>
            <w:tcW w:w="3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Payroll and benefits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 estate taxes</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9.9 </w:t>
            </w:r>
          </w:p>
        </w:tc>
        <w:tc>
          <w:tcPr>
            <w:tcW w:w="5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Supplies and repairs</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w:t>
            </w:r>
          </w:p>
        </w:tc>
        <w:tc>
          <w:tcPr>
            <w:tcW w:w="5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Utilities</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14.9 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w:t>
            </w:r>
          </w:p>
        </w:tc>
        <w:tc>
          <w:tcPr>
            <w:tcW w:w="5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Legal, state / local taxes, and insurance</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47.9 </w:t>
            </w:r>
          </w:p>
        </w:tc>
        <w:tc>
          <w:tcPr>
            <w:tcW w:w="5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14.9 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5.7 </w:t>
            </w:r>
          </w:p>
        </w:tc>
        <w:tc>
          <w:tcPr>
            <w:tcW w:w="5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Same Property Operating Expenses</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8.2 </w:t>
            </w:r>
          </w:p>
        </w:tc>
        <w:tc>
          <w:tcPr>
            <w:tcW w:w="5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bl>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spacing w:lineRule="auto" w:line="288" w:before="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Same Property Summary (in whole units)</w:t>
      </w:r>
    </w:p>
    <w:tbl>
      <w:tblPr>
        <w:tblW w:w="8759" w:type="dxa"/>
        <w:jc w:val="left"/>
        <w:tblInd w:w="0" w:type="dxa"/>
        <w:tblCellMar>
          <w:top w:w="28" w:type="dxa"/>
          <w:left w:w="28" w:type="dxa"/>
          <w:bottom w:w="28" w:type="dxa"/>
          <w:right w:w="28" w:type="dxa"/>
        </w:tblCellMar>
      </w:tblPr>
      <w:tblGrid>
        <w:gridCol w:w="1162"/>
        <w:gridCol w:w="1020"/>
        <w:gridCol w:w="1028"/>
        <w:gridCol w:w="109"/>
        <w:gridCol w:w="109"/>
        <w:gridCol w:w="109"/>
        <w:gridCol w:w="196"/>
        <w:gridCol w:w="556"/>
        <w:gridCol w:w="241"/>
        <w:gridCol w:w="109"/>
        <w:gridCol w:w="109"/>
        <w:gridCol w:w="109"/>
        <w:gridCol w:w="205"/>
        <w:gridCol w:w="441"/>
        <w:gridCol w:w="241"/>
        <w:gridCol w:w="109"/>
        <w:gridCol w:w="109"/>
        <w:gridCol w:w="109"/>
        <w:gridCol w:w="109"/>
        <w:gridCol w:w="109"/>
        <w:gridCol w:w="196"/>
        <w:gridCol w:w="556"/>
        <w:gridCol w:w="241"/>
        <w:gridCol w:w="109"/>
        <w:gridCol w:w="109"/>
        <w:gridCol w:w="109"/>
        <w:gridCol w:w="205"/>
        <w:gridCol w:w="441"/>
        <w:gridCol w:w="241"/>
        <w:gridCol w:w="109"/>
        <w:gridCol w:w="154"/>
      </w:tblGrid>
      <w:tr>
        <w:trPr/>
        <w:tc>
          <w:tcPr>
            <w:tcW w:w="1162"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5" w:type="dxa"/>
            <w:gridSpan w:val="17"/>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477" w:type="dxa"/>
            <w:gridSpan w:val="8"/>
            <w:tcBorders/>
            <w:shd w:fill="auto" w:val="clea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2022</w:t>
            </w:r>
          </w:p>
        </w:tc>
        <w:tc>
          <w:tcPr>
            <w:tcW w:w="1477" w:type="dxa"/>
            <w:gridSpan w:val="8"/>
            <w:tcBorders/>
            <w:shd w:fill="auto" w:val="clea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Number of properties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Sites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MH and Annual RV sites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98,630 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30,600 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97,750 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28,460 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Transient RV sites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23,940 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25,780 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98,630 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54,540 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97,750 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54,240 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MH and Annual RV Occupancy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Occupancy</w:t>
            </w:r>
            <w:r>
              <w:rPr>
                <w:rFonts w:ascii="Times New Roman;sans-serif" w:hAnsi="Times New Roman;sans-serif"/>
                <w:b w:val="false"/>
                <w:color w:val="000000"/>
                <w:sz w:val="11"/>
              </w:rPr>
              <w: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96.8 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96.8 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Monthly base rent per site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648 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568 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 change</w:t>
            </w:r>
            <w:r>
              <w:rPr>
                <w:rFonts w:ascii="Times New Roman;sans-serif" w:hAnsi="Times New Roman;sans-serif"/>
                <w:b w:val="false"/>
                <w:color w:val="000000"/>
                <w:sz w:val="11"/>
              </w:rPr>
              <w:t>(b)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Rental Program Statistics included in MH: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Number of occupied sites, end of period</w:t>
            </w:r>
            <w:r>
              <w:rPr>
                <w:rFonts w:ascii="Times New Roman;sans-serif" w:hAnsi="Times New Roman;sans-serif"/>
                <w:b w:val="false"/>
                <w:color w:val="000000"/>
                <w:sz w:val="11"/>
              </w:rPr>
              <w:t>(c)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9,480 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9,470 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Monthly rent per site - MH Rental Program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1,245 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1,136 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 change</w:t>
            </w:r>
            <w:r>
              <w:rPr>
                <w:rFonts w:ascii="Times New Roman;sans-serif" w:hAnsi="Times New Roman;sans-serif"/>
                <w:b w:val="false"/>
                <w:color w:val="000000"/>
                <w:sz w:val="11"/>
              </w:rPr>
              <w:t>(c)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 w:after="60"/>
        <w:ind w:left="0" w:right="0" w:hanging="180"/>
        <w:jc w:val="both"/>
        <w:rPr/>
      </w:pPr>
      <w:r>
        <w:rPr>
          <w:rFonts w:ascii="Times New Roman;sans-serif" w:hAnsi="Times New Roman;sans-serif"/>
          <w:b w:val="false"/>
          <w:color w:val="000000"/>
          <w:sz w:val="10"/>
        </w:rPr>
        <w:t>(a)</w:t>
      </w:r>
      <w:r>
        <w:rPr>
          <w:color w:val="000000"/>
        </w:rPr>
        <w:t xml:space="preserve"> </w:t>
      </w:r>
      <w:r>
        <w:rPr>
          <w:rFonts w:ascii="Times New Roman;sans-serif" w:hAnsi="Times New Roman;sans-serif"/>
          <w:b w:val="false"/>
          <w:color w:val="000000"/>
          <w:sz w:val="16"/>
        </w:rPr>
        <w:t>Same Property adjusted blended occupancy for MH and RV combined increased to 98.6% at March 31, 2023, from 96.7% at March 31, 2022. The 190 basis points increase was driven by MH expansion fills and the conversion of transient RV sites to annual sites.</w:t>
      </w:r>
    </w:p>
    <w:p>
      <w:pPr>
        <w:pStyle w:val="TextBody"/>
        <w:spacing w:lineRule="auto" w:line="288" w:before="0" w:after="60"/>
        <w:ind w:left="0" w:right="0" w:hanging="180"/>
        <w:jc w:val="both"/>
        <w:rPr/>
      </w:pPr>
      <w:r>
        <w:rPr>
          <w:rFonts w:ascii="Times New Roman;sans-serif" w:hAnsi="Times New Roman;sans-serif"/>
          <w:b w:val="false"/>
          <w:color w:val="000000"/>
          <w:sz w:val="10"/>
        </w:rPr>
        <w:t>(b)</w:t>
      </w:r>
      <w:r>
        <w:rPr>
          <w:color w:val="000000"/>
        </w:rPr>
        <w:t xml:space="preserve"> </w:t>
      </w:r>
      <w:r>
        <w:rPr>
          <w:rFonts w:ascii="Times New Roman;sans-serif" w:hAnsi="Times New Roman;sans-serif"/>
          <w:b w:val="false"/>
          <w:color w:val="000000"/>
          <w:sz w:val="16"/>
        </w:rPr>
        <w:t>Calculated using actual results without rounding.</w:t>
      </w:r>
    </w:p>
    <w:p>
      <w:pPr>
        <w:pStyle w:val="TextBody"/>
        <w:spacing w:lineRule="auto" w:line="288" w:before="0" w:after="0"/>
        <w:ind w:left="0" w:right="0" w:hanging="180"/>
        <w:jc w:val="both"/>
        <w:rPr/>
      </w:pPr>
      <w:r>
        <w:rPr>
          <w:rFonts w:ascii="Times New Roman;sans-serif" w:hAnsi="Times New Roman;sans-serif"/>
          <w:b w:val="false"/>
          <w:color w:val="000000"/>
          <w:sz w:val="10"/>
        </w:rPr>
        <w:t xml:space="preserve">(c) </w:t>
      </w:r>
      <w:r>
        <w:rPr>
          <w:rFonts w:ascii="Times New Roman;sans-serif" w:hAnsi="Times New Roman;sans-serif"/>
          <w:b w:val="false"/>
          <w:color w:val="000000"/>
          <w:sz w:val="16"/>
        </w:rPr>
        <w:t>Occupied rental program sites in Same Property represents are included in total sites.</w:t>
      </w:r>
    </w:p>
    <w:p>
      <w:pPr>
        <w:pStyle w:val="TextBody"/>
        <w:spacing w:before="0" w:after="0"/>
        <w:ind w:left="0" w:right="0" w:hanging="180"/>
        <w:jc w:val="both"/>
        <w:rPr/>
      </w:pPr>
      <w:r>
        <w:rPr/>
      </w:r>
    </w:p>
    <w:p>
      <w:pPr>
        <w:pStyle w:val="TextBody"/>
        <w:spacing w:lineRule="auto" w:line="288" w:before="0" w:after="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MH segment increase in NOI of $7.2 million, or 5.0%, when compared to the same period in 2022 is primarily due to an increase in Real property (excluding transient) revenue of $12.4 million, or 6.5%, partially offset by increased property operating expenses. Real property (excluding transient) revenue increased primarily due to a 5.4% increase in monthly base rent.</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RV segment increase in NOI of $2.0 million, or 4.4%, when compared to the same period in 2022 is primarily due to an increase in Real property (excluding transient) revenue of $7.8 million, or 15.6%, combined with a reduction in property operating expenses. The increase in Real property - (excluding transient) revenue was primarily due to an 8.4% increase in monthly base rent and conversions of transient RV sites to annual RV sites.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Marina segment increase in NOI of $6.0 million, or 15.1%, when compared to the same period in 2022 is primarily due to the $6.0 million, or 9.5%, increase in Real property (excluding transient) revenue.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Home Sales Summary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new and pre-owned homes to current and prospective residents and customers in our communities. This inventory is purchased from manufacturers, lenders, dealers, former residents or customers.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certain financial and statistical information for our Home Sales Program for the three months ended March 31, 2023 and 2022 (in millions, except for average selling price and statistical information):</w:t>
      </w:r>
    </w:p>
    <w:p>
      <w:pPr>
        <w:pStyle w:val="TextBody"/>
        <w:spacing w:before="0" w:after="0"/>
        <w:jc w:val="both"/>
        <w:rPr/>
      </w:pPr>
      <w:r>
        <w:rPr/>
      </w:r>
    </w:p>
    <w:tbl>
      <w:tblPr>
        <w:tblW w:w="8704" w:type="dxa"/>
        <w:jc w:val="left"/>
        <w:tblInd w:w="0" w:type="dxa"/>
        <w:tblCellMar>
          <w:top w:w="28" w:type="dxa"/>
          <w:left w:w="28" w:type="dxa"/>
          <w:bottom w:w="28" w:type="dxa"/>
          <w:right w:w="28" w:type="dxa"/>
        </w:tblCellMar>
      </w:tblPr>
      <w:tblGrid>
        <w:gridCol w:w="835"/>
        <w:gridCol w:w="735"/>
        <w:gridCol w:w="739"/>
        <w:gridCol w:w="228"/>
        <w:gridCol w:w="752"/>
        <w:gridCol w:w="280"/>
        <w:gridCol w:w="109"/>
        <w:gridCol w:w="109"/>
        <w:gridCol w:w="109"/>
        <w:gridCol w:w="228"/>
        <w:gridCol w:w="752"/>
        <w:gridCol w:w="280"/>
        <w:gridCol w:w="109"/>
        <w:gridCol w:w="109"/>
        <w:gridCol w:w="109"/>
        <w:gridCol w:w="196"/>
        <w:gridCol w:w="541"/>
        <w:gridCol w:w="241"/>
        <w:gridCol w:w="109"/>
        <w:gridCol w:w="109"/>
        <w:gridCol w:w="109"/>
        <w:gridCol w:w="269"/>
        <w:gridCol w:w="271"/>
        <w:gridCol w:w="459"/>
        <w:gridCol w:w="109"/>
        <w:gridCol w:w="109"/>
        <w:gridCol w:w="109"/>
        <w:gridCol w:w="109"/>
        <w:gridCol w:w="109"/>
        <w:gridCol w:w="109"/>
        <w:gridCol w:w="109"/>
        <w:gridCol w:w="154"/>
      </w:tblGrid>
      <w:tr>
        <w:trPr/>
        <w:tc>
          <w:tcPr>
            <w:tcW w:w="835"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Financial Information</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North America</w:t>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Home sales</w:t>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47.2 </w:t>
            </w:r>
          </w:p>
        </w:tc>
        <w:tc>
          <w:tcPr>
            <w:tcW w:w="2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64.7 </w:t>
            </w:r>
          </w:p>
        </w:tc>
        <w:tc>
          <w:tcPr>
            <w:tcW w:w="2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(17.5)</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(27.0)</w:t>
            </w:r>
          </w:p>
        </w:tc>
        <w:tc>
          <w:tcPr>
            <w:tcW w:w="4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Home cost and selling expenses</w:t>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36.6 </w:t>
            </w:r>
          </w:p>
        </w:tc>
        <w:tc>
          <w:tcPr>
            <w:tcW w:w="2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45.9 </w:t>
            </w:r>
          </w:p>
        </w:tc>
        <w:tc>
          <w:tcPr>
            <w:tcW w:w="2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(20.3)</w:t>
            </w:r>
          </w:p>
        </w:tc>
        <w:tc>
          <w:tcPr>
            <w:tcW w:w="4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NOI</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18.8 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(43.6)</w:t>
            </w:r>
          </w:p>
        </w:tc>
        <w:tc>
          <w:tcPr>
            <w:tcW w:w="4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NOI margin %</w:t>
            </w:r>
          </w:p>
        </w:tc>
        <w:tc>
          <w:tcPr>
            <w:tcW w:w="980"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22.5 </w:t>
            </w:r>
          </w:p>
        </w:tc>
        <w:tc>
          <w:tcPr>
            <w:tcW w:w="28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29.1 </w:t>
            </w:r>
          </w:p>
        </w:tc>
        <w:tc>
          <w:tcPr>
            <w:tcW w:w="28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UK</w:t>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Home sales</w:t>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39.1 </w:t>
            </w:r>
          </w:p>
        </w:tc>
        <w:tc>
          <w:tcPr>
            <w:tcW w:w="2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Home cost and selling expenses</w:t>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26.6 </w:t>
            </w:r>
          </w:p>
        </w:tc>
        <w:tc>
          <w:tcPr>
            <w:tcW w:w="2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NOI</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NOI margin %</w:t>
            </w:r>
          </w:p>
        </w:tc>
        <w:tc>
          <w:tcPr>
            <w:tcW w:w="980"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32.0 </w:t>
            </w:r>
          </w:p>
        </w:tc>
        <w:tc>
          <w:tcPr>
            <w:tcW w:w="28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Revenue from home sales</w:t>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86.3 </w:t>
            </w:r>
          </w:p>
        </w:tc>
        <w:tc>
          <w:tcPr>
            <w:tcW w:w="2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64.7 </w:t>
            </w:r>
          </w:p>
        </w:tc>
        <w:tc>
          <w:tcPr>
            <w:tcW w:w="2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21.6 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33.4 </w:t>
            </w:r>
          </w:p>
        </w:tc>
        <w:tc>
          <w:tcPr>
            <w:tcW w:w="4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Home cost and selling expenses</w:t>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63.2 </w:t>
            </w:r>
          </w:p>
        </w:tc>
        <w:tc>
          <w:tcPr>
            <w:tcW w:w="2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45.9 </w:t>
            </w:r>
          </w:p>
        </w:tc>
        <w:tc>
          <w:tcPr>
            <w:tcW w:w="2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17.3 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37.7 </w:t>
            </w:r>
          </w:p>
        </w:tc>
        <w:tc>
          <w:tcPr>
            <w:tcW w:w="4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Home sales NOI</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23.1 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18.8 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22.9 </w:t>
            </w:r>
          </w:p>
        </w:tc>
        <w:tc>
          <w:tcPr>
            <w:tcW w:w="4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NOI</w:t>
            </w:r>
          </w:p>
        </w:tc>
        <w:tc>
          <w:tcPr>
            <w:tcW w:w="980"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26.8 </w:t>
            </w:r>
          </w:p>
        </w:tc>
        <w:tc>
          <w:tcPr>
            <w:tcW w:w="28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29.1 </w:t>
            </w:r>
          </w:p>
        </w:tc>
        <w:tc>
          <w:tcPr>
            <w:tcW w:w="28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Other Information</w:t>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Units Sold:</w:t>
            </w:r>
          </w:p>
        </w:tc>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North America</w:t>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589 </w:t>
            </w:r>
          </w:p>
        </w:tc>
        <w:tc>
          <w:tcPr>
            <w:tcW w:w="2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837 </w:t>
            </w:r>
          </w:p>
        </w:tc>
        <w:tc>
          <w:tcPr>
            <w:tcW w:w="2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(248)</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(29.6)</w:t>
            </w:r>
          </w:p>
        </w:tc>
        <w:tc>
          <w:tcPr>
            <w:tcW w:w="4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UK</w:t>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583 </w:t>
            </w:r>
          </w:p>
        </w:tc>
        <w:tc>
          <w:tcPr>
            <w:tcW w:w="2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home sales</w:t>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1,172 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837 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40.0 </w:t>
            </w:r>
          </w:p>
        </w:tc>
        <w:tc>
          <w:tcPr>
            <w:tcW w:w="4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Average Selling Price:</w:t>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North America</w:t>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80,136 </w:t>
            </w:r>
          </w:p>
        </w:tc>
        <w:tc>
          <w:tcPr>
            <w:tcW w:w="2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77,300 </w:t>
            </w:r>
          </w:p>
        </w:tc>
        <w:tc>
          <w:tcPr>
            <w:tcW w:w="2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2,836 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3.7 </w:t>
            </w:r>
          </w:p>
        </w:tc>
        <w:tc>
          <w:tcPr>
            <w:tcW w:w="4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UK</w:t>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67,067 </w:t>
            </w:r>
          </w:p>
        </w:tc>
        <w:tc>
          <w:tcPr>
            <w:tcW w:w="2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 w:after="283"/>
        <w:jc w:val="both"/>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N/A = Not applicable.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NOI - North America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the 43.6% decrease in NOI is primarily driven by a 30.0% decrease in pre-owned home sales volume and an 8.7% decrease in pre-owned home sale gross margins as compared to the same period in 2022.</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spacing w:lineRule="auto" w:line="288" w:before="0" w:after="0"/>
        <w:jc w:val="both"/>
        <w:rPr/>
      </w:pPr>
      <w:r>
        <w:rPr>
          <w:rFonts w:ascii="Times New Roman;sans-serif" w:hAnsi="Times New Roman;sans-serif"/>
          <w:b w:val="false"/>
          <w:i/>
          <w:color w:val="000000"/>
          <w:sz w:val="20"/>
        </w:rPr>
        <w:t>Other Items - Statements of Operations</w:t>
      </w:r>
      <w:r>
        <w:rPr>
          <w:rFonts w:ascii="Times New Roman;sans-serif" w:hAnsi="Times New Roman;sans-serif"/>
          <w:b w:val="false"/>
          <w:color w:val="000000"/>
          <w:sz w:val="13"/>
        </w:rPr>
        <w:t>(1)</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other income and expenses for the three months ended March 31, 2023 and 2022 (in millions):</w:t>
      </w:r>
    </w:p>
    <w:p>
      <w:pPr>
        <w:pStyle w:val="TextBody"/>
        <w:spacing w:before="0" w:after="0"/>
        <w:jc w:val="both"/>
        <w:rPr/>
      </w:pPr>
      <w:r>
        <w:rPr/>
      </w:r>
    </w:p>
    <w:tbl>
      <w:tblPr>
        <w:tblW w:w="10205" w:type="dxa"/>
        <w:jc w:val="center"/>
        <w:tblInd w:w="0" w:type="dxa"/>
        <w:tblCellMar>
          <w:top w:w="28" w:type="dxa"/>
          <w:left w:w="28" w:type="dxa"/>
          <w:bottom w:w="28" w:type="dxa"/>
          <w:right w:w="28" w:type="dxa"/>
        </w:tblCellMar>
      </w:tblPr>
      <w:tblGrid>
        <w:gridCol w:w="1563"/>
        <w:gridCol w:w="1323"/>
        <w:gridCol w:w="1327"/>
        <w:gridCol w:w="250"/>
        <w:gridCol w:w="711"/>
        <w:gridCol w:w="139"/>
        <w:gridCol w:w="109"/>
        <w:gridCol w:w="109"/>
        <w:gridCol w:w="109"/>
        <w:gridCol w:w="250"/>
        <w:gridCol w:w="711"/>
        <w:gridCol w:w="139"/>
        <w:gridCol w:w="109"/>
        <w:gridCol w:w="109"/>
        <w:gridCol w:w="109"/>
        <w:gridCol w:w="196"/>
        <w:gridCol w:w="517"/>
        <w:gridCol w:w="109"/>
        <w:gridCol w:w="109"/>
        <w:gridCol w:w="109"/>
        <w:gridCol w:w="109"/>
        <w:gridCol w:w="301"/>
        <w:gridCol w:w="305"/>
        <w:gridCol w:w="459"/>
        <w:gridCol w:w="109"/>
        <w:gridCol w:w="109"/>
        <w:gridCol w:w="109"/>
        <w:gridCol w:w="109"/>
        <w:gridCol w:w="109"/>
        <w:gridCol w:w="109"/>
        <w:gridCol w:w="109"/>
        <w:gridCol w:w="161"/>
      </w:tblGrid>
      <w:tr>
        <w:trPr/>
        <w:tc>
          <w:tcPr>
            <w:tcW w:w="1563"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2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6" w:type="dxa"/>
            <w:gridSpan w:val="6"/>
            <w:tcBorders/>
            <w:shd w:fill="auto" w:val="clear"/>
          </w:tcPr>
          <w:p>
            <w:pPr>
              <w:pStyle w:val="TableContents"/>
              <w:spacing w:before="0" w:after="283"/>
              <w:rPr>
                <w:sz w:val="4"/>
                <w:szCs w:val="4"/>
              </w:rPr>
            </w:pPr>
            <w:r>
              <w:rPr>
                <w:sz w:val="4"/>
                <w:szCs w:val="4"/>
              </w:rPr>
            </w:r>
          </w:p>
        </w:tc>
      </w:tr>
      <w:tr>
        <w:trPr/>
        <w:tc>
          <w:tcPr>
            <w:tcW w:w="42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Service, retail, dining and entertainment, net</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(52.7)</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income</w:t>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11.4 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67.6 </w:t>
            </w:r>
          </w:p>
        </w:tc>
        <w:tc>
          <w:tcPr>
            <w:tcW w:w="4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Brokerage commissions and other, net</w:t>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18.8 </w:t>
            </w:r>
          </w:p>
        </w:tc>
        <w:tc>
          <w:tcPr>
            <w:tcW w:w="4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General and administrative expense</w:t>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63.9 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55.7 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14.7 </w:t>
            </w:r>
          </w:p>
        </w:tc>
        <w:tc>
          <w:tcPr>
            <w:tcW w:w="4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Catastrophic event-related charges, net</w:t>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Business combinations</w:t>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158.0 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148.5 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6.4 </w:t>
            </w:r>
          </w:p>
        </w:tc>
        <w:tc>
          <w:tcPr>
            <w:tcW w:w="4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213" w:type="dxa"/>
            <w:gridSpan w:val="3"/>
            <w:tcBorders/>
            <w:shd w:fill="auto" w:val="clear"/>
            <w:vAlign w:val="center"/>
          </w:tcPr>
          <w:p>
            <w:pPr>
              <w:pStyle w:val="TableContents"/>
              <w:spacing w:before="0" w:after="283"/>
              <w:rPr>
                <w:sz w:val="4"/>
                <w:szCs w:val="4"/>
              </w:rPr>
            </w:pPr>
            <w:r>
              <w:rPr>
                <w:sz w:val="4"/>
                <w:szCs w:val="4"/>
              </w:rPr>
            </w:r>
          </w:p>
        </w:tc>
        <w:tc>
          <w:tcPr>
            <w:tcW w:w="11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21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Loss on extinguishment of debt (see Note 8)</w:t>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w:t>
            </w:r>
          </w:p>
        </w:tc>
        <w:tc>
          <w:tcPr>
            <w:tcW w:w="4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expense</w:t>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76.6 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45.2 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69.5 </w:t>
            </w:r>
          </w:p>
        </w:tc>
        <w:tc>
          <w:tcPr>
            <w:tcW w:w="4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on mandatorily redeemable preferred OP units / equity</w:t>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21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Loss on remeasurement of marketable securities (see Note 15)</w:t>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(19.9)</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(34.5)</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(42.3)</w:t>
            </w:r>
          </w:p>
        </w:tc>
        <w:tc>
          <w:tcPr>
            <w:tcW w:w="4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Loss on foreign currency exchanges</w:t>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22.7 </w:t>
            </w:r>
          </w:p>
        </w:tc>
        <w:tc>
          <w:tcPr>
            <w:tcW w:w="4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dispositions of properties</w:t>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expense, net</w:t>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66.7 </w:t>
            </w:r>
          </w:p>
        </w:tc>
        <w:tc>
          <w:tcPr>
            <w:tcW w:w="4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21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notes receivable (see Note 4)</w:t>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21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Income / (loss) from nonconsolidated affiliates (see Note 6)</w:t>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21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investment in nonconsolidated affiliates (see Note 6)</w:t>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21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Current tax expense (see Note 12)</w:t>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200.0 </w:t>
            </w:r>
          </w:p>
        </w:tc>
        <w:tc>
          <w:tcPr>
            <w:tcW w:w="4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21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Deferred tax benefit (see Note 12)</w:t>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Preferred return to preferred OP units / equity interests</w:t>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(20.0)</w:t>
            </w:r>
          </w:p>
        </w:tc>
        <w:tc>
          <w:tcPr>
            <w:tcW w:w="4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Loss attributable to noncontrolling interests</w:t>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136.4 </w:t>
            </w:r>
          </w:p>
        </w:tc>
        <w:tc>
          <w:tcPr>
            <w:tcW w:w="4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213" w:type="dxa"/>
            <w:gridSpan w:val="3"/>
            <w:tcBorders/>
            <w:shd w:fill="auto" w:val="clear"/>
            <w:vAlign w:val="center"/>
          </w:tcPr>
          <w:p>
            <w:pPr>
              <w:pStyle w:val="TableContents"/>
              <w:spacing w:before="0" w:after="283"/>
              <w:rPr>
                <w:sz w:val="4"/>
                <w:szCs w:val="4"/>
              </w:rPr>
            </w:pPr>
            <w:r>
              <w:rPr>
                <w:sz w:val="4"/>
                <w:szCs w:val="4"/>
              </w:rPr>
            </w:r>
          </w:p>
        </w:tc>
        <w:tc>
          <w:tcPr>
            <w:tcW w:w="11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 w:after="60"/>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Only items determined by management to be material, of interest, or unique to the periods disclosed above are explained below.</w:t>
      </w:r>
    </w:p>
    <w:p>
      <w:pPr>
        <w:pStyle w:val="TextBody"/>
        <w:spacing w:lineRule="auto" w:line="288" w:before="0" w:after="60"/>
        <w:jc w:val="both"/>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N/M = Percentage change is not meaningful.</w:t>
      </w:r>
    </w:p>
    <w:p>
      <w:pPr>
        <w:pStyle w:val="TextBody"/>
        <w:spacing w:lineRule="auto" w:line="288" w:before="0" w:after="0"/>
        <w:jc w:val="both"/>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N/A = Percentage change is not applicable.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Service, retail, dining and entertainment, net</w:t>
      </w:r>
      <w:r>
        <w:rPr>
          <w:color w:val="000000"/>
        </w:rPr>
        <w:t xml:space="preserve"> </w:t>
      </w:r>
      <w:r>
        <w:rPr>
          <w:rFonts w:ascii="Times New Roman;sans-serif" w:hAnsi="Times New Roman;sans-serif"/>
          <w:b w:val="false"/>
          <w:color w:val="000000"/>
          <w:sz w:val="20"/>
        </w:rPr>
        <w:t>- for the three months ended March 31, 2023, decreased primarily due to increased costs of providing services at our various properties.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Interest income</w:t>
      </w:r>
      <w:r>
        <w:rPr>
          <w:color w:val="000000"/>
        </w:rPr>
        <w:t xml:space="preserve"> </w:t>
      </w:r>
      <w:r>
        <w:rPr>
          <w:rFonts w:ascii="Times New Roman;sans-serif" w:hAnsi="Times New Roman;sans-serif"/>
          <w:b w:val="false"/>
          <w:color w:val="000000"/>
          <w:sz w:val="20"/>
        </w:rPr>
        <w:t>- for the three months ended March 31, 2023, increased primarily due to a higher interest rate charged and a larger loan balance provided to a real estate operator to fund investing and financing activities in the current period as compared to the same period in 2022.</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General and administrative expense</w:t>
      </w:r>
      <w:r>
        <w:rPr>
          <w:color w:val="000000"/>
        </w:rPr>
        <w:t xml:space="preserve"> </w:t>
      </w:r>
      <w:r>
        <w:rPr>
          <w:rFonts w:ascii="Times New Roman;sans-serif" w:hAnsi="Times New Roman;sans-serif"/>
          <w:b w:val="false"/>
          <w:color w:val="000000"/>
          <w:sz w:val="20"/>
        </w:rPr>
        <w:t>- for the three months ended March 31, 2023, increased primarily due to the acquisition of Park Holidays, and an increase in wages and incentives driven by growth in strategic initiatives as compared to the same period in 2022.</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Catastrophic event-related charges, net</w:t>
      </w:r>
      <w:r>
        <w:rPr>
          <w:color w:val="000000"/>
        </w:rPr>
        <w:t xml:space="preserve"> </w:t>
      </w:r>
      <w:r>
        <w:rPr>
          <w:rFonts w:ascii="Times New Roman;sans-serif" w:hAnsi="Times New Roman;sans-serif"/>
          <w:b w:val="false"/>
          <w:color w:val="000000"/>
          <w:sz w:val="20"/>
        </w:rPr>
        <w:t>- for the three months ended March 31, 2023, increased due to asset impairment charges of $6.5 million resulting from storm-related damages at one Marina property, partially offset by insurance recoveries primarily related to prior claims for Hurricane Irma.</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 for the three months ended March 31, 2023, increased primarily as a result of the UK 2022 business combinations. Refer to Note 3, "Real Estate Acquisitions and Dispositions," in our accompanying Consolidated Financial Statements for additional information.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Depreciation and amortization</w:t>
      </w:r>
      <w:r>
        <w:rPr>
          <w:color w:val="000000"/>
        </w:rPr>
        <w:t xml:space="preserve"> </w:t>
      </w:r>
      <w:r>
        <w:rPr>
          <w:rFonts w:ascii="Times New Roman;sans-serif" w:hAnsi="Times New Roman;sans-serif"/>
          <w:b w:val="false"/>
          <w:color w:val="000000"/>
          <w:sz w:val="20"/>
        </w:rPr>
        <w:t>- for the three months ended March 31, 2023, increased as a result of property acquisitions during 2022 and 2023. Refer to Note 3, "Real Estate Acquisitions and Dispositions," in our accompanying Consolidated Financial Statements for additional information.</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spacing w:lineRule="auto" w:line="288" w:before="0" w:after="0"/>
        <w:jc w:val="both"/>
        <w:rPr/>
      </w:pPr>
      <w:r>
        <w:rPr>
          <w:rFonts w:ascii="Times New Roman;sans-serif" w:hAnsi="Times New Roman;sans-serif"/>
          <w:b w:val="false"/>
          <w:i/>
          <w:color w:val="000000"/>
          <w:sz w:val="20"/>
        </w:rPr>
        <w:t>Interest expense</w:t>
      </w:r>
      <w:r>
        <w:rPr>
          <w:color w:val="000000"/>
        </w:rPr>
        <w:t xml:space="preserve"> </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for the three months ended March 31, 2023, increased due to the higher debt balance and increased interest rates as compared to the same period in 2022. Refer to Note 8, "Debt and Line of Credit," of our accompanying Consolidated Financial Statements for additional information.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Loss on remeasurement of marketable securities</w:t>
      </w:r>
      <w:r>
        <w:rPr>
          <w:color w:val="000000"/>
        </w:rPr>
        <w:t xml:space="preserve"> </w:t>
      </w:r>
      <w:r>
        <w:rPr>
          <w:rFonts w:ascii="Times New Roman;sans-serif" w:hAnsi="Times New Roman;sans-serif"/>
          <w:b w:val="false"/>
          <w:color w:val="000000"/>
          <w:sz w:val="20"/>
        </w:rPr>
        <w:t>- for the three months ended March 31, 2023 was a loss of $19.9 million, as compared to a loss of $34.5 million during the same period in 2022 due to the fluctuation in the price of our publicly traded marketable securities. Refer to Note 15, "Fair Value of Financial Instruments," in our accompanying Consolidated Financial Statements for additional information.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Gain / (loss) on dispositions of properties</w:t>
      </w:r>
      <w:r>
        <w:rPr>
          <w:color w:val="000000"/>
        </w:rPr>
        <w:t xml:space="preserve"> </w:t>
      </w:r>
      <w:r>
        <w:rPr>
          <w:rFonts w:ascii="Times New Roman;sans-serif" w:hAnsi="Times New Roman;sans-serif"/>
          <w:b w:val="false"/>
          <w:color w:val="000000"/>
          <w:sz w:val="20"/>
        </w:rPr>
        <w:t>- for the three months ended March 31, 2023, decreased due to the loss on the sale of two properties as compared to a gain on the sale of three properties during the same period in 2022. Refer to Note 3, "Real Estate Acquisitions and Dispositions," in our accompanying Consolidated Financial Statements for additional information.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Gain / (loss) on remeasurement of investment in nonconsolidated affiliates</w:t>
      </w:r>
      <w:r>
        <w:rPr>
          <w:color w:val="000000"/>
        </w:rPr>
        <w:t xml:space="preserve"> </w:t>
      </w:r>
      <w:r>
        <w:rPr>
          <w:rFonts w:ascii="Times New Roman;sans-serif" w:hAnsi="Times New Roman;sans-serif"/>
          <w:b w:val="false"/>
          <w:color w:val="000000"/>
          <w:sz w:val="20"/>
        </w:rPr>
        <w:t>- for the three months ended March 31, 2023, was a loss of $4.5 million as compared to a gain of $0.1 million during the same period in 2022 due to the fluctuation of the determined fair value of our nonconsolidated affiliates. Refer to Note 6, "Investments in Nonconsolidated Affiliates," and Note 15, "Fair Value of Financial Instruments," in our accompanying Consolidated Financial Statements for additional information.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Current tax expense</w:t>
      </w:r>
      <w:r>
        <w:rPr>
          <w:color w:val="000000"/>
        </w:rPr>
        <w:t xml:space="preserve"> </w:t>
      </w:r>
      <w:r>
        <w:rPr>
          <w:rFonts w:ascii="Times New Roman;sans-serif" w:hAnsi="Times New Roman;sans-serif"/>
          <w:b w:val="false"/>
          <w:color w:val="000000"/>
          <w:sz w:val="20"/>
        </w:rPr>
        <w:t>- for the three months ended March 31, 2023, increased due to income tax expense related to the disposition of two properties in the UK. Refer to Note 3, "Real Estate Acquisitions and Dispositions," in our accompanying Consolidated Financial Statements for additional information.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Deferred tax benefit</w:t>
      </w:r>
      <w:r>
        <w:rPr>
          <w:color w:val="000000"/>
        </w:rPr>
        <w:t xml:space="preserve"> </w:t>
      </w:r>
      <w:r>
        <w:rPr>
          <w:rFonts w:ascii="Times New Roman;sans-serif" w:hAnsi="Times New Roman;sans-serif"/>
          <w:b w:val="false"/>
          <w:color w:val="000000"/>
          <w:sz w:val="20"/>
        </w:rPr>
        <w:t>- for the three months ended March 31, 2023, was $4.6 million resulting from activity related to our acquisition of Park Holidays in the UK</w:t>
      </w:r>
      <w:r>
        <w:rPr>
          <w:rFonts w:ascii="Times New Roman;sans-serif" w:hAnsi="Times New Roman;sans-serif"/>
          <w:b w:val="false"/>
          <w:color w:val="000000"/>
          <w:sz w:val="20"/>
          <w:highlight w:val="white"/>
        </w:rPr>
        <w:t xml:space="preserve">. </w:t>
      </w:r>
      <w:r>
        <w:rPr>
          <w:rFonts w:ascii="Times New Roman;sans-serif" w:hAnsi="Times New Roman;sans-serif"/>
          <w:b w:val="false"/>
          <w:color w:val="000000"/>
          <w:sz w:val="20"/>
        </w:rPr>
        <w:t>Refer to Note 12, "Income Taxes," in our accompanying Consolidated Financial Statements for additional information.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Loss attributable to noncontrolling interests</w:t>
      </w:r>
      <w:r>
        <w:rPr>
          <w:color w:val="000000"/>
        </w:rPr>
        <w:t xml:space="preserve"> </w:t>
      </w:r>
      <w:r>
        <w:rPr>
          <w:rFonts w:ascii="Times New Roman;sans-serif" w:hAnsi="Times New Roman;sans-serif"/>
          <w:b w:val="false"/>
          <w:color w:val="000000"/>
          <w:sz w:val="20"/>
        </w:rPr>
        <w:t>- for the three months ended March 31, 2023 increased due to a net loss as compared to net income in the same period in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RECONCILIATION OF NET INCOME / (LOSS) ATTRIBUTABLE TO SUI COMMON SHAREHOLDERS TO FFO</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Net income / (loss) attributable to SUI common shareholders to FFO for the three months ended March 31, 2023 and 2022 (in millions, except for per share amounts):</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2520"/>
        <w:gridCol w:w="2199"/>
        <w:gridCol w:w="2212"/>
        <w:gridCol w:w="280"/>
        <w:gridCol w:w="796"/>
        <w:gridCol w:w="155"/>
        <w:gridCol w:w="109"/>
        <w:gridCol w:w="109"/>
        <w:gridCol w:w="109"/>
        <w:gridCol w:w="280"/>
        <w:gridCol w:w="796"/>
        <w:gridCol w:w="155"/>
        <w:gridCol w:w="109"/>
        <w:gridCol w:w="109"/>
        <w:gridCol w:w="109"/>
        <w:gridCol w:w="158"/>
      </w:tblGrid>
      <w:tr>
        <w:trPr/>
        <w:tc>
          <w:tcPr>
            <w:tcW w:w="2520" w:type="dxa"/>
            <w:tcBorders/>
            <w:shd w:fill="auto" w:val="clear"/>
            <w:vAlign w:val="center"/>
          </w:tcPr>
          <w:p>
            <w:pPr>
              <w:pStyle w:val="TableContents"/>
              <w:spacing w:before="0" w:after="283"/>
              <w:rPr>
                <w:sz w:val="4"/>
                <w:szCs w:val="4"/>
              </w:rPr>
            </w:pPr>
            <w:r>
              <w:rPr>
                <w:sz w:val="4"/>
                <w:szCs w:val="4"/>
              </w:rPr>
            </w:r>
          </w:p>
        </w:tc>
        <w:tc>
          <w:tcPr>
            <w:tcW w:w="2199" w:type="dxa"/>
            <w:tcBorders/>
            <w:shd w:fill="auto" w:val="clear"/>
            <w:vAlign w:val="center"/>
          </w:tcPr>
          <w:p>
            <w:pPr>
              <w:pStyle w:val="TableContents"/>
              <w:spacing w:before="0" w:after="283"/>
              <w:rPr>
                <w:sz w:val="4"/>
                <w:szCs w:val="4"/>
              </w:rPr>
            </w:pPr>
            <w:r>
              <w:rPr>
                <w:sz w:val="4"/>
                <w:szCs w:val="4"/>
              </w:rPr>
            </w:r>
          </w:p>
        </w:tc>
        <w:tc>
          <w:tcPr>
            <w:tcW w:w="2212"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gridSpan w:val="2"/>
            <w:tcBorders/>
            <w:shd w:fill="auto" w:val="clear"/>
          </w:tcPr>
          <w:p>
            <w:pPr>
              <w:pStyle w:val="TableContents"/>
              <w:spacing w:before="0" w:after="283"/>
              <w:rPr>
                <w:sz w:val="4"/>
                <w:szCs w:val="4"/>
              </w:rPr>
            </w:pPr>
            <w:r>
              <w:rPr>
                <w:sz w:val="4"/>
                <w:szCs w:val="4"/>
              </w:rPr>
            </w:r>
          </w:p>
        </w:tc>
      </w:tr>
      <w:tr>
        <w:trPr/>
        <w:tc>
          <w:tcPr>
            <w:tcW w:w="69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Income / (Loss) Attributable to SUI Common Shareholders</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Adjustments</w:t>
            </w:r>
          </w:p>
        </w:tc>
        <w:tc>
          <w:tcPr>
            <w:tcW w:w="12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157.3 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Loss on remeasurement of marketable securities</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investment in nonconsolidated affiliates</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notes receivable</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dispositions of properties, including tax effect</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 Returns on preferred OP units</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 Loss attributable to noncontrolling interests</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on dispositions of assets, net</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7"/>
              </w:rPr>
              <w:t>FFO Attributable to SUI Common Shareholders and Dilutive Convertible Securities</w:t>
            </w:r>
            <w:r>
              <w:rPr>
                <w:rFonts w:ascii="Times New Roman;sans-serif" w:hAnsi="Times New Roman;sans-serif"/>
                <w:b w:val="false"/>
                <w:color w:val="000000"/>
                <w:sz w:val="11"/>
              </w:rPr>
              <w:t>(1)</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Adjustments</w:t>
            </w:r>
          </w:p>
        </w:tc>
        <w:tc>
          <w:tcPr>
            <w:tcW w:w="12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Business combination expense and other acquisition related costs</w:t>
            </w:r>
            <w:r>
              <w:rPr>
                <w:rFonts w:ascii="Times New Roman;sans-serif" w:hAnsi="Times New Roman;sans-serif"/>
                <w:b w:val="false"/>
                <w:color w:val="000000"/>
                <w:sz w:val="11"/>
              </w:rPr>
              <w:t>(2)</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Loss on extinguishment of debt</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Catastrophic event-related charges, net</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Loss of earnings - catastrophic event-related charges, net</w:t>
            </w:r>
            <w:r>
              <w:rPr>
                <w:rFonts w:ascii="Times New Roman;sans-serif" w:hAnsi="Times New Roman;sans-serif"/>
                <w:b w:val="false"/>
                <w:color w:val="000000"/>
                <w:sz w:val="11"/>
              </w:rPr>
              <w:t>(3)</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Loss on foreign currency exchanges</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Other adjustments, net</w:t>
            </w:r>
            <w:r>
              <w:rPr>
                <w:rFonts w:ascii="Times New Roman;sans-serif" w:hAnsi="Times New Roman;sans-serif"/>
                <w:b w:val="false"/>
                <w:color w:val="000000"/>
                <w:sz w:val="11"/>
              </w:rPr>
              <w:t>(4)</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7"/>
              </w:rPr>
              <w:t>Core FFO Attributable to SUI Common Shareholders and Dilutive Convertible Securities</w:t>
            </w:r>
            <w:r>
              <w:rPr>
                <w:rFonts w:ascii="Times New Roman;sans-serif" w:hAnsi="Times New Roman;sans-serif"/>
                <w:b w:val="false"/>
                <w:color w:val="000000"/>
                <w:sz w:val="11"/>
              </w:rPr>
              <w:t>(1)</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162.8 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Weighted Average Common Shares Outstanding - Basic</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115.3 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w:t>
            </w:r>
          </w:p>
        </w:tc>
        <w:tc>
          <w:tcPr>
            <w:tcW w:w="12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shares dilutive effect from forward equity sale</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Restricted stock</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OP units</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issuable upon conversion of certain preferred OP units</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Weighted Average Common Shares Outstanding - Diluted</w:t>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128.2 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FFO Attributable to SUI Common Shareholders and Dilutive Convertible Securities Per Share</w:t>
            </w:r>
          </w:p>
        </w:tc>
        <w:tc>
          <w:tcPr>
            <w:tcW w:w="28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Core FFO Attributable to SUI Common Shareholders and Dilutive Convertible Securities Per Share</w:t>
            </w:r>
          </w:p>
        </w:tc>
        <w:tc>
          <w:tcPr>
            <w:tcW w:w="28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1"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 w:after="60"/>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The effect of certain anti-dilutive convertible securities is excluded from these items.</w:t>
      </w:r>
    </w:p>
    <w:p>
      <w:pPr>
        <w:pStyle w:val="TextBody"/>
        <w:spacing w:lineRule="auto" w:line="288" w:before="0" w:after="60"/>
        <w:ind w:left="0" w:right="0" w:hanging="18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These costs represent (i) nonrecurring integration expenses associated with acquisitions during the three months ended March 31, 2023, and 2022, (ii) costs associated with potential acquisitions that will not close, (iii) costs associated with the termination of the bridge loan commitment during the quarter ended March 31, 2022 related to the acquisition of Park Holidays and (iv) business combination expenses incurred to bring recently acquired properties up to the Company's operating standards, including items such as tree trimming and painting costs that do not meet the Company's capitalization policy.</w:t>
      </w:r>
    </w:p>
    <w:p>
      <w:pPr>
        <w:pStyle w:val="TextBody"/>
        <w:spacing w:lineRule="auto" w:line="288" w:before="0" w:after="60"/>
        <w:ind w:left="0" w:right="0" w:hanging="180"/>
        <w:jc w:val="both"/>
        <w:rPr/>
      </w:pPr>
      <w:r>
        <w:rPr>
          <w:rFonts w:ascii="Times New Roman;sans-serif" w:hAnsi="Times New Roman;sans-serif"/>
          <w:b w:val="false"/>
          <w:color w:val="000000"/>
          <w:sz w:val="10"/>
        </w:rPr>
        <w:t>(3)</w:t>
      </w:r>
      <w:r>
        <w:rPr>
          <w:rFonts w:ascii="Times New Roman;sans-serif" w:hAnsi="Times New Roman;sans-serif"/>
          <w:b w:val="false"/>
          <w:color w:val="000000"/>
          <w:sz w:val="16"/>
        </w:rPr>
        <w:t>Adjustment related to estimated loss of earnings in excess of the applicable business interruption deductible in relation to our three Florida Keys communities that were impaired by Hurricane Irma and our three Fort Myers Florida RV communities that were impaired by Hurricane Ian, which had not yet been received from our insurer.</w:t>
      </w:r>
    </w:p>
    <w:p>
      <w:pPr>
        <w:pStyle w:val="TextBody"/>
        <w:spacing w:lineRule="auto" w:line="288" w:before="0" w:after="0"/>
        <w:ind w:left="0" w:right="0" w:hanging="180"/>
        <w:jc w:val="both"/>
        <w:rPr/>
      </w:pPr>
      <w:r>
        <w:rPr>
          <w:rFonts w:ascii="Times New Roman;sans-serif" w:hAnsi="Times New Roman;sans-serif"/>
          <w:b w:val="false"/>
          <w:color w:val="000000"/>
          <w:sz w:val="10"/>
        </w:rPr>
        <w:t>(4)</w:t>
      </w:r>
      <w:r>
        <w:rPr>
          <w:rFonts w:ascii="Times New Roman;sans-serif" w:hAnsi="Times New Roman;sans-serif"/>
          <w:b w:val="false"/>
          <w:color w:val="000000"/>
          <w:sz w:val="16"/>
        </w:rPr>
        <w:t>Other adjustments, net include (i) deferred tax benefit, accelerated deferred compensation amortization, and long-term lease termination expense for the three months ended March 31, 2023, and (ii) RV rebranding non-recurring costs for the three months ended March 31, 2022.</w:t>
      </w:r>
    </w:p>
    <w:tbl>
      <w:tblPr>
        <w:tblW w:w="1804"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Short-term Liquidity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short-term liquidity demands historically have been, and are expected to continue to be, distributions to our shareholders and the unit holders of the Operating Partnership, property acquisitions, development and expansion of our properties, capital improvement of our properties, the purchase of new and pre-owned homes, and debt repayment. We intend to meet our short-term liquidity requirements through available cash balances, cash flows generated from operations, draws on our Senior Credit Facility, and the use of debt and equity offerings under our shelf registration statement. Refer to Note 8, "Debt and Line of Credit," and Note 9, "Equity and Temporary Equity," in our accompanying Consolidated Financial Statements for additional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intend to continue to strengthen our capital and liquidity positions by focusing on our core fundamentals, which are generating positive cash flows from operations, maintaining appropriate debt levels and leverage ratios, and controlling overhead costs. We take a disciplined approach to selecting the optimal mix of financing sources to meet our liquidity demands and minimize our overall cost of capital. In June 2021, we received investment grade ratings of BBB and Baa3 from S&amp;P Global and Moody's, respectively, both with stable outlooks. Our ratings remain unchanged from original receipt. We plan to continue to capitalize on our unsecured bond market access to optimize our cost of capital and increase our financial flexibility.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Current market and economic conditions, including relating to, among other things, interest rates, currency fluctuations, equity valuations and inflation, may adversely affect our ability to obtain debt and equity capital in the short term on attractive terms.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 development and expansion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market conditions, we intend to continue to identify opportunities to expand our development pipeline and acquire existing properties. We finance acquisitions through available cash, secured financing, draws on our Senior Credit Facility, the assumption of existing debt on properties and the issuance of debt and equity securities. The current higher interest rate environment may make it more expensive to finance acquisitions and fund developments and expansion. We will continue to evaluate acquisition and development opportunities that meet our underwriting criteria.</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acquired one MH community totaling 68 sites and 72 development sites, and one marina totaling 24 wet slips and dry storage spaces, for a total purchase price of approximately $107.0 million.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focused on property ground-up development and expansion opportunities adjacent to our existing properties. During the three months ended March 31, 2023, we acquired three land parcels located in the U.S. and the UK for the potential development of nearly 1,250 sites, expanded our existing communities by over 130 sites and delivered over 200 sites at three ground-up development properties.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expand our properties utilizing our inventory of owned and entitled land. We have 15,870 MH and RV sites suitable for future development.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3, "Real Estate Acquisitions and Dispositions," in our accompanying Consolidated Financial Statements for additional detail on acquisitions completed to date.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capital expenditures include lot modifications, growth projects, rebranding, acquisition-related capital expenditures, expansion and development construction costs, rental home purchases and recurring capital expenditures.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capital expenditure activity is summarized as follows (in millions):</w:t>
      </w:r>
    </w:p>
    <w:p>
      <w:pPr>
        <w:pStyle w:val="TextBody"/>
        <w:spacing w:before="0" w:after="0"/>
        <w:jc w:val="both"/>
        <w:rPr/>
      </w:pPr>
      <w:r>
        <w:rPr/>
      </w:r>
    </w:p>
    <w:tbl>
      <w:tblPr>
        <w:tblW w:w="7435" w:type="dxa"/>
        <w:jc w:val="left"/>
        <w:tblInd w:w="0" w:type="dxa"/>
        <w:tblCellMar>
          <w:top w:w="28" w:type="dxa"/>
          <w:left w:w="28" w:type="dxa"/>
          <w:bottom w:w="28" w:type="dxa"/>
          <w:right w:w="28" w:type="dxa"/>
        </w:tblCellMar>
      </w:tblPr>
      <w:tblGrid>
        <w:gridCol w:w="1646"/>
        <w:gridCol w:w="1447"/>
        <w:gridCol w:w="1451"/>
        <w:gridCol w:w="287"/>
        <w:gridCol w:w="814"/>
        <w:gridCol w:w="159"/>
        <w:gridCol w:w="109"/>
        <w:gridCol w:w="109"/>
        <w:gridCol w:w="109"/>
        <w:gridCol w:w="282"/>
        <w:gridCol w:w="801"/>
        <w:gridCol w:w="221"/>
      </w:tblGrid>
      <w:tr>
        <w:trPr/>
        <w:tc>
          <w:tcPr>
            <w:tcW w:w="1646"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c>
          <w:tcPr>
            <w:tcW w:w="1451"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r>
      <w:tr>
        <w:trPr/>
        <w:tc>
          <w:tcPr>
            <w:tcW w:w="4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r>
      <w:tr>
        <w:trPr/>
        <w:tc>
          <w:tcPr>
            <w:tcW w:w="4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2022</w:t>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Recurring Capital Expenditures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Non-Recurring Capital Expenditure and Related Activities</w:t>
            </w:r>
          </w:p>
        </w:tc>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Lot Modifications</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Growth Projects</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29.7 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22.7 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Rebranding</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Acquisition-related Capital Expenditures</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71.6 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62.6 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Expansion and Development</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47.4 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Rental Program</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28.9 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Non-Recurring Capital Expenditure and Related Activities</w:t>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281.0 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166.9 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Capital Expenditure and Related Activities</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301.8 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182.7 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Recurring capital expenditures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recurring capital expenditures are necessary to maintain asset quality, including purchasing and replacing assets used to operate the communities and marinas. Recurring capital expenditures at our MH and RV properties include items such as: major road, driveway and pool improvements; clubhouse renovations; adding or replacing streetlights; playground equipment; signage; maintenance facilities; manager housing and property vehicles. Recurring capital expenditures at our marinas include items such as: dredging, dock repairs and improvements, and equipment maintenance and upgrades. The minimum capitalized amount is five hundred dollars.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Non-Recurring Capital Expenditures and Related Activities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Lot modifications</w:t>
      </w:r>
      <w:r>
        <w:rPr>
          <w:color w:val="000000"/>
        </w:rPr>
        <w:t xml:space="preserve"> </w:t>
      </w:r>
      <w:r>
        <w:rPr>
          <w:rFonts w:ascii="Times New Roman;sans-serif" w:hAnsi="Times New Roman;sans-serif"/>
          <w:b w:val="false"/>
          <w:color w:val="000000"/>
          <w:sz w:val="20"/>
        </w:rPr>
        <w:t>- lot modification capital expenditures are incurred to modify the foundational structures required to set a new home after a previous home has been removed. These expenditures are necessary to create a revenue stream from a new site renter and often improve the quality of the community. Other lot modification expenditures include land improvements added to annual RV sites to aid in the conversion of transient RV guests to annual contracts.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Growth projects</w:t>
      </w:r>
      <w:r>
        <w:rPr>
          <w:color w:val="000000"/>
        </w:rPr>
        <w:t xml:space="preserve"> </w:t>
      </w:r>
      <w:r>
        <w:rPr>
          <w:rFonts w:ascii="Times New Roman;sans-serif" w:hAnsi="Times New Roman;sans-serif"/>
          <w:b w:val="false"/>
          <w:color w:val="000000"/>
          <w:sz w:val="20"/>
        </w:rPr>
        <w:t>- growth projects consist of revenue generating or expense reducing activities at MH, RV and marina properties. These include, but are not limited to, utility efficiency and renewable energy projects, site, slip or amenity upgrades such as the addition of a garage, shed or boat lift, and other special capital projects that substantiate an incremental rental increase.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Rebranding</w:t>
      </w:r>
      <w:r>
        <w:rPr>
          <w:color w:val="000000"/>
        </w:rPr>
        <w:t xml:space="preserve"> </w:t>
      </w:r>
      <w:r>
        <w:rPr>
          <w:rFonts w:ascii="Times New Roman;sans-serif" w:hAnsi="Times New Roman;sans-serif"/>
          <w:b w:val="false"/>
          <w:color w:val="000000"/>
          <w:sz w:val="20"/>
        </w:rPr>
        <w:t>- rebranding includes new signage at our RV communities and costs of building an RV mobile application and updated website.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Acquisition-related capital expenditures</w:t>
      </w:r>
      <w:r>
        <w:rPr>
          <w:color w:val="000000"/>
        </w:rPr>
        <w:t xml:space="preserve"> </w:t>
      </w:r>
      <w:r>
        <w:rPr>
          <w:rFonts w:ascii="Times New Roman;sans-serif" w:hAnsi="Times New Roman;sans-serif"/>
          <w:b w:val="false"/>
          <w:color w:val="000000"/>
          <w:sz w:val="20"/>
        </w:rPr>
        <w:t>- represent the purchase price paid for the existing operating properties and land parcels for future ground-up development and expansions activities plus the capital improvements identified during due diligence that will be needed to bring acquired properties up to our operating standards. Improvements subsequent to acquisition include upgrading clubhouses; landscaping; new street light systems; new mail delivery systems; pool renovations including larger decks, heaters and furniture; new maintenance facilities; lot modifications; and new signage including main signs and internal road signs. These are considered acquisition costs and although identified during due diligence, often require 24 to 36 months after closing to complete.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spacing w:lineRule="auto" w:line="288" w:before="0" w:after="0"/>
        <w:jc w:val="both"/>
        <w:rPr/>
      </w:pPr>
      <w:r>
        <w:rPr>
          <w:rFonts w:ascii="Times New Roman;sans-serif" w:hAnsi="Times New Roman;sans-serif"/>
          <w:b w:val="false"/>
          <w:i/>
          <w:color w:val="000000"/>
          <w:sz w:val="20"/>
        </w:rPr>
        <w:t>Expansion and development expenditures</w:t>
      </w:r>
      <w:r>
        <w:rPr>
          <w:color w:val="000000"/>
        </w:rPr>
        <w:t xml:space="preserve"> </w:t>
      </w:r>
      <w:r>
        <w:rPr>
          <w:rFonts w:ascii="Times New Roman;sans-serif" w:hAnsi="Times New Roman;sans-serif"/>
          <w:b w:val="false"/>
          <w:color w:val="000000"/>
          <w:sz w:val="20"/>
        </w:rPr>
        <w:t>- consist primarily of construction costs such as roads, activities, and amenities, and costs necessary to complete home and RV site improvements, such as driveways, sidewalks and landscaping at our MH and RV communities. Expenditures also include costs to rebuild after damage has been incurred at MH, RV or marina properties, and research and development.</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Rental program</w:t>
      </w:r>
      <w:r>
        <w:rPr>
          <w:color w:val="000000"/>
        </w:rPr>
        <w:t xml:space="preserve"> </w:t>
      </w:r>
      <w:r>
        <w:rPr>
          <w:rFonts w:ascii="Times New Roman;sans-serif" w:hAnsi="Times New Roman;sans-serif"/>
          <w:b w:val="false"/>
          <w:color w:val="000000"/>
          <w:sz w:val="20"/>
        </w:rPr>
        <w:t>- consists of investment in the acquisition of homes intended for the Rental Program and the purchase of vacation rental homes at our RV communities. Expenditures for these investments depend upon the condition of the markets for repossessions and new home sales, rental homes and vacation rental homes.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 activities are summarized as follows (in millions):</w:t>
      </w:r>
    </w:p>
    <w:p>
      <w:pPr>
        <w:pStyle w:val="TextBody"/>
        <w:spacing w:before="0" w:after="0"/>
        <w:jc w:val="both"/>
        <w:rPr/>
      </w:pPr>
      <w:r>
        <w:rPr/>
      </w:r>
    </w:p>
    <w:tbl>
      <w:tblPr>
        <w:tblW w:w="8607" w:type="dxa"/>
        <w:jc w:val="left"/>
        <w:tblInd w:w="0" w:type="dxa"/>
        <w:tblCellMar>
          <w:top w:w="28" w:type="dxa"/>
          <w:left w:w="28" w:type="dxa"/>
          <w:bottom w:w="28" w:type="dxa"/>
          <w:right w:w="28" w:type="dxa"/>
        </w:tblCellMar>
      </w:tblPr>
      <w:tblGrid>
        <w:gridCol w:w="2072"/>
        <w:gridCol w:w="1818"/>
        <w:gridCol w:w="1825"/>
        <w:gridCol w:w="264"/>
        <w:gridCol w:w="850"/>
        <w:gridCol w:w="146"/>
        <w:gridCol w:w="109"/>
        <w:gridCol w:w="109"/>
        <w:gridCol w:w="109"/>
        <w:gridCol w:w="260"/>
        <w:gridCol w:w="840"/>
        <w:gridCol w:w="205"/>
      </w:tblGrid>
      <w:tr>
        <w:trPr/>
        <w:tc>
          <w:tcPr>
            <w:tcW w:w="2072" w:type="dxa"/>
            <w:tcBorders/>
            <w:shd w:fill="auto" w:val="clear"/>
            <w:vAlign w:val="center"/>
          </w:tcPr>
          <w:p>
            <w:pPr>
              <w:pStyle w:val="TableContents"/>
              <w:spacing w:before="0" w:after="283"/>
              <w:rPr>
                <w:sz w:val="4"/>
                <w:szCs w:val="4"/>
              </w:rPr>
            </w:pPr>
            <w:r>
              <w:rPr>
                <w:sz w:val="4"/>
                <w:szCs w:val="4"/>
              </w:rPr>
            </w:r>
          </w:p>
        </w:tc>
        <w:tc>
          <w:tcPr>
            <w:tcW w:w="1818" w:type="dxa"/>
            <w:tcBorders/>
            <w:shd w:fill="auto" w:val="clear"/>
            <w:vAlign w:val="center"/>
          </w:tcPr>
          <w:p>
            <w:pPr>
              <w:pStyle w:val="TableContents"/>
              <w:spacing w:before="0" w:after="283"/>
              <w:rPr>
                <w:sz w:val="4"/>
                <w:szCs w:val="4"/>
              </w:rPr>
            </w:pPr>
            <w:r>
              <w:rPr>
                <w:sz w:val="4"/>
                <w:szCs w:val="4"/>
              </w:rPr>
            </w:r>
          </w:p>
        </w:tc>
        <w:tc>
          <w:tcPr>
            <w:tcW w:w="1825"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r>
      <w:tr>
        <w:trPr/>
        <w:tc>
          <w:tcPr>
            <w:tcW w:w="5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2022</w:t>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Provided by Operating Activities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194.5 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225.7 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for Investing Activities</w:t>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(321.9)</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(484.2)</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Provided by Financing Activities</w:t>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111.6 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282.9 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Effect of Exchange Rate Changes on Cash, Cash Equivalents and Restricted Cash</w:t>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4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decreased by $15.6 million from $90.4 million as of December 31, 2022, to $74.8 million as of March 31, 2023.</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u w:val="single"/>
        </w:rPr>
        <w:t>Operating activities</w:t>
      </w:r>
      <w:r>
        <w:rPr>
          <w:color w:val="000000"/>
        </w:rPr>
        <w:t xml:space="preserve"> </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Net cash provided by operating activities decreased by $31.2 million to $194.5 million for the three months ended March 31, 2023, compared to $225.7 million for the three months ended March 31, 2022. The decrease in operating cash flow was primarily due to an increase in interest expense during the three months ended March 31, 2023 as compared to the corresponding period in 2022 due to the changing macroeconomic environment, partially offset by improved Same Property operating performance at our MH and RV communities and marinas.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net cash flows provided by operating activities from continuing operations may be adversely impacted by, among other things:</w:t>
      </w:r>
    </w:p>
    <w:p>
      <w:pPr>
        <w:pStyle w:val="TextBody"/>
        <w:spacing w:before="0" w:after="0"/>
        <w:jc w:val="both"/>
        <w:rPr/>
      </w:pPr>
      <w:r>
        <w:rPr/>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market and economic conditions in our current markets generally, and specifically in the metropolitan areas of our current markets;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lower occupancy and rental rates of our properties;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substantial increases in insurance premiums;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increases in other operating costs, such as wage and benefit costs, real estate taxes and utilities;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decreased sales of manufactured homes;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current volatility in economic conditions and the financial markets;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effects of the COVID-19 pandemic. See "Risk Factors" in Part I, Item 1A of our 2022 Annual Report.</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u w:val="single"/>
        </w:rPr>
        <w:t>Investing activities</w:t>
      </w:r>
      <w:r>
        <w:rPr>
          <w:color w:val="000000"/>
        </w:rPr>
        <w:t xml:space="preserve"> </w:t>
      </w:r>
      <w:r>
        <w:rPr>
          <w:rFonts w:ascii="Times New Roman;sans-serif" w:hAnsi="Times New Roman;sans-serif"/>
          <w:b w:val="false"/>
          <w:color w:val="000000"/>
          <w:sz w:val="20"/>
        </w:rPr>
        <w:t>- Net cash used for investing activities decreased by $162.3 million to $321.9 million for the three months ended March 31, 2023, compared to $484.2 million for the three months ended March 31, 2022. The decrease in Net cash used for investing activities was primarily driven by a decrease in cash deployed to acquire properties during the three months ended March 31, 2023 as compared to the corresponding period in 2022. Refer to the Consolidated Statements of Cash Flows for detail on the net cash used for investing activities during the three months ended March 31, 2023 and 2022. Refer to Note 3, "Real Estate Acquisitions and Dispositions," and Note 4, "Notes and Other Receivables," in our accompanying Consolidated Financial Statements for additional information on acquisitions and issuance of notes and other receivables.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spacing w:lineRule="auto" w:line="288" w:before="0" w:after="0"/>
        <w:jc w:val="both"/>
        <w:rPr/>
      </w:pPr>
      <w:r>
        <w:rPr>
          <w:rFonts w:ascii="Times New Roman;sans-serif" w:hAnsi="Times New Roman;sans-serif"/>
          <w:b w:val="false"/>
          <w:i/>
          <w:color w:val="000000"/>
          <w:sz w:val="20"/>
          <w:u w:val="single"/>
        </w:rPr>
        <w:t>Financing activities</w:t>
      </w:r>
      <w:r>
        <w:rPr>
          <w:color w:val="000000"/>
        </w:rPr>
        <w:t xml:space="preserve"> </w:t>
      </w:r>
      <w:r>
        <w:rPr>
          <w:rFonts w:ascii="Times New Roman;sans-serif" w:hAnsi="Times New Roman;sans-serif"/>
          <w:b w:val="false"/>
          <w:color w:val="000000"/>
          <w:sz w:val="20"/>
        </w:rPr>
        <w:t>- Net cash provided by financing activities decreased by $171.3 million to $111.6 million for the three months ended March 31, 2023, compared to $282.9 million for the three months ended March 31, 2022. The decrease in Net cash provided by financing activities was primarily driven by an increase in repayments on our Senior Credit Facility, net of borrowings, partially offset by proceeds from the issuance of senior unsecured notes, during the three months ended March 31, 2023 as compared to the corresponding period in 2022. Refer to the Consolidated Statements of Cash Flows for detail on the net cash provided by financing activities during the three months ended March 31, 2023 and 2022. Refer to Note 8, "Debt and Line of Credit," and Note 9, "Equity and Temporary Equity," in our accompanying Consolidated Financial Statements for additional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interest rate variability associated with our outstanding floating rate debt and any maturing debt that has to be refinanced. Interest rate movements impact our borrowing costs and, while as of March 31, 2023, nearly 84% of our total debt was fixed rate financing, including the impact of hedge activity, increases in interest costs are likely to adversely affect our financial results.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Equity and Debt Activity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Public Equity Offerings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2021, we entered into the November 2021 Forward Sale Agreements in connection with an underwritten registered public offering of 4,025,000 shares of our common stock at a public offering price of $185.00 per share. In April 2022, we completed the physical settlement of the 4,025,000 shares of common stock and received aggregate net proceeds of $705.4 million. We used the net proceeds to repay borrowings outstanding under our Senior Credit Facility, and for working capital and general corporate purposes.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At the Market Offering Sales Agreement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2021, we entered into an At the Market Offering Sales Agreement (the "Sales Agreement"), with certain sales agents and forward sellers pursuant to which we may sell, from time to time, up to an aggregate gross sales price of $1.25 billion of our common stock through the sales agents, acting as our sales agents or, if applicable, as forward sellers, or directly to the sales agents as principals for their own accounts. We simultaneously terminated our prior sales agreement upon entering into the Sales Agreement. Through March 2023, we had entered into forward sales agreements under our Sales Agreement for an aggregate gross sales price of $160.6 million.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2022, we entered into forward sale agreements with respect to 15,000 shares of common stock under our Sales Agreement for $2.6 million. Additionally, we settled all of our outstanding forward sale agreements with respect to 1,526,212 shares of common stock which includes 620,109; 600,503; 290,600; and 15,000 shares of common stock from the three months ended December 31, 2021, March 31, June 30 and September 30, 2022 forward sale agreements, respectively. The net proceeds of $275.5 million from the settlement of these forward sale agreements were used to repay borrowings outstanding under our Senior Credit Facility.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2022, we completed the physical settlement of 1,200,000 shares of common stock under our prior at the market offering program and received net proceeds of $229.5 million. Additionally, we entered into forward sales agreements with respect 290,600 shares of common stock for $50.1 million, under our Sales Agreement. These forward sale agreements were settled during the three months ended September 30, 2022.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we entered into forward sales agreements with respect to 600,503 shares of common stock for $107.9 million, under our Sales Agreement. These forward sale agreements were settled during the three months ended September 30, 2022.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we entered into forward sale agreements with respect to 1,820,109 shares of common stock under our prior at the market offering program for $356.5 million. We completed the physical settlement of 1,200,000 and 620,109 shares of common stock during the three months ended June 30, 2022 and September 30, 2022,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Secured Debt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entered into mortgage term loans totaling $184.1 million related to 27 properties which mature from February 13, 2026 to April 1, 2033, and have a weighted average fixed interest rate of 5.39%. We used the net proceeds to repay borrowings outstanding under our Senior Credit Facility.</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we entered into a new $20.6 million construction loan, which was undrawn as of March 31, 2023 and a $3.4 million mortgage term loan that are jointly secured by one property. Both loans mature August 10, 2047 and have a fixed interest rate of 3.65%. Additionally, we entered into a mortgage term loan of $226.0 million related to 18 existing encumbered properties which mature between June 15, 2026, and December 15, 2029, and have a fixed interest rate of 4.5%.</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2022, we repaid $318.0 million of term loans collateralized by 35 properties. These loans had a weighted average interest rate of 4.81% and were set to mature from December 2022 through September 2024.</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Senior Unsecured Notes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outstanding senior unsecured notes (in millions, except for statistical information). All senior unsecured notes include interest payments on a semi-annual basis in arrears.</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1834"/>
        <w:gridCol w:w="1605"/>
        <w:gridCol w:w="1622"/>
        <w:gridCol w:w="109"/>
        <w:gridCol w:w="109"/>
        <w:gridCol w:w="109"/>
        <w:gridCol w:w="271"/>
        <w:gridCol w:w="958"/>
        <w:gridCol w:w="150"/>
        <w:gridCol w:w="109"/>
        <w:gridCol w:w="109"/>
        <w:gridCol w:w="109"/>
        <w:gridCol w:w="246"/>
        <w:gridCol w:w="868"/>
        <w:gridCol w:w="137"/>
        <w:gridCol w:w="109"/>
        <w:gridCol w:w="109"/>
        <w:gridCol w:w="109"/>
        <w:gridCol w:w="287"/>
        <w:gridCol w:w="1015"/>
        <w:gridCol w:w="231"/>
      </w:tblGrid>
      <w:tr>
        <w:trPr/>
        <w:tc>
          <w:tcPr>
            <w:tcW w:w="1834" w:type="dxa"/>
            <w:tcBorders/>
            <w:shd w:fill="auto" w:val="clear"/>
            <w:vAlign w:val="center"/>
          </w:tcPr>
          <w:p>
            <w:pPr>
              <w:pStyle w:val="TableContents"/>
              <w:spacing w:before="0" w:after="283"/>
              <w:rPr>
                <w:sz w:val="4"/>
                <w:szCs w:val="4"/>
              </w:rPr>
            </w:pPr>
            <w:r>
              <w:rPr>
                <w:sz w:val="4"/>
                <w:szCs w:val="4"/>
              </w:rPr>
            </w:r>
          </w:p>
        </w:tc>
        <w:tc>
          <w:tcPr>
            <w:tcW w:w="1605" w:type="dxa"/>
            <w:tcBorders/>
            <w:shd w:fill="auto" w:val="clear"/>
            <w:vAlign w:val="center"/>
          </w:tcPr>
          <w:p>
            <w:pPr>
              <w:pStyle w:val="TableContents"/>
              <w:spacing w:before="0" w:after="283"/>
              <w:rPr>
                <w:sz w:val="4"/>
                <w:szCs w:val="4"/>
              </w:rPr>
            </w:pPr>
            <w:r>
              <w:rPr>
                <w:sz w:val="4"/>
                <w:szCs w:val="4"/>
              </w:rPr>
            </w:r>
          </w:p>
        </w:tc>
        <w:tc>
          <w:tcPr>
            <w:tcW w:w="16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50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Carrying Amount</w:t>
            </w:r>
          </w:p>
        </w:tc>
      </w:tr>
      <w:tr>
        <w:trPr/>
        <w:tc>
          <w:tcPr>
            <w:tcW w:w="50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Principal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506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7"/>
              </w:rPr>
              <w:t>5.7% notes, issued in January 2023 and due in January 2033</w:t>
            </w:r>
            <w:r>
              <w:rPr>
                <w:rFonts w:ascii="Times New Roman;sans-serif" w:hAnsi="Times New Roman;sans-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400.0 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395.4 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r>
      <w:tr>
        <w:trPr/>
        <w:tc>
          <w:tcPr>
            <w:tcW w:w="506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4.2% notes, issued in April 2022 and due in April 2032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600.0 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592.0 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591.8 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2.3% notes, issued in October 2021 and due in November 2028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450.0 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446.3 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446.2 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2.7% notes, issued in June 2021 and October 2021, and due in July 2031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750.0 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741.9 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741.6 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3" w:type="dxa"/>
            <w:gridSpan w:val="3"/>
            <w:tcBorders/>
            <w:shd w:fill="auto" w:val="clear"/>
            <w:vAlign w:val="center"/>
          </w:tcPr>
          <w:p>
            <w:pPr>
              <w:pStyle w:val="TableContents"/>
              <w:spacing w:before="0" w:after="283"/>
              <w:rPr>
                <w:sz w:val="4"/>
                <w:szCs w:val="4"/>
              </w:rPr>
            </w:pPr>
            <w:r>
              <w:rPr>
                <w:sz w:val="4"/>
                <w:szCs w:val="4"/>
              </w:rPr>
            </w:r>
          </w:p>
        </w:tc>
      </w:tr>
      <w:tr>
        <w:trPr/>
        <w:tc>
          <w:tcPr>
            <w:tcW w:w="50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2,200.0 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2,175.6 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1,779.6 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In January 2023, the Operating Partnership issued $400.0 million of senior unsecured notes with an interest rate of 5.7% and a 10-year term, due January 15, 2033 (the "2033 Notes"). Interest on the notes is payable semi-annually in arrears on January 15 and July 15 of each year, beginning on July 15, 2023. The net proceeds from the offering were $395.3 million, after deducting underwriters' discounts and estimated offering expenses. We used the net proceeds from the offering to repay borrowings outstanding under our Senior Credit Facility.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obligations of the Operating Partnership to pay principal, premiums, if any, and interest on our senior unsecured notes are guaranteed on a senior basis by Sun Communities, Inc. The guarantee is full and unconditional, and the Operating Partnership is a consolidated subsidiary of the Company. Under Rule 3-10 of Regulation S-X, as amended, subsidiary issuers of obligations guaranteed by its parent company are not required to provide separate financial statements, provided that the subsidiary obligor is consolidated into the parent company's consolidated financial statements, the parent guarantee is "full and unconditional" and, subject to certain exceptions, the alternative disclosure required by Rule 13-01 is provided, which includes narrative disclosure and summarized financial information. Accordingly, separate consolidated financial statements of the Operating Partnership have not been presented. Furthermore, as permitted under Rule 13-01(a)(4)(vi), we have excluded the summarized financial information for the Operating Partnership as the assets, liabilities and results of operations of the Operating Partnership are not materially different from the corresponding amounts presented in our consolidated financial statements and management believes such summarized financial information would be repetitive and not provide incremental value to investors.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Line of Credit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2022, in connection with the closing of the Park Holidays acquisition, the Operating Partnership as borrower, and SUI, as guarantor, and certain lenders entered into the Credit Facility Amendment, which amended our Senior Credit Facility.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Facility Amendment increased the aggregate amount of our Senior Credit Facility to $4.2 billion with the ability to upsize the total borrowings by an additional $800.0 million, subject to certain conditions. The increased aggregate amount under the Senior Credit Facility consists of the following: (a) a revolving loan in an amount up to $3.05 billion and (b) a term loan facility of $1.15 billion, with the ability to draw funds from the combined facilities in U.S. dollars, Pound sterling, Euros, Canadian dollars and Australian dollars, subject to certain limitations. The Credit Facility Amendment extended the maturity date of the revolving loan facility to April 7, 2026. At our option that maturity date may be extended two additional six-month periods. In addition, the Credit Facility Amendment established the maturity date of the term loan facility under the Credit Facility Amendment as April 7, 2025, which may not be further extended.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Credit Facility Amendment, the Senior Credit Facility permitted aggregate borrowings of up to $2.0 billion, with an accordion feature that allowed for additional commitments of up to $1.0 billion, subject to the satisfaction of certain conditions. Prior to the amendment, $500.0 million of available borrowings under the Senior Credit Facility were scheduled to mature on October 11, 2024, with the remainder scheduled to mature on June 14, 2025. We had no loss on extinguishment of debt related to the Senior Credit Facility during the three months ended March 31, 2023.</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Credit Facility bears interest at a floating rate based on the Adjusted Term SOFR, the Adjusted Eurocurrency Rate, the Daily RFR, the Australian BBSY, the Daily SONIA Rate or the Canadian Dollar Offered Rate, as applicable, plus a margin, in all cases, which can range from 0.725% to 1.6%, subject to certain adjustments. As of March 31, 2023, the margins based on our credit ratings were 0.85% on the revolving loan facility and 0.95% on the term loan facility. During the three months ended March 31, 2023 and year ended December 31, 2022, we achieved sustainability related requirements resulting in a favorable 0.04% and 0.01% adjustments, respectively, to both margins.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lenders' option, the Senior Credit Facility will become immediately due and payable upon an event of default under the Credit Facility Amendment. We had $741.6 million and $1.1 billion of borrowings outstanding under the revolving loan as of March 31, 2023 and December 31, 2022, respectively. We also had $1.1 billion of borrowings outstanding under the term loan on the Senior Credit Facility as of March 31, 2023 and December 31, 2022, respectively. These balances are recorded in Unsecured debt on the Consolidated Balance Sheets.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Credit Facility provides us with the ability to issue letters of credit. Our issuance of letters of credit does not increase our borrowings outstanding under the Senior Credit Facility, but does reduce the borrowing amount available. We had $4.8 million and $2.3 million of outstanding letters of credit at March 31, 2023 and December 31, 2022,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Financial Covenants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Senior Credit Facility, we are subject to various financial and other covenants. The most restrictive financial covenants for the Senior Credit Facility are as follows:</w:t>
      </w:r>
    </w:p>
    <w:p>
      <w:pPr>
        <w:pStyle w:val="TextBody"/>
        <w:spacing w:before="0" w:after="0"/>
        <w:jc w:val="both"/>
        <w:rPr/>
      </w:pPr>
      <w:r>
        <w:rPr/>
      </w:r>
    </w:p>
    <w:tbl>
      <w:tblPr>
        <w:tblW w:w="6175" w:type="dxa"/>
        <w:jc w:val="left"/>
        <w:tblInd w:w="0" w:type="dxa"/>
        <w:tblCellMar>
          <w:top w:w="28" w:type="dxa"/>
          <w:left w:w="28" w:type="dxa"/>
          <w:bottom w:w="28" w:type="dxa"/>
          <w:right w:w="28" w:type="dxa"/>
        </w:tblCellMar>
      </w:tblPr>
      <w:tblGrid>
        <w:gridCol w:w="997"/>
        <w:gridCol w:w="877"/>
        <w:gridCol w:w="886"/>
        <w:gridCol w:w="109"/>
        <w:gridCol w:w="109"/>
        <w:gridCol w:w="109"/>
        <w:gridCol w:w="345"/>
        <w:gridCol w:w="345"/>
        <w:gridCol w:w="346"/>
        <w:gridCol w:w="109"/>
        <w:gridCol w:w="109"/>
        <w:gridCol w:w="109"/>
        <w:gridCol w:w="503"/>
        <w:gridCol w:w="503"/>
        <w:gridCol w:w="719"/>
      </w:tblGrid>
      <w:tr>
        <w:trPr/>
        <w:tc>
          <w:tcPr>
            <w:tcW w:w="997"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Covenant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Requirement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As of March 31, 2023</w:t>
            </w:r>
          </w:p>
        </w:tc>
      </w:tr>
      <w:tr>
        <w:trPr/>
        <w:tc>
          <w:tcPr>
            <w:tcW w:w="27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Maximum leverage ratio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&lt;65.0%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33.1%</w:t>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Minimum fixed charge coverage ratio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&gt;1.40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3.69</w:t>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Maximum secured leverage ratio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&lt;40.0%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12.6%</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required to maintain the following covenants with respect to the senior unsecured notes payable:</w:t>
      </w:r>
    </w:p>
    <w:p>
      <w:pPr>
        <w:pStyle w:val="TextBody"/>
        <w:spacing w:before="0" w:after="0"/>
        <w:jc w:val="both"/>
        <w:rPr/>
      </w:pPr>
      <w:r>
        <w:rPr/>
      </w:r>
    </w:p>
    <w:tbl>
      <w:tblPr>
        <w:tblW w:w="7824" w:type="dxa"/>
        <w:jc w:val="left"/>
        <w:tblInd w:w="0" w:type="dxa"/>
        <w:tblCellMar>
          <w:top w:w="28" w:type="dxa"/>
          <w:left w:w="28" w:type="dxa"/>
          <w:bottom w:w="28" w:type="dxa"/>
          <w:right w:w="28" w:type="dxa"/>
        </w:tblCellMar>
      </w:tblPr>
      <w:tblGrid>
        <w:gridCol w:w="1596"/>
        <w:gridCol w:w="1403"/>
        <w:gridCol w:w="1410"/>
        <w:gridCol w:w="109"/>
        <w:gridCol w:w="109"/>
        <w:gridCol w:w="109"/>
        <w:gridCol w:w="345"/>
        <w:gridCol w:w="345"/>
        <w:gridCol w:w="346"/>
        <w:gridCol w:w="109"/>
        <w:gridCol w:w="109"/>
        <w:gridCol w:w="109"/>
        <w:gridCol w:w="503"/>
        <w:gridCol w:w="503"/>
        <w:gridCol w:w="719"/>
      </w:tblGrid>
      <w:tr>
        <w:trPr/>
        <w:tc>
          <w:tcPr>
            <w:tcW w:w="1596" w:type="dxa"/>
            <w:tcBorders/>
            <w:shd w:fill="auto" w:val="clear"/>
            <w:vAlign w:val="center"/>
          </w:tcPr>
          <w:p>
            <w:pPr>
              <w:pStyle w:val="TableContents"/>
              <w:spacing w:before="0" w:after="283"/>
              <w:rPr>
                <w:sz w:val="4"/>
                <w:szCs w:val="4"/>
              </w:rPr>
            </w:pPr>
            <w:r>
              <w:rPr>
                <w:sz w:val="4"/>
                <w:szCs w:val="4"/>
              </w:rPr>
            </w:r>
          </w:p>
        </w:tc>
        <w:tc>
          <w:tcPr>
            <w:tcW w:w="1403" w:type="dxa"/>
            <w:tcBorders/>
            <w:shd w:fill="auto" w:val="clear"/>
            <w:vAlign w:val="center"/>
          </w:tcPr>
          <w:p>
            <w:pPr>
              <w:pStyle w:val="TableContents"/>
              <w:spacing w:before="0" w:after="283"/>
              <w:rPr>
                <w:sz w:val="4"/>
                <w:szCs w:val="4"/>
              </w:rPr>
            </w:pPr>
            <w:r>
              <w:rPr>
                <w:sz w:val="4"/>
                <w:szCs w:val="4"/>
              </w:rPr>
            </w:r>
          </w:p>
        </w:tc>
        <w:tc>
          <w:tcPr>
            <w:tcW w:w="14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r>
      <w:tr>
        <w:trPr/>
        <w:tc>
          <w:tcPr>
            <w:tcW w:w="44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Covenant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Requirement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As of March 31, 2023</w:t>
            </w:r>
          </w:p>
        </w:tc>
      </w:tr>
      <w:tr>
        <w:trPr/>
        <w:tc>
          <w:tcPr>
            <w:tcW w:w="44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debt to total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7"/>
              </w:rPr>
              <w:t>60.0%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40.8%</w:t>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Secured debt to 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7"/>
              </w:rPr>
              <w:t>40.0%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18.5%</w:t>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Consolidated income available for debt service to debt service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7"/>
              </w:rPr>
              <w:t>1.50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4.38</w:t>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Unencumbered total asset value to total unsecured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7"/>
              </w:rPr>
              <w:t>150.0%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344.1%</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were in compliance with the above covenants and do not anticipate that we will be unable to meet these covenants in the near term.</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Bridge Loan Termination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2022, we terminated our commitment letter with Citigroup, pursuant to which, Citigroup (on behalf of its affiliates), previously committed to lend us up to £950.0 million in Pound sterling, or approximately $1.2 billion converted at the March 31, 2022 exchange rate (the "Bridge Loan"). As of the date of termination, we did not have any borrowings outstanding under the Bridge Loan.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 Transactions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objective and strategy in using interest rate derivatives is to manage exposure to interest rate movements, thereby minimizing the effect of interest rate changes and the effect they could have on future cash outflows (forecasted interest payments) on a forecasted issuance of long-term debt. We do not enter into derivative instruments for speculative purposes.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entered into one interest rate swap contract to hedge variable rate borrowings of £100.0 million (equivalent to $123.7 million on March 31, 2023). The interest rate swap locks in a total fixed rate, inclusive of spread, of 4.81% through the maturity date of April 7, 2025. We also entered into one forward starting interest rate swap contract with an aggregate notional value of $50.0 million to hedge interest rate risk associated with a potential future debt offering.</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in connection with the 2033 Notes issuance, we settled two $100.0 million 10-year treasury rate lock contracts and one $50.0 million forward swap totaling $250.0 million and received a net settlement payment of $7.4 million. This lowered the effective interest rate on the 2033 Notes from 5.7% to 5.5%. As of the settlement date, the net accumulated gain included in AOCI is being reclassified into earnings as a reduction to interest expense on a straight-line basis over the 10-year term of the hedged transaction.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Long-term Financing and Capital Requirements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Long-term Financing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meeting our long-term liquidity requirements, such as scheduled debt maturities, large property acquisitions, expansion and development of properties, other nonrecurring capital improvements and Operating Partnership unit redemptions through the long-term unsecured and secured indebtedness and the issuance of certain debt or equity securities subject to market conditions. If current market and economic conditions, including relating to, among other things, interest rates, currency fluctuations, equity valuations and inflation, continue or worsen, our ability to obtain debt and equity capital in the long term on attractive terms may be adversely affected.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unrestricted cash on hand of $57.4 million, $2.2 billion of remaining capacity on the Senior Credit Facility, and a total of 517 unencumbered MH, RV and marina properties.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also issue shares of our capital stock, issue equity units in our Operating Partnership, issue unsecured notes, obtain other debt financing or sell selected assets. Our ability to finance our long-term liquidity requirements in such a manner will be affected by numerous economic factors affecting the MH, RV and marina industries at the time, including the availability and cost of mortgage debt, our financial condition, the operating history of the properties, the state of the debt and equity markets, and the general national, regional and local economic conditions. When it becomes necessary for us to approach the credit markets, the volatility in those markets could make borrowing more difficult to secure, more expensive or effectively unavailable. In the event our current credit ratings are downgraded, it may become difficult or more expensive to obtain additional financing or refinance existing unsecured indebtedness as maturities become due. See "Risk Factors" in Part I, Item 1A of our 2022 Annual Report. If we are unable to obtain additional debt or equity financing on acceptable terms, our business, results of operations and financial condition would be adversely impacted.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our net debt to enterprise value was 28.9% (assuming conversion of all common OP units, Series A-1 preferred OP units, Series A-3 preferred OP units, Series C preferred OP units, Series D preferred OP units, Series E preferred OP units, Series F preferred OP units, Series G preferred OP units, Series H preferred OP units, Series J preferred OP units and Series K preferred OP units to shares of common stock). Our debt has a weighted average interest rate of 3.91% and a weighted average years to maturity of 7.4.</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Requirements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nonconsolidated affiliates, which are accounted for under the equity-method of accounting, have incurred indebtedness. We have not guaranteed the debt of our nonconsolidated affiliates in the arrangements referenced below, nor do we have any obligations to fund this debt should the nonconsolidated affiliates be unable to do so. Refer to Note 6, "Investments in Nonconsolidated Affiliates," in the accompanying Consolidated Financial Statements for additional information about these entities.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GTSC</w:t>
      </w:r>
      <w:r>
        <w:rPr>
          <w:color w:val="000000"/>
        </w:rPr>
        <w:t xml:space="preserve"> </w:t>
      </w:r>
      <w:r>
        <w:rPr>
          <w:rFonts w:ascii="Times New Roman;sans-serif" w:hAnsi="Times New Roman;sans-serif"/>
          <w:b w:val="false"/>
          <w:color w:val="000000"/>
          <w:sz w:val="20"/>
        </w:rPr>
        <w:t>- During September 2019, GTSC entered into a warehouse line of credit with a maximum loan amount of $125.0 million. The line of credit was subsequently amended, with the maximum amount increased to $325.0 million as of December 31, 2022, with an option to increase to $375.0 million subject to the lender's consent. As of March 31, 2023 and December 31, 2022, the aggregate carrying amount of debt, including both our and our partner's share, incurred by GTSC was $302.6 million (of which our proportionate share is $121.0 million), and $275.0 million (of which our proportionate share is $110.0 million), respectively. The debt bears interest at a variable rate based on a Commercial Paper or adjusted SOFR plus a margin ranging from 1.65% to 2.5% per annum and matures on December 15, 2026.</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spacing w:lineRule="auto" w:line="288" w:before="0" w:after="0"/>
        <w:jc w:val="both"/>
        <w:rPr/>
      </w:pPr>
      <w:r>
        <w:rPr>
          <w:rFonts w:ascii="Times New Roman;sans-serif" w:hAnsi="Times New Roman;sans-serif"/>
          <w:b w:val="false"/>
          <w:i/>
          <w:color w:val="000000"/>
          <w:sz w:val="20"/>
        </w:rPr>
        <w:t>Sungenia JV</w:t>
      </w:r>
      <w:r>
        <w:rPr>
          <w:color w:val="000000"/>
        </w:rPr>
        <w:t xml:space="preserve"> </w:t>
      </w:r>
      <w:r>
        <w:rPr>
          <w:rFonts w:ascii="Times New Roman;sans-serif" w:hAnsi="Times New Roman;sans-serif"/>
          <w:b w:val="false"/>
          <w:color w:val="000000"/>
          <w:sz w:val="20"/>
        </w:rPr>
        <w:t>- During May 2020, Sungenia JV, entered into a debt facility agreement with a maximum loan amount of $27.0 million Australian dollars, or $18.1 million converted at the March 31, 2023 exchange rate. During July 2022, the maximum amount was increased to $50.0 million Australian dollars, or $33.5 million converted at the March 31, 2023 exchange rate. As of March 31, 2023 and December 31, 2022, the aggregate carrying amount of the debt, including both our and our partners' share, incurred by Sungenia JV was $12.1 million (of which our proportionate share is approximately $6.1 million), and $7.9 million (of which our proportionate share is $4.0 million), respectively. The debt bears interest at a variable rate based on the BBSY rate plus a margin ranging from 1.35% to 1.4%, subject to adjustment for additional future commitments, per annum and matures on June 30, 2027.</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contains various "forward-looking statements" within the meaning of the Securities Act of 1933, as amended (the "Securities Act"), and the Securities Exchange Act of 1934, as amended (the "Exchange Act"), and we intend that such forward-looking statements will be subject to the safe harbors created thereby. For this purpose, any statements contained in this document that relate to expectations, beliefs, projections, future plans and strategies, trends or prospective events or developments and similar expressions concerning matters that are not historical facts are deemed to be forward-looking statements. Words such as "forecasts," "intends," "intend," "intended," "goal," "estimate," "estimates," "expects," "expect," "expected," "project," "projected," "projections," "plans," "predicts," "potential," "seeks," "anticipates," "anticipated," "should," "could," "may," "will," "designed to," "foreseeable future," "believe," "believes," "scheduled," "guidance," "target" and similar expressions are intended to identify forward-looking statements, although not all forward-looking statements contain these words. These forward-looking statements reflect our current views with respect to future events and financial performance, but involve known and unknown risks and uncertainties, both general and specific to the matters discussed in this document, some of which are beyond our control. These risks, uncertainties, and other factors may cause our actual results to be materially different from any future results expressed or implied by such forward-looking statements. In addition to the risks disclosed under "Risk Factors" in our 2022 Annual Report, and in our other filings with the SEC, from time to time, such risks, uncertainties and other factors include, but are not limited to:</w:t>
      </w:r>
    </w:p>
    <w:p>
      <w:pPr>
        <w:pStyle w:val="TextBody"/>
        <w:spacing w:before="0" w:after="0"/>
        <w:jc w:val="both"/>
        <w:rPr/>
      </w:pPr>
      <w:r>
        <w:rPr/>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Outbreaks of disease and related restrictions on business operations;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in general economic conditions, including inflation, deflation and energy costs, the real estate industry and the markets within which we operate;</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Difficulties in our ability to evaluate, finance, complete and integrate acquisitions, developments and expansions successfully;</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liquidity and refinancing demands;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obtain or refinance maturing debt;</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maintain compliance with covenants contained in our debt facilities and our unsecured notes;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Availability of capital;</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in foreign currency exchange rates, including between the U.S. dollar and each of the Canadian dollar, Australian dollar and Pound sterling;</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maintain rental rates and occupancy levels;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maintain effective internal control over financial reporting and disclosure controls and procedures;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Increases in interest rates and operating costs, including insurance premiums and real estate taxes;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Risks related to natural disasters such as hurricanes, earthquakes, floods, droughts and wildfires;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General volatility of the capital markets and the market price of shares of our capital stock;</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maintain our status as a REIT;</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in real estate and zoning laws and regulations;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Legislative or regulatory changes, including changes to laws governing the taxation of REITs;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Litigation, judgments or settlements;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Competitive market forces;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ability of purchasers of manufactured homes and boats to obtain financing;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level of repossessions by manufactured home and boat lenders.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Readers are cautioned not to place undue reliance on these forward-looking statements, which speak only as of the date the statement was made. We undertake no obligation to publicly update or revise any forward-looking statements included or incorporated by reference into this document, whether as a result of new information, future events, changes in our expectations or otherwise, except as required by law.</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the expectations reflected in the forward-looking statements are reasonable, we cannot guarantee future results, levels of activity, performance or achievements. All written and oral forward-looking statements attributable to us or persons acting on our behalf are qualified in their entirety by these cautionary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spacing w:lineRule="auto" w:line="288" w:before="0" w:after="0"/>
        <w:rPr/>
      </w:pPr>
      <w:r>
        <w:rPr>
          <w:rFonts w:ascii="Times New Roman;sans-serif" w:hAnsi="Times New Roman;sans-serif"/>
          <w:b/>
          <w:color w:val="000000"/>
          <w:sz w:val="20"/>
        </w:rPr>
        <w:t>ITEM 3.</w:t>
      </w:r>
      <w:r>
        <w:rPr>
          <w:color w:val="000000"/>
        </w:rPr>
        <w:t xml:space="preserve">  </w:t>
      </w:r>
      <w:r>
        <w:rPr>
          <w:rFonts w:ascii="Times New Roman;sans-serif" w:hAnsi="Times New Roman;sans-serif"/>
          <w:b/>
          <w:color w:val="000000"/>
          <w:sz w:val="20"/>
        </w:rPr>
        <w:t>QUANTITATIVE AND QUALITATIVE DISCLOSURES ABOUT MARKET RISK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is the exposure to loss resulting from changes in market factors such as interest rates, foreign currency exchange rates, commodity prices and equity prices.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market risk exposure is interest rate risk. We mitigate this risk by maintaining prudent amounts of leverage, minimizing capital costs and interest expense while continuously evaluating all available debt and equity resources and following established risk management policies and procedures, which include the periodic use of derivatives. Our primary strategy in entering into derivative contracts is to minimize the variability that interest rate changes could have on our future cash flows. From time to time, we employ derivative instruments that effectively convert a portion of our variable rate debt to fixed rate debt. We do not enter into derivative instruments for speculative purposes.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variable rate debt totaled $1.2 billion and $1.5 billion as of March 31, 2023 and 2022, respectively, after adjusting for the impact of hedging in place through the use of interest rate swaps. As of March 31, 2023, our variable debt bore interest at the Adjusted Term SOFR, the Adjusted Eurocurrency Rate, the Daily RFR, the Australian BBSY rate, the Daily SONIA Rate or the Canadian Dollar Offered Rate, and the Eurodollar rate or Prime rate plus a margin. As of March 31, 2022, our variable debt bore interest at the Adjusted Eurocurrency Rate or the Australian BBSY rate, plus a margin, and the Eurodollar rate or Prime rate. If the above rate increased or decreased by 1.0%, our interest expense would have increased or decreased by $3.5 million and $3.0 million for the three months ended March 31, 2023 and 2022, respectively, based on the $1.4 billion and $1.2 billion average balances outstanding under our variable rate debt facilities, respectively. Our variable rate debt, interest expense and average balance outstanding under our variable rate debt facility includes the impact of hedge activity.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Exchange Rate Risk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rate risk is the risk that fluctuations in currencies against the U.S. dollar will negatively impact our results of operations. We are exposed to foreign currency exchange rate risk as a result of remeasurement and translation of the assets and liabilities of our properties in the UK and Canada, and our equity investment and joint venture in Australia, into U.S. dollars. Fluctuations in foreign currency exchange rates can therefore create volatility in our results of operations and may adversely affect our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and December 31, 2022, our shareholder's equity included $852.1 million and $1.2 billion from our investments and operations in the UK, Canada and Australia which collectively represented 11.0% and 14.9% of total shareholder's equity, respectively. Based on our sensitivity analysis, a 10.0% strengthening of the U.S. dollar against the Pound sterling, Canadian dollar and Australian dollar would have caused a reduction of $85.2 million and $117.9 million to our total shareholder's equity at March 31, 2023 and December 31, 2022,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Market Risk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through borrowings under other financing arrangements.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CEO and CFO, evaluated the effectiveness of our disclosure controls and procedures (pursuant to Rules 13a-15(e) or 15d-15(e) of the Exchange Act) at March 31, 2023. Based upon this evaluation, our CEO and CFO concluded that our disclosure controls and procedures were effective as of March 31, 2023.</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during the three months ended March 31, 2023 that have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Legal Proceedings Arising in the Ordinary Course of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 to "Legal Proceedings" in Part 1 - Item 1 - Note 16, "Commitments and Contingencies," in our accompanying Consolidated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Environmental Matters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Item 103 of Regulation S-K requires disclosure of certain environmental matters when a governmental authority is a party to the proceedings and such proceedings involve potential monetary sanctions that we reasonably believe will exceed an applied threshold not to exceed $1.0 million. Applying this threshold, there are no environmental matters to disclose for the three months ended March 31, 2023.</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set forth in this report, you should carefully consider the risk factors described in Part 1, Item 1A., "Risk Factors," in our 2022 Annual Report, which could materially affect our business, financial condition or future results. There have been no material changes to the disclosure on these matters as set forth in such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our OP units have converted the following units during the three months ended March 31, 2023:</w:t>
      </w:r>
    </w:p>
    <w:p>
      <w:pPr>
        <w:pStyle w:val="TextBody"/>
        <w:spacing w:before="0" w:after="0"/>
        <w:rPr/>
      </w:pPr>
      <w:r>
        <w:rPr/>
      </w:r>
    </w:p>
    <w:tbl>
      <w:tblPr>
        <w:tblW w:w="7791" w:type="dxa"/>
        <w:jc w:val="left"/>
        <w:tblInd w:w="0" w:type="dxa"/>
        <w:tblCellMar>
          <w:top w:w="28" w:type="dxa"/>
          <w:left w:w="28" w:type="dxa"/>
          <w:bottom w:w="28" w:type="dxa"/>
          <w:right w:w="28" w:type="dxa"/>
        </w:tblCellMar>
      </w:tblPr>
      <w:tblGrid>
        <w:gridCol w:w="727"/>
        <w:gridCol w:w="638"/>
        <w:gridCol w:w="645"/>
        <w:gridCol w:w="109"/>
        <w:gridCol w:w="109"/>
        <w:gridCol w:w="109"/>
        <w:gridCol w:w="439"/>
        <w:gridCol w:w="439"/>
        <w:gridCol w:w="441"/>
        <w:gridCol w:w="109"/>
        <w:gridCol w:w="109"/>
        <w:gridCol w:w="109"/>
        <w:gridCol w:w="634"/>
        <w:gridCol w:w="634"/>
        <w:gridCol w:w="636"/>
        <w:gridCol w:w="175"/>
        <w:gridCol w:w="175"/>
        <w:gridCol w:w="175"/>
        <w:gridCol w:w="403"/>
        <w:gridCol w:w="403"/>
        <w:gridCol w:w="573"/>
      </w:tblGrid>
      <w:tr>
        <w:trPr/>
        <w:tc>
          <w:tcPr>
            <w:tcW w:w="727"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8"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r>
      <w:tr>
        <w:trPr/>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r>
      <w:tr>
        <w:trPr/>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Series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Conversion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Units / Shares Converted</w:t>
            </w:r>
          </w:p>
        </w:tc>
        <w:tc>
          <w:tcPr>
            <w:tcW w:w="5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7"/>
              </w:rPr>
              <w:t>Common Stock</w:t>
            </w:r>
            <w:r>
              <w:rPr>
                <w:rFonts w:ascii="Times New Roman;sans-serif" w:hAnsi="Times New Roman;sans-serif"/>
                <w:b w:val="false"/>
                <w:color w:val="000000"/>
                <w:sz w:val="11"/>
              </w:rPr>
              <w:t>(1)</w:t>
            </w:r>
          </w:p>
        </w:tc>
      </w:tr>
      <w:tr>
        <w:trPr/>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Aspen preferred OP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7"/>
              </w:rPr>
              <w:t>Various</w:t>
            </w:r>
            <w:r>
              <w:rPr>
                <w:rFonts w:ascii="Times New Roman;sans-serif" w:hAnsi="Times New Roman;sans-serif"/>
                <w:b w:val="false"/>
                <w:color w:val="000000"/>
                <w:sz w:val="11"/>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270,000 </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86,224 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OP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1.0000 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2,910 </w:t>
            </w:r>
          </w:p>
        </w:tc>
        <w:tc>
          <w:tcPr>
            <w:tcW w:w="6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2,910 </w:t>
            </w:r>
          </w:p>
        </w:tc>
        <w:tc>
          <w:tcPr>
            <w:tcW w:w="5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04" w:type="dxa"/>
            <w:gridSpan w:val="3"/>
            <w:tcBorders/>
            <w:shd w:fill="auto" w:val="clear"/>
            <w:vAlign w:val="center"/>
          </w:tcPr>
          <w:p>
            <w:pPr>
              <w:pStyle w:val="TableContents"/>
              <w:spacing w:before="0" w:after="283"/>
              <w:rPr>
                <w:sz w:val="4"/>
                <w:szCs w:val="4"/>
              </w:rPr>
            </w:pPr>
            <w:r>
              <w:rPr>
                <w:sz w:val="4"/>
                <w:szCs w:val="4"/>
              </w:rPr>
            </w:r>
          </w:p>
        </w:tc>
        <w:tc>
          <w:tcPr>
            <w:tcW w:w="525" w:type="dxa"/>
            <w:gridSpan w:val="3"/>
            <w:tcBorders/>
            <w:shd w:fill="auto" w:val="clear"/>
            <w:vAlign w:val="center"/>
          </w:tcPr>
          <w:p>
            <w:pPr>
              <w:pStyle w:val="TableContents"/>
              <w:spacing w:before="0" w:after="283"/>
              <w:rPr>
                <w:sz w:val="4"/>
                <w:szCs w:val="4"/>
              </w:rPr>
            </w:pPr>
            <w:r>
              <w:rPr>
                <w:sz w:val="4"/>
                <w:szCs w:val="4"/>
              </w:rPr>
            </w:r>
          </w:p>
        </w:tc>
        <w:tc>
          <w:tcPr>
            <w:tcW w:w="1379" w:type="dxa"/>
            <w:gridSpan w:val="3"/>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04" w:type="dxa"/>
            <w:gridSpan w:val="3"/>
            <w:tcBorders/>
            <w:shd w:fill="auto" w:val="clear"/>
            <w:vAlign w:val="center"/>
          </w:tcPr>
          <w:p>
            <w:pPr>
              <w:pStyle w:val="TableContents"/>
              <w:spacing w:before="0" w:after="283"/>
              <w:rPr>
                <w:sz w:val="4"/>
                <w:szCs w:val="4"/>
              </w:rPr>
            </w:pPr>
            <w:r>
              <w:rPr>
                <w:sz w:val="4"/>
                <w:szCs w:val="4"/>
              </w:rPr>
            </w:r>
          </w:p>
        </w:tc>
        <w:tc>
          <w:tcPr>
            <w:tcW w:w="525" w:type="dxa"/>
            <w:gridSpan w:val="3"/>
            <w:tcBorders/>
            <w:shd w:fill="auto" w:val="clear"/>
            <w:vAlign w:val="center"/>
          </w:tcPr>
          <w:p>
            <w:pPr>
              <w:pStyle w:val="TableContents"/>
              <w:spacing w:before="0" w:after="283"/>
              <w:rPr>
                <w:sz w:val="4"/>
                <w:szCs w:val="4"/>
              </w:rPr>
            </w:pPr>
            <w:r>
              <w:rPr>
                <w:sz w:val="4"/>
                <w:szCs w:val="4"/>
              </w:rPr>
            </w:r>
          </w:p>
        </w:tc>
        <w:tc>
          <w:tcPr>
            <w:tcW w:w="1379" w:type="dxa"/>
            <w:gridSpan w:val="3"/>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04" w:type="dxa"/>
            <w:gridSpan w:val="3"/>
            <w:tcBorders/>
            <w:shd w:fill="auto" w:val="clear"/>
            <w:vAlign w:val="center"/>
          </w:tcPr>
          <w:p>
            <w:pPr>
              <w:pStyle w:val="TableContents"/>
              <w:spacing w:before="0" w:after="283"/>
              <w:rPr>
                <w:sz w:val="4"/>
                <w:szCs w:val="4"/>
              </w:rPr>
            </w:pPr>
            <w:r>
              <w:rPr>
                <w:sz w:val="4"/>
                <w:szCs w:val="4"/>
              </w:rPr>
            </w:r>
          </w:p>
        </w:tc>
        <w:tc>
          <w:tcPr>
            <w:tcW w:w="525" w:type="dxa"/>
            <w:gridSpan w:val="3"/>
            <w:tcBorders/>
            <w:shd w:fill="auto" w:val="clear"/>
            <w:vAlign w:val="center"/>
          </w:tcPr>
          <w:p>
            <w:pPr>
              <w:pStyle w:val="TableContents"/>
              <w:spacing w:before="0" w:after="283"/>
              <w:rPr>
                <w:sz w:val="4"/>
                <w:szCs w:val="4"/>
              </w:rPr>
            </w:pPr>
            <w:r>
              <w:rPr>
                <w:sz w:val="4"/>
                <w:szCs w:val="4"/>
              </w:rPr>
            </w:r>
          </w:p>
        </w:tc>
        <w:tc>
          <w:tcPr>
            <w:tcW w:w="1379" w:type="dxa"/>
            <w:gridSpan w:val="3"/>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C preferred OP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1.1100 </w:t>
            </w:r>
          </w:p>
        </w:tc>
        <w:tc>
          <w:tcPr>
            <w:tcW w:w="4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65 </w:t>
            </w:r>
          </w:p>
        </w:tc>
        <w:tc>
          <w:tcPr>
            <w:tcW w:w="6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72 </w:t>
            </w:r>
          </w:p>
        </w:tc>
        <w:tc>
          <w:tcPr>
            <w:tcW w:w="5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04" w:type="dxa"/>
            <w:gridSpan w:val="3"/>
            <w:tcBorders/>
            <w:shd w:fill="auto" w:val="clear"/>
            <w:vAlign w:val="center"/>
          </w:tcPr>
          <w:p>
            <w:pPr>
              <w:pStyle w:val="TableContents"/>
              <w:spacing w:before="0" w:after="283"/>
              <w:rPr>
                <w:sz w:val="4"/>
                <w:szCs w:val="4"/>
              </w:rPr>
            </w:pPr>
            <w:r>
              <w:rPr>
                <w:sz w:val="4"/>
                <w:szCs w:val="4"/>
              </w:rPr>
            </w:r>
          </w:p>
        </w:tc>
        <w:tc>
          <w:tcPr>
            <w:tcW w:w="525" w:type="dxa"/>
            <w:gridSpan w:val="3"/>
            <w:tcBorders/>
            <w:shd w:fill="auto" w:val="clear"/>
            <w:vAlign w:val="center"/>
          </w:tcPr>
          <w:p>
            <w:pPr>
              <w:pStyle w:val="TableContents"/>
              <w:spacing w:before="0" w:after="283"/>
              <w:rPr>
                <w:sz w:val="4"/>
                <w:szCs w:val="4"/>
              </w:rPr>
            </w:pPr>
            <w:r>
              <w:rPr>
                <w:sz w:val="4"/>
                <w:szCs w:val="4"/>
              </w:rPr>
            </w:r>
          </w:p>
        </w:tc>
        <w:tc>
          <w:tcPr>
            <w:tcW w:w="1379" w:type="dxa"/>
            <w:gridSpan w:val="3"/>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04" w:type="dxa"/>
            <w:gridSpan w:val="3"/>
            <w:tcBorders/>
            <w:shd w:fill="auto" w:val="clear"/>
            <w:vAlign w:val="center"/>
          </w:tcPr>
          <w:p>
            <w:pPr>
              <w:pStyle w:val="TableContents"/>
              <w:spacing w:before="0" w:after="283"/>
              <w:rPr>
                <w:sz w:val="4"/>
                <w:szCs w:val="4"/>
              </w:rPr>
            </w:pPr>
            <w:r>
              <w:rPr>
                <w:sz w:val="4"/>
                <w:szCs w:val="4"/>
              </w:rPr>
            </w:r>
          </w:p>
        </w:tc>
        <w:tc>
          <w:tcPr>
            <w:tcW w:w="525" w:type="dxa"/>
            <w:gridSpan w:val="3"/>
            <w:tcBorders/>
            <w:shd w:fill="auto" w:val="clear"/>
            <w:vAlign w:val="center"/>
          </w:tcPr>
          <w:p>
            <w:pPr>
              <w:pStyle w:val="TableContents"/>
              <w:spacing w:before="0" w:after="283"/>
              <w:rPr>
                <w:sz w:val="4"/>
                <w:szCs w:val="4"/>
              </w:rPr>
            </w:pPr>
            <w:r>
              <w:rPr>
                <w:sz w:val="4"/>
                <w:szCs w:val="4"/>
              </w:rPr>
            </w:r>
          </w:p>
        </w:tc>
        <w:tc>
          <w:tcPr>
            <w:tcW w:w="1379" w:type="dxa"/>
            <w:gridSpan w:val="3"/>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04" w:type="dxa"/>
            <w:gridSpan w:val="3"/>
            <w:tcBorders/>
            <w:shd w:fill="auto" w:val="clear"/>
            <w:vAlign w:val="center"/>
          </w:tcPr>
          <w:p>
            <w:pPr>
              <w:pStyle w:val="TableContents"/>
              <w:spacing w:before="0" w:after="283"/>
              <w:rPr>
                <w:sz w:val="4"/>
                <w:szCs w:val="4"/>
              </w:rPr>
            </w:pPr>
            <w:r>
              <w:rPr>
                <w:sz w:val="4"/>
                <w:szCs w:val="4"/>
              </w:rPr>
            </w:r>
          </w:p>
        </w:tc>
        <w:tc>
          <w:tcPr>
            <w:tcW w:w="525" w:type="dxa"/>
            <w:gridSpan w:val="3"/>
            <w:tcBorders/>
            <w:shd w:fill="auto" w:val="clear"/>
            <w:vAlign w:val="center"/>
          </w:tcPr>
          <w:p>
            <w:pPr>
              <w:pStyle w:val="TableContents"/>
              <w:spacing w:before="0" w:after="283"/>
              <w:rPr>
                <w:sz w:val="4"/>
                <w:szCs w:val="4"/>
              </w:rPr>
            </w:pPr>
            <w:r>
              <w:rPr>
                <w:sz w:val="4"/>
                <w:szCs w:val="4"/>
              </w:rPr>
            </w:r>
          </w:p>
        </w:tc>
        <w:tc>
          <w:tcPr>
            <w:tcW w:w="1379" w:type="dxa"/>
            <w:gridSpan w:val="3"/>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G preferred OP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0.6452 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6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645 </w:t>
            </w:r>
          </w:p>
        </w:tc>
        <w:tc>
          <w:tcPr>
            <w:tcW w:w="5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H preferred OP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0.6098 </w:t>
            </w:r>
          </w:p>
        </w:tc>
        <w:tc>
          <w:tcPr>
            <w:tcW w:w="4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25 </w:t>
            </w:r>
          </w:p>
        </w:tc>
        <w:tc>
          <w:tcPr>
            <w:tcW w:w="6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5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04" w:type="dxa"/>
            <w:gridSpan w:val="3"/>
            <w:tcBorders/>
            <w:shd w:fill="auto" w:val="clear"/>
            <w:vAlign w:val="center"/>
          </w:tcPr>
          <w:p>
            <w:pPr>
              <w:pStyle w:val="TableContents"/>
              <w:spacing w:before="0" w:after="283"/>
              <w:rPr>
                <w:sz w:val="4"/>
                <w:szCs w:val="4"/>
              </w:rPr>
            </w:pPr>
            <w:r>
              <w:rPr>
                <w:sz w:val="4"/>
                <w:szCs w:val="4"/>
              </w:rPr>
            </w:r>
          </w:p>
        </w:tc>
        <w:tc>
          <w:tcPr>
            <w:tcW w:w="525" w:type="dxa"/>
            <w:gridSpan w:val="3"/>
            <w:tcBorders/>
            <w:shd w:fill="auto" w:val="clear"/>
            <w:vAlign w:val="center"/>
          </w:tcPr>
          <w:p>
            <w:pPr>
              <w:pStyle w:val="TableContents"/>
              <w:spacing w:before="0" w:after="283"/>
              <w:rPr>
                <w:sz w:val="4"/>
                <w:szCs w:val="4"/>
              </w:rPr>
            </w:pPr>
            <w:r>
              <w:rPr>
                <w:sz w:val="4"/>
                <w:szCs w:val="4"/>
              </w:rPr>
            </w:r>
          </w:p>
        </w:tc>
        <w:tc>
          <w:tcPr>
            <w:tcW w:w="1379" w:type="dxa"/>
            <w:gridSpan w:val="3"/>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J preferred OP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0.6061 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6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606 </w:t>
            </w:r>
          </w:p>
        </w:tc>
        <w:tc>
          <w:tcPr>
            <w:tcW w:w="5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04" w:type="dxa"/>
            <w:gridSpan w:val="3"/>
            <w:tcBorders/>
            <w:shd w:fill="auto" w:val="clear"/>
            <w:vAlign w:val="center"/>
          </w:tcPr>
          <w:p>
            <w:pPr>
              <w:pStyle w:val="TableContents"/>
              <w:spacing w:before="0" w:after="283"/>
              <w:rPr>
                <w:sz w:val="4"/>
                <w:szCs w:val="4"/>
              </w:rPr>
            </w:pPr>
            <w:r>
              <w:rPr>
                <w:sz w:val="4"/>
                <w:szCs w:val="4"/>
              </w:rPr>
            </w:r>
          </w:p>
        </w:tc>
        <w:tc>
          <w:tcPr>
            <w:tcW w:w="525" w:type="dxa"/>
            <w:gridSpan w:val="3"/>
            <w:tcBorders/>
            <w:shd w:fill="auto" w:val="clear"/>
            <w:vAlign w:val="center"/>
          </w:tcPr>
          <w:p>
            <w:pPr>
              <w:pStyle w:val="TableContents"/>
              <w:spacing w:before="0" w:after="283"/>
              <w:rPr>
                <w:sz w:val="4"/>
                <w:szCs w:val="4"/>
              </w:rPr>
            </w:pPr>
            <w:r>
              <w:rPr>
                <w:sz w:val="4"/>
                <w:szCs w:val="4"/>
              </w:rPr>
            </w:r>
          </w:p>
        </w:tc>
        <w:tc>
          <w:tcPr>
            <w:tcW w:w="137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 w:after="60"/>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Calculation may yield minor differences due to rounding incorporated in the above numbers.</w:t>
      </w:r>
    </w:p>
    <w:p>
      <w:pPr>
        <w:pStyle w:val="TextBody"/>
        <w:spacing w:lineRule="auto" w:line="288" w:before="0" w:after="0"/>
        <w:ind w:left="0" w:right="0" w:hanging="18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Refer to Note 8, "Debt and Line of Credit," for additional detail on Aspen preferred OP unit conversions.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securities described above were issued in private placements in reliance on Section 4(a)(2) of the Securities Act, including Regulation D promulgated thereunder. No underwriters were used in connection with any of such issuances.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Purchases of Equity Securities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common stock repurchases during the three months ended March 31, 2023:</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519"/>
        <w:gridCol w:w="397"/>
        <w:gridCol w:w="403"/>
        <w:gridCol w:w="109"/>
        <w:gridCol w:w="109"/>
        <w:gridCol w:w="109"/>
        <w:gridCol w:w="483"/>
        <w:gridCol w:w="417"/>
        <w:gridCol w:w="419"/>
        <w:gridCol w:w="109"/>
        <w:gridCol w:w="109"/>
        <w:gridCol w:w="109"/>
        <w:gridCol w:w="257"/>
        <w:gridCol w:w="850"/>
        <w:gridCol w:w="143"/>
        <w:gridCol w:w="109"/>
        <w:gridCol w:w="109"/>
        <w:gridCol w:w="109"/>
        <w:gridCol w:w="714"/>
        <w:gridCol w:w="714"/>
        <w:gridCol w:w="717"/>
        <w:gridCol w:w="109"/>
        <w:gridCol w:w="109"/>
        <w:gridCol w:w="109"/>
        <w:gridCol w:w="740"/>
        <w:gridCol w:w="1533"/>
        <w:gridCol w:w="591"/>
      </w:tblGrid>
      <w:tr>
        <w:trPr/>
        <w:tc>
          <w:tcPr>
            <w:tcW w:w="519"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533"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 number of shares 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Average price 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 number of shares purchased as part of publicly announced plans or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Maximum number (or approximate dollar value) of shares that may yet be purchased under the plans or programs</w:t>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w:t>
            </w:r>
          </w:p>
        </w:tc>
      </w:tr>
      <w:tr>
        <w:trPr/>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January 1, 2023 - January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26,752 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140.13 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February 1, 2023 - February 28,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24,755 </w:t>
            </w:r>
          </w:p>
        </w:tc>
        <w:tc>
          <w:tcPr>
            <w:tcW w:w="4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151.60 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3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March 1, 2023 -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25,316 </w:t>
            </w:r>
          </w:p>
        </w:tc>
        <w:tc>
          <w:tcPr>
            <w:tcW w:w="4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137.92 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3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76,823 </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143.10 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withheld 76,823 shares from employees to satisfy estimated statutory income tax obligations related to vesting of restricted stock awards. The value of the common stock withheld was based on the closing price of our common stock on the applicable vesting date.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11"/>
        <w:gridCol w:w="273"/>
        <w:gridCol w:w="274"/>
        <w:gridCol w:w="1786"/>
        <w:gridCol w:w="1686"/>
        <w:gridCol w:w="1702"/>
        <w:gridCol w:w="1277"/>
        <w:gridCol w:w="1277"/>
        <w:gridCol w:w="1619"/>
      </w:tblGrid>
      <w:tr>
        <w:trPr/>
        <w:tc>
          <w:tcPr>
            <w:tcW w:w="31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786" w:type="dxa"/>
            <w:tcBorders/>
            <w:shd w:fill="auto" w:val="clear"/>
            <w:vAlign w:val="center"/>
          </w:tcPr>
          <w:p>
            <w:pPr>
              <w:pStyle w:val="TableContents"/>
              <w:spacing w:before="0" w:after="283"/>
              <w:rPr>
                <w:sz w:val="4"/>
                <w:szCs w:val="4"/>
              </w:rPr>
            </w:pPr>
            <w:r>
              <w:rPr>
                <w:sz w:val="4"/>
                <w:szCs w:val="4"/>
              </w:rPr>
            </w:r>
          </w:p>
        </w:tc>
        <w:tc>
          <w:tcPr>
            <w:tcW w:w="1686" w:type="dxa"/>
            <w:tcBorders/>
            <w:shd w:fill="auto" w:val="clear"/>
            <w:vAlign w:val="center"/>
          </w:tcPr>
          <w:p>
            <w:pPr>
              <w:pStyle w:val="TableContents"/>
              <w:spacing w:before="0" w:after="283"/>
              <w:rPr>
                <w:sz w:val="4"/>
                <w:szCs w:val="4"/>
              </w:rPr>
            </w:pPr>
            <w:r>
              <w:rPr>
                <w:sz w:val="4"/>
                <w:szCs w:val="4"/>
              </w:rPr>
            </w:r>
          </w:p>
        </w:tc>
        <w:tc>
          <w:tcPr>
            <w:tcW w:w="1702"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c>
          <w:tcPr>
            <w:tcW w:w="1619" w:type="dxa"/>
            <w:tcBorders/>
            <w:shd w:fill="auto" w:val="clear"/>
            <w:vAlign w:val="center"/>
          </w:tcPr>
          <w:p>
            <w:pPr>
              <w:pStyle w:val="TableContents"/>
              <w:spacing w:before="0" w:after="283"/>
              <w:rPr>
                <w:sz w:val="4"/>
                <w:szCs w:val="4"/>
              </w:rPr>
            </w:pPr>
            <w:r>
              <w:rPr>
                <w:sz w:val="4"/>
                <w:szCs w:val="4"/>
              </w:rPr>
            </w:r>
          </w:p>
        </w:tc>
      </w:tr>
      <w:tr>
        <w:trPr/>
        <w:tc>
          <w:tcPr>
            <w:tcW w:w="858"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517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4173"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Method of Filing</w:t>
            </w:r>
          </w:p>
        </w:tc>
      </w:tr>
      <w:tr>
        <w:trPr/>
        <w:tc>
          <w:tcPr>
            <w:tcW w:w="858"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517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20"/>
                  <w:u w:val="single"/>
                </w:rPr>
                <w:t>Sun Communities, Inc. Articles of Restatement</w:t>
              </w:r>
            </w:hyperlink>
          </w:p>
        </w:tc>
        <w:tc>
          <w:tcPr>
            <w:tcW w:w="4173"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3.1 to Sun Communities, Inc.’s Annual Report on Form 10-K filed on February 22, 2018</w:t>
            </w:r>
          </w:p>
        </w:tc>
      </w:tr>
      <w:tr>
        <w:trPr/>
        <w:tc>
          <w:tcPr>
            <w:tcW w:w="858"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17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20"/>
                  <w:u w:val="single"/>
                </w:rPr>
                <w:t>Fourth Amended and Restated Bylaws</w:t>
              </w:r>
            </w:hyperlink>
          </w:p>
        </w:tc>
        <w:tc>
          <w:tcPr>
            <w:tcW w:w="4173"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3.1 to Sun Communities, Inc.’s Current Report on Form 8-K filed on February 21, 2023</w:t>
            </w:r>
          </w:p>
        </w:tc>
      </w:tr>
      <w:tr>
        <w:trPr/>
        <w:tc>
          <w:tcPr>
            <w:tcW w:w="858"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517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68" w:before="0" w:after="0"/>
              <w:jc w:val="both"/>
              <w:rPr/>
            </w:pPr>
            <w:hyperlink r:id="rId5">
              <w:r>
                <w:rPr>
                  <w:rStyle w:val="InternetLink"/>
                  <w:rFonts w:ascii="Times New Roman;sans-serif" w:hAnsi="Times New Roman;sans-serif"/>
                  <w:b w:val="false"/>
                  <w:color w:val="0000FF"/>
                  <w:sz w:val="20"/>
                  <w:u w:val="single"/>
                </w:rPr>
                <w:t>Fourth Supplemental Indenture, dated as of January 17, 2023 by and among Sun Communities Operating Limited Partnership, Sun Communities, Inc. and UMB Bank., N.A. as trustee.</w:t>
              </w:r>
            </w:hyperlink>
          </w:p>
        </w:tc>
        <w:tc>
          <w:tcPr>
            <w:tcW w:w="4173"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4.2 to Sun Communities Inc.'s Current Report on Form 8-K filed on January 17, 2023</w:t>
            </w:r>
          </w:p>
        </w:tc>
      </w:tr>
      <w:tr>
        <w:trPr/>
        <w:tc>
          <w:tcPr>
            <w:tcW w:w="858"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517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68" w:before="0" w:after="0"/>
              <w:jc w:val="both"/>
              <w:rPr/>
            </w:pPr>
            <w:hyperlink r:id="rId6">
              <w:r>
                <w:rPr>
                  <w:rStyle w:val="InternetLink"/>
                  <w:rFonts w:ascii="Times New Roman;sans-serif" w:hAnsi="Times New Roman;sans-serif"/>
                  <w:b w:val="false"/>
                  <w:color w:val="0000FF"/>
                  <w:sz w:val="20"/>
                  <w:u w:val="single"/>
                </w:rPr>
                <w:t>Form of Global Note for 5.700% Notes due 2033</w:t>
              </w:r>
            </w:hyperlink>
          </w:p>
        </w:tc>
        <w:tc>
          <w:tcPr>
            <w:tcW w:w="4173"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4.3 to Sun Communities Inc.'s Current Report on Form 8-K filed on January 17, 2023</w:t>
            </w:r>
          </w:p>
        </w:tc>
      </w:tr>
      <w:tr>
        <w:trPr/>
        <w:tc>
          <w:tcPr>
            <w:tcW w:w="858"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517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68" w:before="0" w:after="0"/>
              <w:jc w:val="both"/>
              <w:rPr/>
            </w:pPr>
            <w:hyperlink r:id="rId7">
              <w:r>
                <w:rPr>
                  <w:rStyle w:val="InternetLink"/>
                  <w:rFonts w:ascii="Times New Roman;sans-serif" w:hAnsi="Times New Roman;sans-serif"/>
                  <w:b w:val="false"/>
                  <w:color w:val="0000FF"/>
                  <w:sz w:val="20"/>
                  <w:u w:val="single"/>
                </w:rPr>
                <w:t>Eleventh Amendment to Agreement of Limited Partnership of Sun Communities Operating Limited Partnership, dated March 23, 2023</w:t>
              </w:r>
            </w:hyperlink>
          </w:p>
        </w:tc>
        <w:tc>
          <w:tcPr>
            <w:tcW w:w="4173"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10.1 to Sun Communities, Inc.’s Current Report on Form 8-K filed on March 27, 2023</w:t>
            </w:r>
          </w:p>
        </w:tc>
      </w:tr>
      <w:tr>
        <w:trPr/>
        <w:tc>
          <w:tcPr>
            <w:tcW w:w="858"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517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0"/>
              <w:jc w:val="left"/>
              <w:rPr/>
            </w:pPr>
            <w:hyperlink w:anchor="exhibit221-2023331listofis.htm">
              <w:r>
                <w:rPr>
                  <w:rStyle w:val="InternetLink"/>
                  <w:rFonts w:ascii="Times New Roman;sans-serif" w:hAnsi="Times New Roman;sans-serif"/>
                  <w:b w:val="false"/>
                  <w:color w:val="0000FF"/>
                  <w:sz w:val="20"/>
                  <w:u w:val="single"/>
                </w:rPr>
                <w:t>List of issuers of guaranteed securities</w:t>
              </w:r>
            </w:hyperlink>
          </w:p>
        </w:tc>
        <w:tc>
          <w:tcPr>
            <w:tcW w:w="4173"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58"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517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40" w:before="0" w:after="0"/>
              <w:jc w:val="left"/>
              <w:rPr/>
            </w:pPr>
            <w:hyperlink w:anchor="exhibit311-2023331ceocerti.htm">
              <w:r>
                <w:rPr>
                  <w:rStyle w:val="InternetLink"/>
                  <w:rFonts w:ascii="Times New Roman;sans-serif" w:hAnsi="Times New Roman;sans-serif"/>
                  <w:b w:val="false"/>
                  <w:color w:val="0000FF"/>
                  <w:sz w:val="20"/>
                  <w:u w:val="single"/>
                </w:rPr>
                <w:t>Certification of Chief Executive Officer pursuant to Securities Exchange Act Rules 13a-14(a)/15(d)-14(a), as adopted pursuant to Section 302 of the Sarbanes-Oxley Act of 2002.</w:t>
              </w:r>
            </w:hyperlink>
          </w:p>
        </w:tc>
        <w:tc>
          <w:tcPr>
            <w:tcW w:w="4173"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58"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517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0"/>
              <w:jc w:val="left"/>
              <w:rPr/>
            </w:pPr>
            <w:hyperlink w:anchor="exhibit312-2023331cfocerti.htm">
              <w:r>
                <w:rPr>
                  <w:rStyle w:val="InternetLink"/>
                  <w:rFonts w:ascii="Times New Roman;sans-serif" w:hAnsi="Times New Roman;sans-serif"/>
                  <w:b w:val="false"/>
                  <w:color w:val="0000FF"/>
                  <w:sz w:val="20"/>
                  <w:u w:val="single"/>
                </w:rPr>
                <w:t>Certification of Chief Financial Officer pursuant to Securities Exchange Act Rules 13a-14(a)/15(d)-14(a), as adopted pursuant to Section 302 of the Sarbanes-Oxley Act of 2002.</w:t>
              </w:r>
            </w:hyperlink>
          </w:p>
        </w:tc>
        <w:tc>
          <w:tcPr>
            <w:tcW w:w="4173"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58"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517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40" w:before="0" w:after="0"/>
              <w:jc w:val="both"/>
              <w:rPr/>
            </w:pPr>
            <w:hyperlink w:anchor="exhibit321-2023331ceoandcf.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w:t>
              </w:r>
            </w:hyperlink>
          </w:p>
        </w:tc>
        <w:tc>
          <w:tcPr>
            <w:tcW w:w="4173"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58"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517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c>
          <w:tcPr>
            <w:tcW w:w="4173"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40"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instance document does not appear in the Interactive Data File because its XBRL tags are embedded within the Inline XBRL document.</w:t>
            </w:r>
          </w:p>
        </w:tc>
      </w:tr>
      <w:tr>
        <w:trPr/>
        <w:tc>
          <w:tcPr>
            <w:tcW w:w="858"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517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4173"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58"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517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4173"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58"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517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4173"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58"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517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4173"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58"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517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4173"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58"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5174"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contained in Exhibit 101)</w:t>
            </w:r>
          </w:p>
        </w:tc>
        <w:tc>
          <w:tcPr>
            <w:tcW w:w="4173"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102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*Certain schedules and exhibits have been omitted pursuance to Item 601(a)(5) of Regulation S-K because such schedules and exhibits do not contain information which is material to an investment decision, or which is not otherwise disclosed in the filed agreements. The Company will furnish the omitted schedules and exhibits to the SEC upon request by the SEC.</w:t>
            </w:r>
          </w:p>
        </w:tc>
      </w:tr>
      <w:tr>
        <w:trPr/>
        <w:tc>
          <w:tcPr>
            <w:tcW w:w="858" w:type="dxa"/>
            <w:gridSpan w:val="3"/>
            <w:tcBorders/>
            <w:shd w:fill="auto" w:val="clear"/>
            <w:vAlign w:val="center"/>
          </w:tcPr>
          <w:p>
            <w:pPr>
              <w:pStyle w:val="TableContents"/>
              <w:spacing w:before="0" w:after="283"/>
              <w:rPr>
                <w:sz w:val="4"/>
                <w:szCs w:val="4"/>
              </w:rPr>
            </w:pPr>
            <w:r>
              <w:rPr>
                <w:sz w:val="4"/>
                <w:szCs w:val="4"/>
              </w:rPr>
            </w:r>
          </w:p>
        </w:tc>
        <w:tc>
          <w:tcPr>
            <w:tcW w:w="9347" w:type="dxa"/>
            <w:gridSpan w:val="6"/>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CellMar>
          <w:top w:w="28" w:type="dxa"/>
          <w:left w:w="28" w:type="dxa"/>
          <w:bottom w:w="28" w:type="dxa"/>
          <w:right w:w="28" w:type="dxa"/>
        </w:tblCellMar>
      </w:tblPr>
      <w:tblGrid>
        <w:gridCol w:w="552"/>
        <w:gridCol w:w="485"/>
        <w:gridCol w:w="490"/>
        <w:gridCol w:w="128"/>
        <w:gridCol w:w="128"/>
        <w:gridCol w:w="130"/>
        <w:gridCol w:w="2428"/>
        <w:gridCol w:w="2428"/>
        <w:gridCol w:w="3436"/>
      </w:tblGrid>
      <w:tr>
        <w:trPr/>
        <w:tc>
          <w:tcPr>
            <w:tcW w:w="552"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428" w:type="dxa"/>
            <w:tcBorders/>
            <w:shd w:fill="auto" w:val="clear"/>
            <w:vAlign w:val="center"/>
          </w:tcPr>
          <w:p>
            <w:pPr>
              <w:pStyle w:val="TableContents"/>
              <w:spacing w:before="0" w:after="283"/>
              <w:rPr>
                <w:sz w:val="4"/>
                <w:szCs w:val="4"/>
              </w:rPr>
            </w:pPr>
            <w:r>
              <w:rPr>
                <w:sz w:val="4"/>
                <w:szCs w:val="4"/>
              </w:rPr>
            </w:r>
          </w:p>
        </w:tc>
        <w:tc>
          <w:tcPr>
            <w:tcW w:w="2428" w:type="dxa"/>
            <w:tcBorders/>
            <w:shd w:fill="auto" w:val="clear"/>
            <w:vAlign w:val="center"/>
          </w:tcPr>
          <w:p>
            <w:pPr>
              <w:pStyle w:val="TableContents"/>
              <w:spacing w:before="0" w:after="283"/>
              <w:rPr>
                <w:sz w:val="4"/>
                <w:szCs w:val="4"/>
              </w:rPr>
            </w:pPr>
            <w:r>
              <w:rPr>
                <w:sz w:val="4"/>
                <w:szCs w:val="4"/>
              </w:rPr>
            </w:r>
          </w:p>
        </w:tc>
        <w:tc>
          <w:tcPr>
            <w:tcW w:w="3436" w:type="dxa"/>
            <w:tcBorders/>
            <w:shd w:fill="auto" w:val="clear"/>
            <w:vAlign w:val="center"/>
          </w:tcPr>
          <w:p>
            <w:pPr>
              <w:pStyle w:val="TableContents"/>
              <w:spacing w:before="0" w:after="283"/>
              <w:rPr>
                <w:sz w:val="4"/>
                <w:szCs w:val="4"/>
              </w:rPr>
            </w:pPr>
            <w:r>
              <w:rPr>
                <w:sz w:val="4"/>
                <w:szCs w:val="4"/>
              </w:rPr>
            </w:r>
          </w:p>
        </w:tc>
      </w:tr>
      <w:tr>
        <w:trPr/>
        <w:tc>
          <w:tcPr>
            <w:tcW w:w="15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7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April 27, 2023</w:t>
            </w:r>
          </w:p>
        </w:tc>
        <w:tc>
          <w:tcPr>
            <w:tcW w:w="3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8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Fernando Castro-Caratini</w:t>
            </w:r>
          </w:p>
        </w:tc>
      </w:tr>
      <w:tr>
        <w:trPr/>
        <w:tc>
          <w:tcPr>
            <w:tcW w:w="15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2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Treasurer and Secretary (Principal Financial Officer and Principal Accounting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List of Issuers of Guaranteed Securities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27, 2023, the debt instruments indicated below are fully and unconditionally guaranteed by Sun Communities, Inc.</w:t>
      </w:r>
    </w:p>
    <w:p>
      <w:pPr>
        <w:pStyle w:val="TextBody"/>
        <w:spacing w:before="0" w:after="0"/>
        <w:rPr/>
      </w:pPr>
      <w:r>
        <w:rPr/>
      </w:r>
    </w:p>
    <w:tbl>
      <w:tblPr>
        <w:tblW w:w="9712" w:type="dxa"/>
        <w:jc w:val="left"/>
        <w:tblInd w:w="0" w:type="dxa"/>
        <w:tblCellMar>
          <w:top w:w="28" w:type="dxa"/>
          <w:left w:w="28" w:type="dxa"/>
          <w:bottom w:w="28" w:type="dxa"/>
          <w:right w:w="28" w:type="dxa"/>
        </w:tblCellMar>
      </w:tblPr>
      <w:tblGrid>
        <w:gridCol w:w="880"/>
        <w:gridCol w:w="772"/>
        <w:gridCol w:w="777"/>
        <w:gridCol w:w="109"/>
        <w:gridCol w:w="109"/>
        <w:gridCol w:w="109"/>
        <w:gridCol w:w="1350"/>
        <w:gridCol w:w="1350"/>
        <w:gridCol w:w="1364"/>
        <w:gridCol w:w="109"/>
        <w:gridCol w:w="109"/>
        <w:gridCol w:w="109"/>
        <w:gridCol w:w="751"/>
        <w:gridCol w:w="751"/>
        <w:gridCol w:w="1063"/>
      </w:tblGrid>
      <w:tr>
        <w:trPr/>
        <w:tc>
          <w:tcPr>
            <w:tcW w:w="880"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0" w:type="dxa"/>
            <w:tcBorders/>
            <w:shd w:fill="auto" w:val="clear"/>
            <w:vAlign w:val="center"/>
          </w:tcPr>
          <w:p>
            <w:pPr>
              <w:pStyle w:val="TableContents"/>
              <w:spacing w:before="0" w:after="283"/>
              <w:rPr>
                <w:sz w:val="4"/>
                <w:szCs w:val="4"/>
              </w:rPr>
            </w:pPr>
            <w:r>
              <w:rPr>
                <w:sz w:val="4"/>
                <w:szCs w:val="4"/>
              </w:rPr>
            </w:r>
          </w:p>
        </w:tc>
        <w:tc>
          <w:tcPr>
            <w:tcW w:w="1350" w:type="dxa"/>
            <w:tcBorders/>
            <w:shd w:fill="auto" w:val="clear"/>
            <w:vAlign w:val="center"/>
          </w:tcPr>
          <w:p>
            <w:pPr>
              <w:pStyle w:val="TableContents"/>
              <w:spacing w:before="0" w:after="283"/>
              <w:rPr>
                <w:sz w:val="4"/>
                <w:szCs w:val="4"/>
              </w:rPr>
            </w:pPr>
            <w:r>
              <w:rPr>
                <w:sz w:val="4"/>
                <w:szCs w:val="4"/>
              </w:rPr>
            </w:r>
          </w:p>
        </w:tc>
        <w:tc>
          <w:tcPr>
            <w:tcW w:w="13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r>
      <w:tr>
        <w:trPr/>
        <w:tc>
          <w:tcPr>
            <w:tcW w:w="24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Debt Instrument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Issuer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Jurisdiction of Organization</w:t>
            </w:r>
          </w:p>
        </w:tc>
      </w:tr>
      <w:tr>
        <w:trPr/>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 Senior Notes due 2028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 Communities Operating Limited Partnership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 Senior Notes due 2031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 Communities Operating Limited Partnership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2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 Senior Notes due 2032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 Communities Operating Limited Partnership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5.7% Senior Notes due 2033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 Communities Operating Limited Partnership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CERTIFICATIONS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Under Section 302 of the Sarbanes-Oxley Act of 2002)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Gary A. Shiffman, certify that:</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Sun Communities, Inc.</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36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before="0" w:after="0"/>
        <w:ind w:left="0" w:right="0" w:hanging="360"/>
        <w:jc w:val="both"/>
        <w:rPr/>
      </w:pPr>
      <w:r>
        <w:rPr/>
      </w:r>
    </w:p>
    <w:tbl>
      <w:tblPr>
        <w:tblW w:w="5770" w:type="dxa"/>
        <w:jc w:val="center"/>
        <w:tblInd w:w="0" w:type="dxa"/>
        <w:tblCellMar>
          <w:top w:w="28" w:type="dxa"/>
          <w:left w:w="28" w:type="dxa"/>
          <w:bottom w:w="28" w:type="dxa"/>
          <w:right w:w="28" w:type="dxa"/>
        </w:tblCellMar>
      </w:tblPr>
      <w:tblGrid>
        <w:gridCol w:w="683"/>
        <w:gridCol w:w="600"/>
        <w:gridCol w:w="606"/>
        <w:gridCol w:w="109"/>
        <w:gridCol w:w="109"/>
        <w:gridCol w:w="109"/>
        <w:gridCol w:w="1039"/>
        <w:gridCol w:w="1039"/>
        <w:gridCol w:w="1476"/>
      </w:tblGrid>
      <w:tr>
        <w:trPr/>
        <w:tc>
          <w:tcPr>
            <w:tcW w:w="683"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476"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April 27,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Gary A. Shiffman</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Gary A. Shiffman, 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CERTIFICATIONS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Under Section 302 of the Sarbanes-Oxley Act of 2002)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Fernando Castro-Caratini, certify that:</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Sun Communities, Inc.</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72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36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before="0" w:after="0"/>
        <w:ind w:left="0" w:right="0" w:hanging="360"/>
        <w:jc w:val="both"/>
        <w:rPr/>
      </w:pPr>
      <w:r>
        <w:rPr/>
      </w:r>
    </w:p>
    <w:tbl>
      <w:tblPr>
        <w:tblW w:w="6043" w:type="dxa"/>
        <w:jc w:val="left"/>
        <w:tblInd w:w="0" w:type="dxa"/>
        <w:tblCellMar>
          <w:top w:w="28" w:type="dxa"/>
          <w:left w:w="28" w:type="dxa"/>
          <w:bottom w:w="28" w:type="dxa"/>
          <w:right w:w="28" w:type="dxa"/>
        </w:tblCellMar>
      </w:tblPr>
      <w:tblGrid>
        <w:gridCol w:w="683"/>
        <w:gridCol w:w="600"/>
        <w:gridCol w:w="606"/>
        <w:gridCol w:w="1217"/>
        <w:gridCol w:w="1217"/>
        <w:gridCol w:w="1720"/>
      </w:tblGrid>
      <w:tr>
        <w:trPr/>
        <w:tc>
          <w:tcPr>
            <w:tcW w:w="683"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1720"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April 27, 2023</w:t>
            </w:r>
          </w:p>
        </w:tc>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Fernando Castro-Caratini</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Fernando Castro-Caratini, 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(Adopted Under Section 906 of the Sarbanes-Oxley Act of 2002)</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undersigned officers, Gary A. Shiffman and Fernando Castro-Caratini, hereby certify that to the best of their knowledge: (a) this Quarterly Report on Form 10-Q of Sun Communities, Inc., for the period ended March 31, 2023, fully complies with the requirements of Section 13(a) or 15(d) of the Securities Exchange Act of 1934, as amended; and (b) the information contained in this Form 10-Q fairly presents, in all material respects, the financial condition and results of operations of the Company.</w:t>
      </w:r>
    </w:p>
    <w:p>
      <w:pPr>
        <w:pStyle w:val="TextBody"/>
        <w:spacing w:before="0" w:after="0"/>
        <w:jc w:val="both"/>
        <w:rPr/>
      </w:pPr>
      <w:r>
        <w:rPr/>
      </w:r>
    </w:p>
    <w:tbl>
      <w:tblPr>
        <w:tblW w:w="5459" w:type="dxa"/>
        <w:jc w:val="left"/>
        <w:tblInd w:w="0" w:type="dxa"/>
        <w:tblCellMar>
          <w:top w:w="28" w:type="dxa"/>
          <w:left w:w="28" w:type="dxa"/>
          <w:bottom w:w="28" w:type="dxa"/>
          <w:right w:w="28" w:type="dxa"/>
        </w:tblCellMar>
      </w:tblPr>
      <w:tblGrid>
        <w:gridCol w:w="1491"/>
        <w:gridCol w:w="1312"/>
        <w:gridCol w:w="1321"/>
        <w:gridCol w:w="388"/>
        <w:gridCol w:w="388"/>
        <w:gridCol w:w="559"/>
      </w:tblGrid>
      <w:tr>
        <w:trPr/>
        <w:tc>
          <w:tcPr>
            <w:tcW w:w="1491"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r>
      <w:tr>
        <w:trPr/>
        <w:tc>
          <w:tcPr>
            <w:tcW w:w="41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tc>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Date</w:t>
            </w:r>
          </w:p>
        </w:tc>
      </w:tr>
      <w:tr>
        <w:trPr/>
        <w:tc>
          <w:tcPr>
            <w:tcW w:w="4124"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r>
      <w:tr>
        <w:trPr/>
        <w:tc>
          <w:tcPr>
            <w:tcW w:w="41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Gary A. Shiffman</w:t>
            </w:r>
          </w:p>
        </w:tc>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r>
      <w:tr>
        <w:trPr/>
        <w:tc>
          <w:tcPr>
            <w:tcW w:w="41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Gary A. Shiffman, Chief Executive Officer</w:t>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4"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r>
      <w:tr>
        <w:trPr/>
        <w:tc>
          <w:tcPr>
            <w:tcW w:w="41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Fernando Castro-Caratini</w:t>
            </w:r>
          </w:p>
        </w:tc>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r>
      <w:tr>
        <w:trPr/>
        <w:tc>
          <w:tcPr>
            <w:tcW w:w="41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Fernando Castro-Caratini, Chief Financial Officer</w:t>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4"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Sun Communities, Inc. and will be retained by Sun Communities, Inc. and furnished to the Securities and Exchange Commission or its staff upon request.</w:t>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912593/000091259318000049/exhibit31-suncommunitiesin.htm" TargetMode="External"/><Relationship Id="rId4" Type="http://schemas.openxmlformats.org/officeDocument/2006/relationships/hyperlink" Target="https://www.sec.gov/Archives/edgar/data/912593/000091259323000066/suncommunitiesinc-fourtham.htm" TargetMode="External"/><Relationship Id="rId5" Type="http://schemas.openxmlformats.org/officeDocument/2006/relationships/hyperlink" Target="https://www.sec.gov/Archives/edgar/data/912593/000119312523009415/d427359dex42.htm" TargetMode="External"/><Relationship Id="rId6" Type="http://schemas.openxmlformats.org/officeDocument/2006/relationships/hyperlink" Target="https://www.sec.gov/Archives/edgar/data/912593/000119312523009415/d427359dex42.htm" TargetMode="External"/><Relationship Id="rId7" Type="http://schemas.openxmlformats.org/officeDocument/2006/relationships/hyperlink" Target="https://www.sec.gov/Archives/edgar/data/912593/000091259323000133/0000912593-23-000133-index.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14</Pages>
  <Words>31111</Words>
  <CharactersWithSpaces>196489</CharactersWithSpaces>
  <Paragraphs>5154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