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ind w:left="3860" w:right="920" w:hanging="2929"/>
        <w:spacing w:after="0" w:line="286" w:lineRule="auto"/>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48" w:lineRule="exact"/>
        <w:rPr>
          <w:sz w:val="24"/>
          <w:szCs w:val="24"/>
          <w:color w:val="auto"/>
        </w:rPr>
      </w:pPr>
    </w:p>
    <w:p>
      <w:pPr>
        <w:ind w:left="1140" w:hanging="216"/>
        <w:spacing w:after="0"/>
        <w:tabs>
          <w:tab w:leader="none" w:pos="11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27305</wp:posOffset>
            </wp:positionV>
            <wp:extent cx="19716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SUN COMMUNITIES,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350" w:right="339" w:bottom="1440" w:gutter="0" w:footer="0" w:header="0"/>
        </w:sectPr>
      </w:pPr>
    </w:p>
    <w:p>
      <w:pPr>
        <w:spacing w:after="0" w:line="26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1-12616</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38-2730780</w:t>
      </w:r>
    </w:p>
    <w:p>
      <w:pPr>
        <w:spacing w:after="0" w:line="42" w:lineRule="exact"/>
        <w:rPr>
          <w:sz w:val="24"/>
          <w:szCs w:val="24"/>
          <w:color w:val="auto"/>
        </w:rPr>
      </w:pPr>
    </w:p>
    <w:p>
      <w:pPr>
        <w:sectPr>
          <w:pgSz w:w="11900" w:h="16838" w:orient="portrait"/>
          <w:cols w:equalWidth="0" w:num="3">
            <w:col w:w="4600" w:space="720"/>
            <w:col w:w="2700" w:space="720"/>
            <w:col w:w="2500"/>
          </w:cols>
          <w:pgMar w:left="320" w:top="1350"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35" w:lineRule="exact"/>
        <w:rPr>
          <w:sz w:val="24"/>
          <w:szCs w:val="24"/>
          <w:color w:val="auto"/>
        </w:rPr>
      </w:pPr>
    </w:p>
    <w:p>
      <w:pPr>
        <w:sectPr>
          <w:pgSz w:w="11900" w:h="16838" w:orient="portrait"/>
          <w:cols w:equalWidth="0" w:num="3">
            <w:col w:w="4000" w:space="720"/>
            <w:col w:w="2420" w:space="720"/>
            <w:col w:w="3380"/>
          </w:cols>
          <w:pgMar w:left="320" w:top="1350" w:right="339" w:bottom="1440" w:gutter="0" w:footer="0" w:header="0"/>
          <w:type w:val="continuous"/>
        </w:sectPr>
      </w:pPr>
    </w:p>
    <w:p>
      <w:pPr>
        <w:ind w:left="660"/>
        <w:spacing w:after="0"/>
        <w:tabs>
          <w:tab w:leader="none" w:pos="3180" w:val="left"/>
          <w:tab w:leader="none" w:pos="4280" w:val="left"/>
        </w:tabs>
        <w:rPr>
          <w:sz w:val="20"/>
          <w:szCs w:val="20"/>
          <w:color w:val="auto"/>
        </w:rPr>
      </w:pPr>
      <w:r>
        <w:rPr>
          <w:rFonts w:ascii="Times New Roman" w:cs="Times New Roman" w:eastAsia="Times New Roman" w:hAnsi="Times New Roman"/>
          <w:sz w:val="18"/>
          <w:szCs w:val="18"/>
          <w:b w:val="1"/>
          <w:bCs w:val="1"/>
          <w:color w:val="auto"/>
        </w:rPr>
        <w:t>27777 Franklin Rd, Suite 200,</w:t>
        <w:tab/>
        <w:t>Southfield,</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48034</w:t>
      </w:r>
    </w:p>
    <w:p>
      <w:pPr>
        <w:spacing w:after="0" w:line="31" w:lineRule="exact"/>
        <w:rPr>
          <w:sz w:val="24"/>
          <w:szCs w:val="24"/>
          <w:color w:val="auto"/>
        </w:rPr>
      </w:pPr>
    </w:p>
    <w:p>
      <w:pPr>
        <w:sectPr>
          <w:pgSz w:w="11900" w:h="16838" w:orient="portrait"/>
          <w:cols w:equalWidth="0" w:num="2">
            <w:col w:w="8220" w:space="720"/>
            <w:col w:w="2300"/>
          </w:cols>
          <w:pgMar w:left="320" w:top="1350"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8060" w:space="720"/>
            <w:col w:w="2460"/>
          </w:cols>
          <w:pgMar w:left="320" w:top="135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208-2500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1350"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4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SUI</w:t>
            </w:r>
          </w:p>
        </w:tc>
        <w:tc>
          <w:tcPr>
            <w:tcW w:w="14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2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5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38" w:lineRule="exact"/>
        <w:rPr>
          <w:sz w:val="24"/>
          <w:szCs w:val="24"/>
          <w:color w:val="auto"/>
        </w:rPr>
      </w:pPr>
    </w:p>
    <w:p>
      <w:pPr>
        <w:sectPr>
          <w:pgSz w:w="11900" w:h="16838" w:orient="portrait"/>
          <w:cols w:equalWidth="0" w:num="5">
            <w:col w:w="1960" w:space="500"/>
            <w:col w:w="1200" w:space="620"/>
            <w:col w:w="1520" w:space="600"/>
            <w:col w:w="1960" w:space="540"/>
            <w:col w:w="2340"/>
          </w:cols>
          <w:pgMar w:left="320" w:top="1350" w:right="339" w:bottom="1440" w:gutter="0" w:footer="0" w:header="0"/>
          <w:type w:val="continuous"/>
        </w:sectPr>
      </w:pPr>
    </w:p>
    <w:p>
      <w:pPr>
        <w:ind w:left="1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1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9" w:lineRule="exact"/>
        <w:rPr>
          <w:sz w:val="24"/>
          <w:szCs w:val="24"/>
          <w:color w:val="auto"/>
        </w:rPr>
      </w:pPr>
    </w:p>
    <w:p>
      <w:pPr>
        <w:sectPr>
          <w:pgSz w:w="11900" w:h="16838" w:orient="portrait"/>
          <w:cols w:equalWidth="0" w:num="5">
            <w:col w:w="2260" w:space="720"/>
            <w:col w:w="1260" w:space="720"/>
            <w:col w:w="1620" w:space="720"/>
            <w:col w:w="1780" w:space="720"/>
            <w:col w:w="1440"/>
          </w:cols>
          <w:pgMar w:left="320" w:top="1350" w:right="339" w:bottom="1440" w:gutter="0" w:footer="0" w:header="0"/>
          <w:type w:val="continuous"/>
        </w:sect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$0.01 par value per share, outstanding as of July 19, 2022: 123,323,772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103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June 30, 2022 (Unaudited) and December 31, 2021</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for the Three and Six Months Ended June 30, 2022 and 2021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Six Months Ended June 30, 2022 and 2021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Equity for the Three and Six Months Ended June 30, 2022 and 2021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 for the Six Months Ended June 30, 2022 and 2021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r>
      <w:tr>
        <w:trPr>
          <w:trHeight w:val="1283"/>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4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Land</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3,766.7</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2,556.3</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Land improvements and buildings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10,867.1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9,958.3</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Rental homes and improvements</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749.9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656.4</w:t>
            </w:r>
          </w:p>
        </w:tc>
      </w:tr>
      <w:tr>
        <w:trPr>
          <w:trHeight w:val="194"/>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property</w:t>
            </w:r>
          </w:p>
        </w:tc>
        <w:tc>
          <w:tcPr>
            <w:tcW w:w="240" w:type="dxa"/>
            <w:vAlign w:val="bottom"/>
          </w:tcPr>
          <w:p>
            <w:pPr>
              <w:spacing w:after="0"/>
              <w:rPr>
                <w:sz w:val="16"/>
                <w:szCs w:val="16"/>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15,964.3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13,762.7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(2,554.3)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(2,337.2)</w:t>
            </w:r>
          </w:p>
        </w:tc>
      </w:tr>
      <w:tr>
        <w:trPr>
          <w:trHeight w:val="138"/>
        </w:trPr>
        <w:tc>
          <w:tcPr>
            <w:tcW w:w="7820" w:type="dxa"/>
            <w:vAlign w:val="bottom"/>
          </w:tcPr>
          <w:p>
            <w:pPr>
              <w:ind w:left="220"/>
              <w:spacing w:after="0" w:line="138" w:lineRule="exact"/>
              <w:rPr>
                <w:sz w:val="20"/>
                <w:szCs w:val="20"/>
                <w:color w:val="auto"/>
              </w:rPr>
            </w:pPr>
            <w:r>
              <w:rPr>
                <w:rFonts w:ascii="Times New Roman" w:cs="Times New Roman" w:eastAsia="Times New Roman" w:hAnsi="Times New Roman"/>
                <w:sz w:val="15"/>
                <w:szCs w:val="15"/>
                <w:color w:val="auto"/>
              </w:rPr>
              <w:t>Investment property, net (including $673.6 and $623.5 for consolidated VIEs at June 30, 2022 and December 31, 2021; see</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2"/>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Note 7)</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13,410.0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11,425.5</w:t>
            </w:r>
          </w:p>
        </w:tc>
      </w:tr>
      <w:tr>
        <w:trPr>
          <w:trHeight w:val="162"/>
        </w:trPr>
        <w:tc>
          <w:tcPr>
            <w:tcW w:w="78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(including $23.6 and $13.6 for consolidated VIEs at June 30, 2022 and</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06"/>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December 31, 2021; see Note 7)</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Marketable securities (see Note 15)</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186.9</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Inventory of manufactured homes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Notes and other receivables, net</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469.6</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Goodwill</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495.4</w:t>
            </w:r>
          </w:p>
        </w:tc>
      </w:tr>
      <w:tr>
        <w:trPr>
          <w:trHeight w:val="158"/>
        </w:trPr>
        <w:tc>
          <w:tcPr>
            <w:tcW w:w="7820" w:type="dxa"/>
            <w:vAlign w:val="bottom"/>
          </w:tcPr>
          <w:p>
            <w:pPr>
              <w:ind w:left="220"/>
              <w:spacing w:after="0" w:line="159" w:lineRule="exact"/>
              <w:rPr>
                <w:sz w:val="20"/>
                <w:szCs w:val="20"/>
                <w:color w:val="auto"/>
              </w:rPr>
            </w:pPr>
            <w:r>
              <w:rPr>
                <w:rFonts w:ascii="Times New Roman" w:cs="Times New Roman" w:eastAsia="Times New Roman" w:hAnsi="Times New Roman"/>
                <w:sz w:val="15"/>
                <w:szCs w:val="15"/>
                <w:color w:val="auto"/>
              </w:rPr>
              <w:t>Other intangible assets, net (including $13.5 and $13.4 for consolidated VIEs at June 30, 2022 and December 31, 2021; see</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2"/>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Note 7)</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306.8</w:t>
            </w:r>
          </w:p>
        </w:tc>
      </w:tr>
      <w:tr>
        <w:trPr>
          <w:trHeight w:val="20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assets, net (including $5.7 and $5.3 for consolidated VIEs at June 30, 2022 and December 31, 2021; see Note 7)</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718.3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480.6</w:t>
            </w:r>
          </w:p>
        </w:tc>
      </w:tr>
      <w:tr>
        <w:trPr>
          <w:trHeight w:val="198"/>
        </w:trPr>
        <w:tc>
          <w:tcPr>
            <w:tcW w:w="7820" w:type="dxa"/>
            <w:vAlign w:val="bottom"/>
          </w:tcPr>
          <w:p>
            <w:pPr>
              <w:ind w:left="4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16,397.8</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13,494.1</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58"/>
        </w:trPr>
        <w:tc>
          <w:tcPr>
            <w:tcW w:w="7820" w:type="dxa"/>
            <w:vAlign w:val="bottom"/>
          </w:tcPr>
          <w:p>
            <w:pPr>
              <w:ind w:left="220"/>
              <w:spacing w:after="0" w:line="159" w:lineRule="exact"/>
              <w:rPr>
                <w:sz w:val="20"/>
                <w:szCs w:val="20"/>
                <w:color w:val="auto"/>
              </w:rPr>
            </w:pPr>
            <w:r>
              <w:rPr>
                <w:rFonts w:ascii="Times New Roman" w:cs="Times New Roman" w:eastAsia="Times New Roman" w:hAnsi="Times New Roman"/>
                <w:sz w:val="15"/>
                <w:szCs w:val="15"/>
                <w:color w:val="auto"/>
              </w:rPr>
              <w:t>Secured debt (see Note 8) (including $15.0 and $52.6 for consolidated VIEs at June 30, 2022 and December 31, 2021; see</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2"/>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Note 7)</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3,335.7</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3,380.7</w:t>
            </w:r>
          </w:p>
        </w:tc>
      </w:tr>
      <w:tr>
        <w:trPr>
          <w:trHeight w:val="206"/>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Unsecured debt (see Note 8) (including $35.2 for consolidated VIEs at June 30, 2022 and December 31, 2021, see Note 7)</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3,595.2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2,291.1</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Distributions payable</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98.4</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Advanced reservation deposits and rent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242.8</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expenses and accounts payable</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237.5</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liabilities (including $72.2 and $94.0 for consolidated VIEs at June 30, 2022 and December 31, 2021; see Note 7)</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779.9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224.1</w:t>
            </w:r>
          </w:p>
        </w:tc>
      </w:tr>
      <w:tr>
        <w:trPr>
          <w:trHeight w:val="194"/>
        </w:trPr>
        <w:tc>
          <w:tcPr>
            <w:tcW w:w="78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8,566.3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6,474.6</w:t>
            </w:r>
          </w:p>
        </w:tc>
      </w:tr>
      <w:tr>
        <w:trPr>
          <w:trHeight w:val="18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Commitments and contingencies (see Note 16)</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58"/>
        </w:trPr>
        <w:tc>
          <w:tcPr>
            <w:tcW w:w="7820" w:type="dxa"/>
            <w:vAlign w:val="bottom"/>
          </w:tcPr>
          <w:p>
            <w:pPr>
              <w:ind w:left="220"/>
              <w:spacing w:after="0" w:line="159" w:lineRule="exact"/>
              <w:rPr>
                <w:sz w:val="20"/>
                <w:szCs w:val="20"/>
                <w:color w:val="auto"/>
              </w:rPr>
            </w:pPr>
            <w:r>
              <w:rPr>
                <w:rFonts w:ascii="Times New Roman" w:cs="Times New Roman" w:eastAsia="Times New Roman" w:hAnsi="Times New Roman"/>
                <w:sz w:val="15"/>
                <w:szCs w:val="15"/>
                <w:color w:val="auto"/>
              </w:rPr>
              <w:t>Temporary equity (see Note 9) (including $42.6 and $35.4 for consolidated VIEs at June 30, 2022 and December 31, 2021;</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2"/>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see Note 7)</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288.9</w:t>
            </w:r>
          </w:p>
        </w:tc>
      </w:tr>
      <w:tr>
        <w:trPr>
          <w:trHeight w:val="20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58"/>
        </w:trPr>
        <w:tc>
          <w:tcPr>
            <w:tcW w:w="7820" w:type="dxa"/>
            <w:vAlign w:val="bottom"/>
          </w:tcPr>
          <w:p>
            <w:pPr>
              <w:ind w:left="220"/>
              <w:spacing w:after="0" w:line="159" w:lineRule="exact"/>
              <w:rPr>
                <w:sz w:val="20"/>
                <w:szCs w:val="20"/>
                <w:color w:val="auto"/>
              </w:rPr>
            </w:pPr>
            <w:r>
              <w:rPr>
                <w:rFonts w:ascii="Times New Roman" w:cs="Times New Roman" w:eastAsia="Times New Roman" w:hAnsi="Times New Roman"/>
                <w:sz w:val="15"/>
                <w:szCs w:val="15"/>
                <w:color w:val="auto"/>
              </w:rPr>
              <w:t>Common stock, $0.01 par value. Authorized: 180.0 shares; Issued and outstanding: 121.6 at June 30, 2022 and 116.0 at</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2"/>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December 31, 2021</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9,159.1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8,175.6</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income / (loss)</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 in excess of accumulated earnings</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(1,684.7)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(1,556.0)</w:t>
            </w:r>
          </w:p>
        </w:tc>
      </w:tr>
      <w:tr>
        <w:trPr>
          <w:trHeight w:val="194"/>
        </w:trPr>
        <w:tc>
          <w:tcPr>
            <w:tcW w:w="782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Total SUI shareholders' equity</w:t>
            </w:r>
          </w:p>
        </w:tc>
        <w:tc>
          <w:tcPr>
            <w:tcW w:w="240" w:type="dxa"/>
            <w:vAlign w:val="bottom"/>
          </w:tcPr>
          <w:p>
            <w:pPr>
              <w:spacing w:after="0"/>
              <w:rPr>
                <w:sz w:val="16"/>
                <w:szCs w:val="16"/>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7,447.3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6,623.9</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0"/>
        </w:trPr>
        <w:tc>
          <w:tcPr>
            <w:tcW w:w="78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Common and preferred OP units</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w:t>
            </w:r>
          </w:p>
        </w:tc>
      </w:tr>
      <w:tr>
        <w:trPr>
          <w:trHeight w:val="160"/>
        </w:trPr>
        <w:tc>
          <w:tcPr>
            <w:tcW w:w="7820" w:type="dxa"/>
            <w:vAlign w:val="bottom"/>
            <w:shd w:val="clear" w:color="auto" w:fill="CCEEFF"/>
          </w:tcPr>
          <w:p>
            <w:pPr>
              <w:ind w:left="360"/>
              <w:spacing w:after="0" w:line="161" w:lineRule="exact"/>
              <w:rPr>
                <w:sz w:val="20"/>
                <w:szCs w:val="20"/>
                <w:color w:val="auto"/>
              </w:rPr>
            </w:pPr>
            <w:r>
              <w:rPr>
                <w:rFonts w:ascii="Times New Roman" w:cs="Times New Roman" w:eastAsia="Times New Roman" w:hAnsi="Times New Roman"/>
                <w:sz w:val="15"/>
                <w:szCs w:val="15"/>
                <w:color w:val="auto"/>
              </w:rPr>
              <w:t>Consolidated entities (including $4.1 and $19.4 for consolidated VIEs at June 30, 2022 and December 31, 2021; see</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206"/>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Note 7)</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194"/>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Total noncontrolling interests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90.9</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106.7</w:t>
            </w:r>
          </w:p>
        </w:tc>
      </w:tr>
      <w:tr>
        <w:trPr>
          <w:trHeight w:val="196"/>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7,538.2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6,730.6</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Total Liabilities, Temporary Equity and Shareholders' Equity</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16,397.8</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13,494.1</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2340" w:type="dxa"/>
            <w:vAlign w:val="bottom"/>
            <w:gridSpan w:val="4"/>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6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487.7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875.9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735.8</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157.8</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200"/>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198"/>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814.3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1,362.8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1,045.9</w:t>
            </w: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7"/>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224.4</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estate tax</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costs and selling</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133.1</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Business combinations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251.0</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 (see Note 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77.2</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on mandatorily redeemable preferred OP units / equity</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94"/>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707.7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509.9</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1,230.7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929.1</w:t>
            </w:r>
          </w:p>
        </w:tc>
      </w:tr>
      <w:tr>
        <w:trPr>
          <w:trHeight w:val="19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Before Other Items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116.8</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marketable securities (see Note 15)</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on remeasurement of notes receivable (see Note 4)</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32"/>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from nonconsolidated affiliates (see Note 6)</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25"/>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investment in nonconsolidated affiliates (see Note 6)</w:t>
            </w:r>
          </w:p>
        </w:tc>
        <w:tc>
          <w:tcPr>
            <w:tcW w:w="120" w:type="dxa"/>
            <w:vAlign w:val="bottom"/>
          </w:tcPr>
          <w:p>
            <w:pPr>
              <w:spacing w:after="0"/>
              <w:rPr>
                <w:sz w:val="19"/>
                <w:szCs w:val="19"/>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4"/>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tax expense (see Note 12)</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tax benefit (see Note 12)</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98"/>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81.3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82.8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148.8</w:t>
            </w:r>
          </w:p>
        </w:tc>
      </w:tr>
      <w:tr>
        <w:trPr>
          <w:trHeight w:val="200"/>
        </w:trPr>
        <w:tc>
          <w:tcPr>
            <w:tcW w:w="6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Less: Preferred return to preferred OP units / equity interests</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Income attributable to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196"/>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Attributable to SUI Common Shareholders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110.8</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74.7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135.6</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6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00"/>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w:t>
            </w: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112.6</w:t>
            </w:r>
          </w:p>
        </w:tc>
      </w:tr>
      <w:tr>
        <w:trPr>
          <w:trHeight w:val="162"/>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earnings per share (see Note 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22"/>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earnings per share (see Note 13)</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0.61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0.63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520" w:type="dxa"/>
            <w:vAlign w:val="bottom"/>
            <w:gridSpan w:val="4"/>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57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148.8</w:t>
            </w:r>
          </w:p>
        </w:tc>
      </w:tr>
      <w:tr>
        <w:trPr>
          <w:trHeight w:val="200"/>
        </w:trPr>
        <w:tc>
          <w:tcPr>
            <w:tcW w:w="57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gain / (loss) adjustment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5"/>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0"/>
        </w:trPr>
        <w:tc>
          <w:tcPr>
            <w:tcW w:w="57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unrealized gain on interest rate swaps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interest rate swap gains reclassified to earnings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Net unrealized gain on interest rate swaps</w:t>
            </w:r>
          </w:p>
        </w:tc>
        <w:tc>
          <w:tcPr>
            <w:tcW w:w="1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Income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w:t>
            </w:r>
          </w:p>
        </w:tc>
      </w:tr>
      <w:tr>
        <w:trPr>
          <w:trHeight w:val="200"/>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Less: Comprehensive income attributable to noncontrolling interests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2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 attributable to SUI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 in</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100" w:type="dxa"/>
            <w:vAlign w:val="bottom"/>
          </w:tcPr>
          <w:p>
            <w:pPr>
              <w:spacing w:after="0"/>
              <w:rPr>
                <w:sz w:val="12"/>
                <w:szCs w:val="12"/>
                <w:color w:val="auto"/>
              </w:rPr>
            </w:pPr>
          </w:p>
        </w:tc>
        <w:tc>
          <w:tcPr>
            <w:tcW w:w="66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60" w:type="dxa"/>
            <w:vAlign w:val="bottom"/>
          </w:tcPr>
          <w:p>
            <w:pPr>
              <w:jc w:val="center"/>
              <w:ind w:right="24"/>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40" w:type="dxa"/>
            <w:vAlign w:val="bottom"/>
          </w:tcPr>
          <w:p>
            <w:pPr>
              <w:jc w:val="right"/>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2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2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7"/>
                <w:szCs w:val="17"/>
                <w:color w:val="auto"/>
              </w:rPr>
            </w:pPr>
          </w:p>
        </w:tc>
        <w:tc>
          <w:tcPr>
            <w:tcW w:w="7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8,175.6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(1,556.0)</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6,730.6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7,019.5</w:t>
            </w:r>
          </w:p>
        </w:tc>
        <w:tc>
          <w:tcPr>
            <w:tcW w:w="0" w:type="dxa"/>
            <w:vAlign w:val="bottom"/>
          </w:tcPr>
          <w:p>
            <w:pPr>
              <w:spacing w:after="0"/>
              <w:rPr>
                <w:sz w:val="1"/>
                <w:szCs w:val="1"/>
                <w:color w:val="auto"/>
              </w:rPr>
            </w:pPr>
          </w:p>
        </w:tc>
      </w:tr>
      <w:tr>
        <w:trPr>
          <w:trHeight w:val="158"/>
        </w:trPr>
        <w:tc>
          <w:tcPr>
            <w:tcW w:w="26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and common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 (loss)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8,169.4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(1,654.6)</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6,649.6</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6,933.5</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6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Issuance of common stock and common</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971.3</w:t>
            </w:r>
          </w:p>
        </w:tc>
        <w:tc>
          <w:tcPr>
            <w:tcW w:w="0" w:type="dxa"/>
            <w:vAlign w:val="bottom"/>
          </w:tcPr>
          <w:p>
            <w:pPr>
              <w:spacing w:after="0"/>
              <w:rPr>
                <w:sz w:val="1"/>
                <w:szCs w:val="1"/>
                <w:color w:val="auto"/>
              </w:rPr>
            </w:pPr>
          </w:p>
        </w:tc>
      </w:tr>
      <w:tr>
        <w:trPr>
          <w:trHeight w:val="158"/>
        </w:trPr>
        <w:tc>
          <w:tcPr>
            <w:tcW w:w="26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80" w:type="dxa"/>
            <w:vAlign w:val="bottom"/>
          </w:tcPr>
          <w:p>
            <w:pPr>
              <w:ind w:left="20"/>
              <w:spacing w:after="0" w:line="152"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tcPr>
          <w:p>
            <w:pPr>
              <w:spacing w:after="0"/>
              <w:rPr>
                <w:sz w:val="13"/>
                <w:szCs w:val="13"/>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Third party equity interest in consolidated</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entities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redeemable noncontrolling interests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Acquisition of third parties equity interest</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 consolidated entities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58"/>
        </w:trPr>
        <w:tc>
          <w:tcPr>
            <w:tcW w:w="26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(112.2)</w:t>
            </w:r>
          </w:p>
        </w:tc>
        <w:tc>
          <w:tcPr>
            <w:tcW w:w="0" w:type="dxa"/>
            <w:vAlign w:val="bottom"/>
          </w:tcPr>
          <w:p>
            <w:pPr>
              <w:spacing w:after="0"/>
              <w:rPr>
                <w:sz w:val="1"/>
                <w:szCs w:val="1"/>
                <w:color w:val="auto"/>
              </w:rPr>
            </w:pPr>
          </w:p>
        </w:tc>
      </w:tr>
      <w:tr>
        <w:trPr>
          <w:trHeight w:val="20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(1,684.7)</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7,538.2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7,831.5</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 in</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100" w:type="dxa"/>
            <w:vAlign w:val="bottom"/>
          </w:tcPr>
          <w:p>
            <w:pPr>
              <w:spacing w:after="0"/>
              <w:rPr>
                <w:sz w:val="12"/>
                <w:szCs w:val="12"/>
                <w:color w:val="auto"/>
              </w:rPr>
            </w:pPr>
          </w:p>
        </w:tc>
        <w:tc>
          <w:tcPr>
            <w:tcW w:w="66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40" w:type="dxa"/>
            <w:vAlign w:val="bottom"/>
          </w:tcPr>
          <w:p>
            <w:pPr>
              <w:jc w:val="right"/>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94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2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7,087.6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(1,566.6)</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5,627.3</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5,891.7</w:t>
            </w:r>
          </w:p>
        </w:tc>
        <w:tc>
          <w:tcPr>
            <w:tcW w:w="0" w:type="dxa"/>
            <w:vAlign w:val="bottom"/>
          </w:tcPr>
          <w:p>
            <w:pPr>
              <w:spacing w:after="0"/>
              <w:rPr>
                <w:sz w:val="1"/>
                <w:szCs w:val="1"/>
                <w:color w:val="auto"/>
              </w:rPr>
            </w:pP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Issuance of common stock and common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537.1</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6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1"/>
        </w:trPr>
        <w:tc>
          <w:tcPr>
            <w:tcW w:w="26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Third party equity interest in consolidated</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entities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redeemable noncontrolling interests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1"/>
        </w:trPr>
        <w:tc>
          <w:tcPr>
            <w:tcW w:w="26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 (loss)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7,618.1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(1,631.0)</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6,091.6</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6,352.7</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8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common stock and common</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539.2</w:t>
            </w:r>
          </w:p>
        </w:tc>
        <w:tc>
          <w:tcPr>
            <w:tcW w:w="0" w:type="dxa"/>
            <w:vAlign w:val="bottom"/>
          </w:tcPr>
          <w:p>
            <w:pPr>
              <w:spacing w:after="0"/>
              <w:rPr>
                <w:sz w:val="1"/>
                <w:szCs w:val="1"/>
                <w:color w:val="auto"/>
              </w:rPr>
            </w:pP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redeemable noncontrolling interests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1"/>
        </w:trPr>
        <w:tc>
          <w:tcPr>
            <w:tcW w:w="26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Series J preferred OP units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120.8</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8,163.1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(1,614.2)</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6,941.4</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2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02"/>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496.7</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470.7</w:t>
            </w:r>
          </w:p>
        </w:tc>
      </w:tr>
      <w:tr>
        <w:trPr>
          <w:trHeight w:val="19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in properties</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(300.4)</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of properties, net of cash acquired</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(1,903.7)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(593.3)</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 for deposit on acquisition</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disposition of assets and depreciated homes, net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53.7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related to disposition of properties</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notes and other receivables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Repayments of notes and other receivables</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Investments in nonconsolidated affiliates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Distributions of capital from nonconsolidated affiliates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19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Used For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(2,475.8)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(865.5)</w:t>
            </w: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and costs of common stock, OP units and preferred OP units, net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934.5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1,076.2</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Common stock withheld to satisfy income tax obligations related to vesting of restricted stock awards</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Borrowings on lines of credit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2,384.4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1,797.6</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on lines of credit</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(2,801.7)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issuance of other debt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597.5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599.0</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Contributions from noncontrolling interest</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on other debt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on financial liability</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Fees paid in connection with extinguishment of debt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Distributions</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(187.8)</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for deferred financing costs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gain on derivative settlement</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 for redemption of 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CC0099"/>
              </w:rPr>
              <w:t>—</w:t>
            </w:r>
          </w:p>
        </w:tc>
      </w:tr>
      <w:tr>
        <w:trPr>
          <w:trHeight w:val="194"/>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2,092.2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421.5</w:t>
            </w: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4"/>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40" w:type="dxa"/>
            <w:vAlign w:val="bottom"/>
          </w:tcPr>
          <w:p>
            <w:pPr>
              <w:spacing w:after="0"/>
              <w:rPr>
                <w:sz w:val="16"/>
                <w:szCs w:val="16"/>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106.5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w:t>
            </w: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End of Period</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184.7</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119.6</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2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2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interest (net of capitalized interest of $2.8 and $2.4, respectively)</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94.7</w:t>
            </w:r>
          </w:p>
        </w:tc>
        <w:tc>
          <w:tcPr>
            <w:tcW w:w="2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interest on mandatorily redeemable debt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2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distributions declared and outstanding</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10.8</w:t>
            </w:r>
          </w:p>
        </w:tc>
        <w:tc>
          <w:tcPr>
            <w:tcW w:w="2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Conversion of common and preferred OP units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Asset held for sale</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Common OP units issued for redemption of noncontrolling interests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Contingent consideration liability related to prior acquisitions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 at the date of acquisition</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Acquisitions - Common stock and OP units issued</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37.7</w:t>
            </w:r>
          </w:p>
        </w:tc>
        <w:tc>
          <w:tcPr>
            <w:tcW w:w="2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 Series J preferred interest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Acquisitions - Finance lease liabilities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2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 Financial liabilities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305.9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Acquisitions - Deferred tax liabilities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232.8</w:t>
            </w:r>
          </w:p>
        </w:tc>
        <w:tc>
          <w:tcPr>
            <w:tcW w:w="2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 Communities, Inc., a Maryland corporation, and all wholly-owned or majority-owned and controlled subsidiaries, including Sun Communities Operating Limited Partnership (the "Operating Partnership"), Sun Home Services, Inc. ("SHS"), Safe Harbor Marinas, LLC ("Safe Harbor") and Tiger Topco 1 Limited (together with its subsidiaries, "Park Holidays") are referred to herein as the "Company," "SUI," "us," "we," and "our."</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w:t>
      </w:r>
    </w:p>
    <w:p>
      <w:pPr>
        <w:spacing w:after="0" w:line="2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revised to conform with current presentation, with no effect on net income. These include reclassification of certain revenues and expenses between Real property and Service, retail, dining and entertainment within our Marina Portfolio. There was no impact to prior period net income, shareholders equity or cash flows for any of the reclassifications. Further, the reclassification had no impact on previously reported total marina Net Operating Income ("NOI").</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2021 as filed with the SEC on February 22, 2022 (our "2021 Annual Report"). These statements have been prepared on a basis that is substantially consistent with the accounting principles applied in our 2021 Annual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three reportable segments are: (i) Manufactured home ("MH") communities, (ii) Recreational vehicle ("RV") resorts and (iii) Marina.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and segment (in millions):</w:t>
      </w:r>
    </w:p>
    <w:p>
      <w:pPr>
        <w:spacing w:after="0" w:line="2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196"/>
        </w:trPr>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0"/>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242.3</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148.9</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487.7</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132.5</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405.3</w:t>
            </w:r>
          </w:p>
        </w:tc>
      </w:tr>
      <w:tr>
        <w:trPr>
          <w:trHeight w:val="205"/>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w:t>
            </w:r>
          </w:p>
        </w:tc>
      </w:tr>
      <w:tr>
        <w:trPr>
          <w:trHeight w:val="148"/>
        </w:trPr>
        <w:tc>
          <w:tcPr>
            <w:tcW w:w="21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Service, retail, dining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entertainment</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107.1</w:t>
            </w:r>
          </w:p>
        </w:tc>
      </w:tr>
      <w:tr>
        <w:trPr>
          <w:trHeight w:val="207"/>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48"/>
        </w:trPr>
        <w:tc>
          <w:tcPr>
            <w:tcW w:w="21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Brokerage commissions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net</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25"/>
        </w:trPr>
        <w:tc>
          <w:tcPr>
            <w:tcW w:w="21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603.9</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00"/>
        </w:trPr>
        <w:tc>
          <w:tcPr>
            <w:tcW w:w="2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6"/>
        </w:trPr>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0"/>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451.1</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251.6</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875.9</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398.7</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213.1</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124.0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735.8</w:t>
            </w:r>
          </w:p>
        </w:tc>
      </w:tr>
      <w:tr>
        <w:trPr>
          <w:trHeight w:val="205"/>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187.6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w:t>
            </w:r>
          </w:p>
        </w:tc>
      </w:tr>
      <w:tr>
        <w:trPr>
          <w:trHeight w:val="148"/>
        </w:trPr>
        <w:tc>
          <w:tcPr>
            <w:tcW w:w="21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Service, retail, dining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entertainment</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157.8</w:t>
            </w:r>
          </w:p>
        </w:tc>
      </w:tr>
      <w:tr>
        <w:trPr>
          <w:trHeight w:val="207"/>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48"/>
        </w:trPr>
        <w:tc>
          <w:tcPr>
            <w:tcW w:w="21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Brokerage commissions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net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225"/>
        </w:trPr>
        <w:tc>
          <w:tcPr>
            <w:tcW w:w="2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676.3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527.9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266.1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251.9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1,045.9</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consists of real property revenue at our MH, RV and Marina properties, revenue from Home sales, Service, retail, dining and entertainment revenue, Interest income, and Brokerage commissions and other revenue.</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majority of our revenue is derived from site and home leases, and wet slip and dry storage space leases that are accounted for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account for all revenue from contracts with customers following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except for those that are within the scope of other topics in the FASB ASC. For additional information, refer to Note 1, "Significant Accounting Policies," in our 2021 Annual Report.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Real Estate Acquisitions and Dispositions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 and Dispositions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we acquired the following MH communities and marinas: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Sites, Wet Slips and</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400" w:type="dxa"/>
            <w:vAlign w:val="bottom"/>
          </w:tcPr>
          <w:p>
            <w:pPr>
              <w:spacing w:after="0"/>
              <w:rPr>
                <w:sz w:val="15"/>
                <w:szCs w:val="15"/>
                <w:color w:val="auto"/>
              </w:rPr>
            </w:pPr>
          </w:p>
        </w:tc>
      </w:tr>
      <w:tr>
        <w:trPr>
          <w:trHeight w:val="212"/>
        </w:trPr>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5"/>
                <w:szCs w:val="15"/>
                <w:b w:val="1"/>
                <w:bCs w:val="1"/>
                <w:color w:val="auto"/>
              </w:rPr>
              <w:t>Community Name</w:t>
            </w:r>
          </w:p>
        </w:tc>
        <w:tc>
          <w:tcPr>
            <w:tcW w:w="2380" w:type="dxa"/>
            <w:vAlign w:val="bottom"/>
            <w:gridSpan w:val="2"/>
          </w:tcPr>
          <w:p>
            <w:pPr>
              <w:ind w:left="980"/>
              <w:spacing w:after="0"/>
              <w:rPr>
                <w:sz w:val="20"/>
                <w:szCs w:val="20"/>
                <w:color w:val="auto"/>
              </w:rPr>
            </w:pPr>
            <w:r>
              <w:rPr>
                <w:rFonts w:ascii="Times New Roman" w:cs="Times New Roman" w:eastAsia="Times New Roman" w:hAnsi="Times New Roman"/>
                <w:sz w:val="15"/>
                <w:szCs w:val="15"/>
                <w:b w:val="1"/>
                <w:bCs w:val="1"/>
                <w:color w:val="auto"/>
              </w:rPr>
              <w:t>Type</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Dry Storage Spaces</w:t>
            </w:r>
          </w:p>
        </w:tc>
        <w:tc>
          <w:tcPr>
            <w:tcW w:w="15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Development Sites</w:t>
            </w:r>
          </w:p>
        </w:tc>
        <w:tc>
          <w:tcPr>
            <w:tcW w:w="8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4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Month Acquired</w:t>
            </w:r>
          </w:p>
        </w:tc>
      </w:tr>
      <w:tr>
        <w:trPr>
          <w:trHeight w:val="200"/>
        </w:trPr>
        <w:tc>
          <w:tcPr>
            <w:tcW w:w="2660" w:type="dxa"/>
            <w:vAlign w:val="bottom"/>
            <w:tcBorders>
              <w:top w:val="single" w:sz="8" w:color="auto"/>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Harrison Yacht Yard</w:t>
            </w:r>
            <w:r>
              <w:rPr>
                <w:rFonts w:ascii="Times New Roman" w:cs="Times New Roman" w:eastAsia="Times New Roman" w:hAnsi="Times New Roman"/>
                <w:sz w:val="19"/>
                <w:szCs w:val="19"/>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MD</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Outer Banks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NC</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w:t>
            </w:r>
          </w:p>
        </w:tc>
      </w:tr>
      <w:tr>
        <w:trPr>
          <w:trHeight w:val="20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Jarrett Bay Boatworks</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business combination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NC</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Tower Marine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Sandy Bay</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3"/>
        </w:trPr>
        <w:tc>
          <w:tcPr>
            <w:tcW w:w="27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5"/>
                <w:szCs w:val="15"/>
                <w:color w:val="auto"/>
              </w:rPr>
              <w:t>Park Holidays</w:t>
            </w:r>
            <w:r>
              <w:rPr>
                <w:rFonts w:ascii="Times New Roman" w:cs="Times New Roman" w:eastAsia="Times New Roman" w:hAnsi="Times New Roman"/>
                <w:sz w:val="18"/>
                <w:szCs w:val="18"/>
                <w:color w:val="auto"/>
                <w:vertAlign w:val="superscript"/>
              </w:rPr>
              <w:t>(2)</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business combination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15,906</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3"/>
        </w:trPr>
        <w:tc>
          <w:tcPr>
            <w:tcW w:w="27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5"/>
                <w:szCs w:val="15"/>
                <w:color w:val="auto"/>
              </w:rPr>
              <w:t>Christies Parks</w:t>
            </w:r>
            <w:r>
              <w:rPr>
                <w:rFonts w:ascii="Times New Roman" w:cs="Times New Roman" w:eastAsia="Times New Roman" w:hAnsi="Times New Roman"/>
                <w:sz w:val="18"/>
                <w:szCs w:val="18"/>
                <w:color w:val="auto"/>
                <w:vertAlign w:val="superscript"/>
              </w:rPr>
              <w:t>(1)</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Bluewater Yacht Sales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Various states</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151"/>
        </w:trPr>
        <w:tc>
          <w:tcPr>
            <w:tcW w:w="2740" w:type="dxa"/>
            <w:vAlign w:val="bottom"/>
            <w:gridSpan w:val="2"/>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Jarrett Bay Boatworks (Bluewater Yacht</w:t>
            </w:r>
          </w:p>
        </w:tc>
        <w:tc>
          <w:tcPr>
            <w:tcW w:w="2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21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w:t>
            </w:r>
            <w:r>
              <w:rPr>
                <w:rFonts w:ascii="Times New Roman" w:cs="Times New Roman" w:eastAsia="Times New Roman" w:hAnsi="Times New Roman"/>
                <w:sz w:val="9"/>
                <w:szCs w:val="9"/>
                <w:color w:val="auto"/>
              </w:rPr>
              <w:t>(1)</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business combination</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Various states</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Bodmin Holiday Park</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Kittery Point</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Spanish Trails MHC</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AZ</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Pine Acre Trails</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3"/>
        </w:trPr>
        <w:tc>
          <w:tcPr>
            <w:tcW w:w="27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Bel Air Estates &amp; Sunrise Estates</w:t>
            </w:r>
            <w:r>
              <w:rPr>
                <w:rFonts w:ascii="Times New Roman" w:cs="Times New Roman" w:eastAsia="Times New Roman" w:hAnsi="Times New Roman"/>
                <w:sz w:val="19"/>
                <w:szCs w:val="19"/>
                <w:color w:val="auto"/>
                <w:vertAlign w:val="superscript"/>
              </w:rPr>
              <w:t>(3)</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3"/>
        </w:trPr>
        <w:tc>
          <w:tcPr>
            <w:tcW w:w="27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Park Leisure</w:t>
            </w:r>
            <w:r>
              <w:rPr>
                <w:rFonts w:ascii="Times New Roman" w:cs="Times New Roman" w:eastAsia="Times New Roman" w:hAnsi="Times New Roman"/>
                <w:sz w:val="19"/>
                <w:szCs w:val="19"/>
                <w:color w:val="auto"/>
                <w:vertAlign w:val="superscript"/>
              </w:rPr>
              <w:t>(4)</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2,914</w:t>
            </w:r>
          </w:p>
        </w:tc>
        <w:tc>
          <w:tcPr>
            <w:tcW w:w="8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196"/>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21,630</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2,596</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Combined with an existing property.</w:t>
      </w:r>
    </w:p>
    <w:p>
      <w:pPr>
        <w:spacing w:after="0" w:line="59" w:lineRule="exact"/>
        <w:rPr>
          <w:rFonts w:ascii="Times New Roman" w:cs="Times New Roman" w:eastAsia="Times New Roman" w:hAnsi="Times New Roman"/>
          <w:sz w:val="16"/>
          <w:szCs w:val="16"/>
          <w:color w:val="auto"/>
          <w:vertAlign w:val="superscript"/>
        </w:rPr>
      </w:pPr>
    </w:p>
    <w:p>
      <w:pPr>
        <w:ind w:left="160" w:hanging="152"/>
        <w:spacing w:after="0" w:line="191" w:lineRule="auto"/>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40 owned and two managed properties.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two properties.</w:t>
      </w:r>
    </w:p>
    <w:p>
      <w:pPr>
        <w:spacing w:after="0" w:line="44"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11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assets acquired, net of liabilities assumed at the acquisition date and the consideration paid for the acquisitions completed during the six months ended June 30, 2022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100" w:type="dxa"/>
            <w:vAlign w:val="bottom"/>
          </w:tcPr>
          <w:p>
            <w:pPr>
              <w:spacing w:after="0"/>
              <w:rPr>
                <w:sz w:val="14"/>
                <w:szCs w:val="14"/>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color w:val="auto"/>
              </w:rPr>
              <w:t>In-place leases,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Total identifiable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Investment in</w:t>
            </w:r>
          </w:p>
        </w:tc>
        <w:tc>
          <w:tcPr>
            <w:tcW w:w="120" w:type="dxa"/>
            <w:vAlign w:val="bottom"/>
          </w:tcPr>
          <w:p>
            <w:pPr>
              <w:spacing w:after="0"/>
              <w:rPr>
                <w:sz w:val="14"/>
                <w:szCs w:val="14"/>
                <w:color w:val="auto"/>
              </w:rPr>
            </w:pPr>
          </w:p>
        </w:tc>
        <w:tc>
          <w:tcPr>
            <w:tcW w:w="13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and retail</w:t>
            </w:r>
          </w:p>
        </w:tc>
        <w:tc>
          <w:tcPr>
            <w:tcW w:w="13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goodwill and other</w:t>
            </w: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Other assets /</w:t>
            </w:r>
          </w:p>
        </w:tc>
        <w:tc>
          <w:tcPr>
            <w:tcW w:w="180" w:type="dxa"/>
            <w:vAlign w:val="bottom"/>
          </w:tcPr>
          <w:p>
            <w:pPr>
              <w:spacing w:after="0"/>
              <w:rPr>
                <w:sz w:val="14"/>
                <w:szCs w:val="14"/>
                <w:color w:val="auto"/>
              </w:rPr>
            </w:pPr>
          </w:p>
        </w:tc>
        <w:tc>
          <w:tcPr>
            <w:tcW w:w="13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Cash and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permanent</w:t>
            </w: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property</w:t>
            </w: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related items</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intangible assets</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(liabilities), net</w:t>
            </w:r>
          </w:p>
        </w:tc>
        <w:tc>
          <w:tcPr>
            <w:tcW w:w="1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escrow</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equity</w:t>
            </w: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83"/>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Harrison Yacht Yard</w:t>
            </w:r>
            <w:r>
              <w:rPr>
                <w:rFonts w:ascii="Times New Roman" w:cs="Times New Roman" w:eastAsia="Times New Roman" w:hAnsi="Times New Roman"/>
                <w:sz w:val="19"/>
                <w:szCs w:val="1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Outer Banks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Tower Marine</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5"/>
                <w:szCs w:val="15"/>
                <w:color w:val="auto"/>
              </w:rPr>
              <w:t>Sandy Bay</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193.2</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Christies Parks</w:t>
            </w:r>
            <w:r>
              <w:rPr>
                <w:rFonts w:ascii="Times New Roman" w:cs="Times New Roman" w:eastAsia="Times New Roman" w:hAnsi="Times New Roman"/>
                <w:sz w:val="19"/>
                <w:szCs w:val="19"/>
                <w:color w:val="auto"/>
                <w:vertAlign w:val="superscript"/>
              </w:rPr>
              <w:t>(1)(2)</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Bluewater Yacht Sales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Bodmin Holiday Park</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Kittery Point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Spanish Trails MHC</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Pine Acre Trails</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Bel Air Estates &amp; Sunrise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0"/>
              <w:spacing w:after="0" w:line="216" w:lineRule="exact"/>
              <w:rPr>
                <w:sz w:val="20"/>
                <w:szCs w:val="20"/>
                <w:color w:val="auto"/>
              </w:rPr>
            </w:pPr>
            <w:r>
              <w:rPr>
                <w:rFonts w:ascii="Times New Roman" w:cs="Times New Roman" w:eastAsia="Times New Roman" w:hAnsi="Times New Roman"/>
                <w:sz w:val="15"/>
                <w:szCs w:val="15"/>
                <w:color w:val="auto"/>
              </w:rPr>
              <w:t>Estates</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Park Leisure</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0" w:type="dxa"/>
            <w:vAlign w:val="bottom"/>
          </w:tcPr>
          <w:p>
            <w:pPr>
              <w:spacing w:after="0"/>
              <w:rPr>
                <w:sz w:val="1"/>
                <w:szCs w:val="1"/>
                <w:color w:val="auto"/>
              </w:rPr>
            </w:pPr>
          </w:p>
        </w:tc>
      </w:tr>
      <w:tr>
        <w:trPr>
          <w:trHeight w:val="202"/>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Combination</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Jarrett Bay Boatworks</w:t>
            </w:r>
            <w:r>
              <w:rPr>
                <w:rFonts w:ascii="Times New Roman" w:cs="Times New Roman" w:eastAsia="Times New Roman" w:hAnsi="Times New Roman"/>
                <w:sz w:val="19"/>
                <w:szCs w:val="19"/>
                <w:color w:val="auto"/>
                <w:vertAlign w:val="superscript"/>
              </w:rPr>
              <w:t>(3)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0" w:type="dxa"/>
            <w:vAlign w:val="bottom"/>
          </w:tcPr>
          <w:p>
            <w:pPr>
              <w:spacing w:after="0"/>
              <w:rPr>
                <w:sz w:val="1"/>
                <w:szCs w:val="1"/>
                <w:color w:val="auto"/>
              </w:rPr>
            </w:pPr>
          </w:p>
        </w:tc>
      </w:tr>
      <w:tr>
        <w:trPr>
          <w:trHeight w:val="203"/>
        </w:trPr>
        <w:tc>
          <w:tcPr>
            <w:tcW w:w="172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5"/>
                <w:szCs w:val="15"/>
                <w:color w:val="auto"/>
              </w:rPr>
              <w:t>Park Holidays</w:t>
            </w:r>
            <w:r>
              <w:rPr>
                <w:rFonts w:ascii="Times New Roman" w:cs="Times New Roman" w:eastAsia="Times New Roman" w:hAnsi="Times New Roman"/>
                <w:sz w:val="19"/>
                <w:szCs w:val="19"/>
                <w:color w:val="auto"/>
                <w:vertAlign w:val="superscript"/>
              </w:rPr>
              <w:t>(4)</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1,336.9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534.3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1,233.8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1,199.9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33.9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1,233.8</w:t>
            </w:r>
          </w:p>
        </w:tc>
        <w:tc>
          <w:tcPr>
            <w:tcW w:w="0" w:type="dxa"/>
            <w:vAlign w:val="bottom"/>
          </w:tcPr>
          <w:p>
            <w:pPr>
              <w:spacing w:after="0"/>
              <w:rPr>
                <w:sz w:val="1"/>
                <w:szCs w:val="1"/>
                <w:color w:val="auto"/>
              </w:rPr>
            </w:pPr>
          </w:p>
        </w:tc>
      </w:tr>
      <w:tr>
        <w:trPr>
          <w:trHeight w:val="21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582.1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1,873.2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1,910.9</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Combined with an existing property.</w:t>
      </w:r>
    </w:p>
    <w:p>
      <w:pPr>
        <w:spacing w:after="0" w:line="48" w:lineRule="exact"/>
        <w:rPr>
          <w:rFonts w:ascii="Times New Roman" w:cs="Times New Roman" w:eastAsia="Times New Roman" w:hAnsi="Times New Roman"/>
          <w:sz w:val="16"/>
          <w:szCs w:val="16"/>
          <w:color w:val="auto"/>
          <w:vertAlign w:val="superscript"/>
        </w:rPr>
      </w:pPr>
    </w:p>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above allocations are estimates awaiting purchase price allocations.</w:t>
      </w:r>
    </w:p>
    <w:p>
      <w:pPr>
        <w:spacing w:after="0" w:line="52" w:lineRule="exact"/>
        <w:rPr>
          <w:rFonts w:ascii="Times New Roman" w:cs="Times New Roman" w:eastAsia="Times New Roman" w:hAnsi="Times New Roman"/>
          <w:sz w:val="9"/>
          <w:szCs w:val="9"/>
          <w:color w:val="auto"/>
        </w:rPr>
      </w:pPr>
    </w:p>
    <w:p>
      <w:pPr>
        <w:ind w:left="180" w:hanging="172"/>
        <w:spacing w:after="0" w:line="299" w:lineRule="auto"/>
        <w:tabs>
          <w:tab w:leader="none" w:pos="15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balance includes the marina acquired in February and the yacht sales business acquired in April of which $0.1 million was recorded in Investment property, $17.6 million in In-place leases, goodwill and other intangible assets, and $0.4 million in Other assets / (liabilities), net.</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above allocations are estimates awaiting final purchase price allocations.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have incurred and capitalized $12.5 million of transaction costs, which have been allocated among various fixed asset categories for purchases that meet the asset acquisition criteria. As of June 30, 2022, we also incurred $15.5 million of business combination expenses, which are expensed for acquisitions deemed to be business combinations.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amount of Revenues and Net income included in the Consolidated Statements of Operations for the three and six months ended June 30, 2022 related to business combinations completed in 2022 are set forth in the following table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Pr>
          <w:p>
            <w:pPr>
              <w:spacing w:after="0"/>
              <w:rPr>
                <w:sz w:val="17"/>
                <w:szCs w:val="17"/>
                <w:color w:val="auto"/>
              </w:rPr>
            </w:pPr>
          </w:p>
        </w:tc>
        <w:tc>
          <w:tcPr>
            <w:tcW w:w="160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6"/>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Pr>
          <w:p>
            <w:pPr>
              <w:spacing w:after="0"/>
              <w:rPr>
                <w:sz w:val="17"/>
                <w:szCs w:val="17"/>
                <w:color w:val="auto"/>
              </w:rPr>
            </w:pPr>
          </w:p>
        </w:tc>
        <w:tc>
          <w:tcPr>
            <w:tcW w:w="160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June 30, 2022</w:t>
            </w:r>
          </w:p>
        </w:tc>
      </w:tr>
      <w:tr>
        <w:trPr>
          <w:trHeight w:val="200"/>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w:t>
            </w:r>
          </w:p>
        </w:tc>
      </w:tr>
      <w:tr>
        <w:trPr>
          <w:trHeight w:val="198"/>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bl>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results of our operations for the three and six months ended June 30, 2022 and 2021, as if the properties combined through business combinations in 2022 had been acquired on January 1, 2021. The unaudited pro forma results reflect certain adjustments for items that are not expected to have a continuing impact, such as adjustments for transaction costs incurred, management fees and acquisition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2021 (in millions, except for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 (unaudited)</w:t>
            </w:r>
          </w:p>
        </w:tc>
        <w:tc>
          <w:tcPr>
            <w:tcW w:w="160" w:type="dxa"/>
            <w:vAlign w:val="bottom"/>
          </w:tcPr>
          <w:p>
            <w:pPr>
              <w:spacing w:after="0"/>
              <w:rPr>
                <w:sz w:val="17"/>
                <w:szCs w:val="17"/>
                <w:color w:val="auto"/>
              </w:rPr>
            </w:pPr>
          </w:p>
        </w:tc>
        <w:tc>
          <w:tcPr>
            <w:tcW w:w="2640" w:type="dxa"/>
            <w:vAlign w:val="bottom"/>
            <w:gridSpan w:val="4"/>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Six Months Ended (unaudited)</w:t>
            </w:r>
          </w:p>
        </w:tc>
      </w:tr>
      <w:tr>
        <w:trPr>
          <w:trHeight w:val="200"/>
        </w:trPr>
        <w:tc>
          <w:tcPr>
            <w:tcW w:w="54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713.8</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1,182.7</w:t>
            </w:r>
          </w:p>
        </w:tc>
      </w:tr>
      <w:tr>
        <w:trPr>
          <w:trHeight w:val="200"/>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attributable to SUI common shareholders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150.8</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per share attributable to SUI common shareholders - basic</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198"/>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per share attributable to SUI common shareholders - diluted</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and Expansion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we acquired one land parcel which is located in the United States for an aggregate purchase price of $5.0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we completed the construction of over 110 sites and over 130 sites, respectively, at one ground-up development and three expansion sites.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24, 2022, we sold two MH communities and one community containing MH and RV sites, located in Florida, with a total of 323 sites for $29.6 million. The gain from the sale of the properties was $13.3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Acquisitions and Dispositions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2021, we acquired the following MH communities, RV resorts and marinas: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Sites, Wet Slips and Dry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400" w:type="dxa"/>
            <w:vAlign w:val="bottom"/>
          </w:tcPr>
          <w:p>
            <w:pPr>
              <w:spacing w:after="0"/>
              <w:rPr>
                <w:sz w:val="15"/>
                <w:szCs w:val="15"/>
                <w:color w:val="auto"/>
              </w:rPr>
            </w:pPr>
          </w:p>
        </w:tc>
      </w:tr>
      <w:tr>
        <w:trPr>
          <w:trHeight w:val="212"/>
        </w:trPr>
        <w:tc>
          <w:tcPr>
            <w:tcW w:w="3140" w:type="dxa"/>
            <w:vAlign w:val="bottom"/>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Community Name</w:t>
            </w:r>
          </w:p>
        </w:tc>
        <w:tc>
          <w:tcPr>
            <w:tcW w:w="2060" w:type="dxa"/>
            <w:vAlign w:val="bottom"/>
            <w:gridSpan w:val="2"/>
          </w:tcPr>
          <w:p>
            <w:pPr>
              <w:ind w:left="820"/>
              <w:spacing w:after="0"/>
              <w:rPr>
                <w:sz w:val="20"/>
                <w:szCs w:val="20"/>
                <w:color w:val="auto"/>
              </w:rPr>
            </w:pPr>
            <w:r>
              <w:rPr>
                <w:rFonts w:ascii="Times New Roman" w:cs="Times New Roman" w:eastAsia="Times New Roman" w:hAnsi="Times New Roman"/>
                <w:sz w:val="15"/>
                <w:szCs w:val="15"/>
                <w:b w:val="1"/>
                <w:bCs w:val="1"/>
                <w:color w:val="auto"/>
              </w:rPr>
              <w:t>Type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Storage Spaces</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Development Sites</w:t>
            </w: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4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Month Acquired</w:t>
            </w:r>
          </w:p>
        </w:tc>
      </w:tr>
      <w:tr>
        <w:trPr>
          <w:trHeight w:val="200"/>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Outdoors Association Island</w:t>
            </w: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NY</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Blue Water Beach Resort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UT</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February</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Tranquility MHC</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w:t>
            </w:r>
          </w:p>
        </w:tc>
      </w:tr>
      <w:tr>
        <w:trPr>
          <w:trHeight w:val="203"/>
        </w:trPr>
        <w:tc>
          <w:tcPr>
            <w:tcW w:w="31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Islamorada and Angler House</w:t>
            </w:r>
            <w:r>
              <w:rPr>
                <w:rFonts w:ascii="Times New Roman" w:cs="Times New Roman" w:eastAsia="Times New Roman" w:hAnsi="Times New Roman"/>
                <w:sz w:val="19"/>
                <w:szCs w:val="19"/>
                <w:color w:val="auto"/>
                <w:vertAlign w:val="superscript"/>
              </w:rPr>
              <w:t>(1)</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February</w:t>
            </w:r>
          </w:p>
        </w:tc>
      </w:tr>
      <w:tr>
        <w:trPr>
          <w:trHeight w:val="203"/>
        </w:trPr>
        <w:tc>
          <w:tcPr>
            <w:tcW w:w="31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Prime Martha's Vineyard</w:t>
            </w:r>
            <w:r>
              <w:rPr>
                <w:rFonts w:ascii="Times New Roman" w:cs="Times New Roman" w:eastAsia="Times New Roman" w:hAnsi="Times New Roman"/>
                <w:sz w:val="19"/>
                <w:szCs w:val="19"/>
                <w:color w:val="auto"/>
                <w:vertAlign w:val="superscript"/>
              </w:rPr>
              <w:t>(1)</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Pleasant Beach Campground</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ON, Canada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Outdoors Cape Charles</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Beachwood Resort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ThemeWorld RV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Sylvan Glen Estates</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Shelter Island Boatyard</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Lauderdale Marine Center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May</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Apponaug Harbor</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Cabrillo Isle</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business combination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Marathon</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Allen Harbor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RI</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Cisco Grove Campground &amp; RV</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3"/>
        </w:trPr>
        <w:tc>
          <w:tcPr>
            <w:tcW w:w="31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Four Leaf Portfolio</w:t>
            </w:r>
            <w:r>
              <w:rPr>
                <w:rFonts w:ascii="Times New Roman" w:cs="Times New Roman" w:eastAsia="Times New Roman" w:hAnsi="Times New Roman"/>
                <w:sz w:val="19"/>
                <w:szCs w:val="19"/>
                <w:color w:val="auto"/>
                <w:vertAlign w:val="superscript"/>
              </w:rPr>
              <w:t>(2)</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2,545</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 / IN</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2"/>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Harborage Yacht Club</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3"/>
        </w:trPr>
        <w:tc>
          <w:tcPr>
            <w:tcW w:w="31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Zeman Portfolio</w:t>
            </w:r>
            <w:r>
              <w:rPr>
                <w:rFonts w:ascii="Times New Roman" w:cs="Times New Roman" w:eastAsia="Times New Roman" w:hAnsi="Times New Roman"/>
                <w:sz w:val="19"/>
                <w:szCs w:val="19"/>
                <w:color w:val="auto"/>
                <w:vertAlign w:val="superscript"/>
              </w:rPr>
              <w:t>(3)</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IL / NJ</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Southern Leisure RV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August</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Sunroad Marina</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August</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Lazy Lakes RV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August</w:t>
            </w:r>
          </w:p>
        </w:tc>
      </w:tr>
      <w:tr>
        <w:trPr>
          <w:trHeight w:val="198"/>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Puerto del Rey</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Puerto Rico</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September</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Sites, Wet Slips and Dry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400" w:type="dxa"/>
            <w:vAlign w:val="bottom"/>
          </w:tcPr>
          <w:p>
            <w:pPr>
              <w:spacing w:after="0"/>
              <w:rPr>
                <w:sz w:val="15"/>
                <w:szCs w:val="15"/>
                <w:color w:val="auto"/>
              </w:rPr>
            </w:pPr>
          </w:p>
        </w:tc>
      </w:tr>
      <w:tr>
        <w:trPr>
          <w:trHeight w:val="212"/>
        </w:trPr>
        <w:tc>
          <w:tcPr>
            <w:tcW w:w="3140" w:type="dxa"/>
            <w:vAlign w:val="bottom"/>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Community Name</w:t>
            </w:r>
          </w:p>
        </w:tc>
        <w:tc>
          <w:tcPr>
            <w:tcW w:w="2060" w:type="dxa"/>
            <w:vAlign w:val="bottom"/>
            <w:gridSpan w:val="2"/>
          </w:tcPr>
          <w:p>
            <w:pPr>
              <w:ind w:left="820"/>
              <w:spacing w:after="0"/>
              <w:rPr>
                <w:sz w:val="20"/>
                <w:szCs w:val="20"/>
                <w:color w:val="auto"/>
              </w:rPr>
            </w:pPr>
            <w:r>
              <w:rPr>
                <w:rFonts w:ascii="Times New Roman" w:cs="Times New Roman" w:eastAsia="Times New Roman" w:hAnsi="Times New Roman"/>
                <w:sz w:val="15"/>
                <w:szCs w:val="15"/>
                <w:b w:val="1"/>
                <w:bCs w:val="1"/>
                <w:color w:val="auto"/>
              </w:rPr>
              <w:t>Type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Storage Spaces</w:t>
            </w:r>
          </w:p>
        </w:tc>
        <w:tc>
          <w:tcPr>
            <w:tcW w:w="14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Development Sites</w:t>
            </w:r>
          </w:p>
        </w:tc>
        <w:tc>
          <w:tcPr>
            <w:tcW w:w="8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4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Month Acquired</w:t>
            </w:r>
          </w:p>
        </w:tc>
      </w:tr>
      <w:tr>
        <w:trPr>
          <w:trHeight w:val="200"/>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Stingray Point</w:t>
            </w: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Detroit River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September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Jetstream RV Resort at NASA</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Beaver Brook Campground</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ME</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Emerald Coast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business combination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November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Tall Pines Harbor Campground</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Wells Beach Resort Campground</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November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Port Royal</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SC</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Podickory Point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MD</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Sunroad Marina (restaurant)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Jellystone Park at Mammoth Cave</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KY</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South Bay</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Wentworth by the Sea</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NH</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Rocky Mountain RV Park</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MT</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Haas Lake RV Park Campground</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MI</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Pearwood RV Resort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Holly Shores Camping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NJ</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Pheasant Ridge RV Park</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OR</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Coyote Ranch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Jellystone Park at Whispering Pines</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Hospitality Creek Campground</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NJ</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196"/>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15,816</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1,062</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two marinas.</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nine MH communities.</w:t>
      </w:r>
    </w:p>
    <w:p>
      <w:pPr>
        <w:spacing w:after="0" w:line="52"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two RV Resorts.</w:t>
      </w:r>
    </w:p>
    <w:p>
      <w:pPr>
        <w:spacing w:after="0" w:line="2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assets acquired, net of liabilities assumed at the acquisition date and the consideration paid for the acquisitions completed in 2021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100" w:type="dxa"/>
            <w:vAlign w:val="bottom"/>
          </w:tcPr>
          <w:p>
            <w:pPr>
              <w:spacing w:after="0"/>
              <w:rPr>
                <w:sz w:val="14"/>
                <w:szCs w:val="14"/>
                <w:color w:val="auto"/>
              </w:rPr>
            </w:pPr>
          </w:p>
        </w:tc>
        <w:tc>
          <w:tcPr>
            <w:tcW w:w="126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5"/>
                <w:szCs w:val="15"/>
                <w:color w:val="auto"/>
              </w:rPr>
              <w:t>In-place leases,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Total identifiable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1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5"/>
                <w:szCs w:val="15"/>
                <w:color w:val="auto"/>
              </w:rPr>
              <w:t>goodwill and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Investment in</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9"/>
              </w:rPr>
              <w:t>and retail</w:t>
            </w:r>
          </w:p>
        </w:tc>
        <w:tc>
          <w:tcPr>
            <w:tcW w:w="100" w:type="dxa"/>
            <w:vAlign w:val="bottom"/>
          </w:tcPr>
          <w:p>
            <w:pPr>
              <w:spacing w:after="0"/>
              <w:rPr>
                <w:sz w:val="14"/>
                <w:szCs w:val="14"/>
                <w:color w:val="auto"/>
              </w:rPr>
            </w:pPr>
          </w:p>
        </w:tc>
        <w:tc>
          <w:tcPr>
            <w:tcW w:w="126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5"/>
                <w:szCs w:val="15"/>
                <w:color w:val="auto"/>
              </w:rPr>
              <w:t>other intangible</w:t>
            </w: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Other assets /</w:t>
            </w:r>
          </w:p>
        </w:tc>
        <w:tc>
          <w:tcPr>
            <w:tcW w:w="180" w:type="dxa"/>
            <w:vAlign w:val="bottom"/>
          </w:tcPr>
          <w:p>
            <w:pPr>
              <w:spacing w:after="0"/>
              <w:rPr>
                <w:sz w:val="14"/>
                <w:szCs w:val="14"/>
                <w:color w:val="auto"/>
              </w:rPr>
            </w:pPr>
          </w:p>
        </w:tc>
        <w:tc>
          <w:tcPr>
            <w:tcW w:w="13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Cash and</w:t>
            </w:r>
          </w:p>
        </w:tc>
        <w:tc>
          <w:tcPr>
            <w:tcW w:w="100" w:type="dxa"/>
            <w:vAlign w:val="bottom"/>
          </w:tcPr>
          <w:p>
            <w:pPr>
              <w:spacing w:after="0"/>
              <w:rPr>
                <w:sz w:val="14"/>
                <w:szCs w:val="14"/>
                <w:color w:val="auto"/>
              </w:rPr>
            </w:pPr>
          </w:p>
        </w:tc>
        <w:tc>
          <w:tcPr>
            <w:tcW w:w="100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5"/>
                <w:szCs w:val="15"/>
                <w:color w:val="auto"/>
              </w:rPr>
              <w:t>permanent</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property</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related items</w:t>
            </w:r>
          </w:p>
        </w:tc>
        <w:tc>
          <w:tcPr>
            <w:tcW w:w="100" w:type="dxa"/>
            <w:vAlign w:val="bottom"/>
          </w:tcPr>
          <w:p>
            <w:pPr>
              <w:spacing w:after="0"/>
              <w:rPr>
                <w:sz w:val="17"/>
                <w:szCs w:val="17"/>
                <w:color w:val="auto"/>
              </w:rPr>
            </w:pPr>
          </w:p>
        </w:tc>
        <w:tc>
          <w:tcPr>
            <w:tcW w:w="1260" w:type="dxa"/>
            <w:vAlign w:val="bottom"/>
            <w:gridSpan w:val="3"/>
          </w:tcPr>
          <w:p>
            <w:pPr>
              <w:jc w:val="center"/>
              <w:ind w:right="300"/>
              <w:spacing w:after="0" w:line="203" w:lineRule="exact"/>
              <w:rPr>
                <w:sz w:val="20"/>
                <w:szCs w:val="20"/>
                <w:color w:val="auto"/>
              </w:rPr>
            </w:pPr>
            <w:r>
              <w:rPr>
                <w:rFonts w:ascii="Times New Roman" w:cs="Times New Roman" w:eastAsia="Times New Roman" w:hAnsi="Times New Roman"/>
                <w:sz w:val="15"/>
                <w:szCs w:val="15"/>
                <w:color w:val="auto"/>
                <w:w w:val="96"/>
              </w:rPr>
              <w:t>assets</w:t>
            </w:r>
            <w:r>
              <w:rPr>
                <w:rFonts w:ascii="Times New Roman" w:cs="Times New Roman" w:eastAsia="Times New Roman" w:hAnsi="Times New Roman"/>
                <w:sz w:val="19"/>
                <w:szCs w:val="19"/>
                <w:color w:val="auto"/>
                <w:w w:val="96"/>
                <w:vertAlign w:val="superscript"/>
              </w:rPr>
              <w:t>(1)</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(liabilities), net</w:t>
            </w:r>
          </w:p>
        </w:tc>
        <w:tc>
          <w:tcPr>
            <w:tcW w:w="18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escrow</w:t>
            </w:r>
          </w:p>
        </w:tc>
        <w:tc>
          <w:tcPr>
            <w:tcW w:w="10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color w:val="auto"/>
              </w:rPr>
              <w:t>equity</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83"/>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Sun Outdoors Association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Island</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Blue Water Beach Resort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Tranquility MHC</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Islamorada and Angler</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House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Prime Martha's Vineyard</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Pleasant Beach</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Sun Outdoors Cape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Charles</w:t>
            </w:r>
          </w:p>
        </w:tc>
        <w:tc>
          <w:tcPr>
            <w:tcW w:w="1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Beachwood Resort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ThemeWorld RV Resort</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Sylvan Glen Estates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Shelter Island Boatyard</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In-place leases,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Total identifiable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color w:val="auto"/>
              </w:rPr>
              <w:t>goodwill and</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color w:val="auto"/>
              </w:rPr>
              <w:t>Investment in</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9"/>
              </w:rPr>
              <w:t>and retail</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other intangible</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Other assets /</w:t>
            </w:r>
          </w:p>
        </w:tc>
        <w:tc>
          <w:tcPr>
            <w:tcW w:w="180" w:type="dxa"/>
            <w:vAlign w:val="bottom"/>
          </w:tcPr>
          <w:p>
            <w:pPr>
              <w:spacing w:after="0"/>
              <w:rPr>
                <w:sz w:val="14"/>
                <w:szCs w:val="14"/>
                <w:color w:val="auto"/>
              </w:rPr>
            </w:pPr>
          </w:p>
        </w:tc>
        <w:tc>
          <w:tcPr>
            <w:tcW w:w="13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Cash and</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permanent</w:t>
            </w: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property</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related items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line="203" w:lineRule="exact"/>
              <w:rPr>
                <w:sz w:val="20"/>
                <w:szCs w:val="20"/>
                <w:color w:val="auto"/>
              </w:rPr>
            </w:pPr>
            <w:r>
              <w:rPr>
                <w:rFonts w:ascii="Times New Roman" w:cs="Times New Roman" w:eastAsia="Times New Roman" w:hAnsi="Times New Roman"/>
                <w:sz w:val="15"/>
                <w:szCs w:val="15"/>
                <w:color w:val="auto"/>
                <w:w w:val="96"/>
              </w:rPr>
              <w:t>assets</w:t>
            </w:r>
            <w:r>
              <w:rPr>
                <w:rFonts w:ascii="Times New Roman" w:cs="Times New Roman" w:eastAsia="Times New Roman" w:hAnsi="Times New Roman"/>
                <w:sz w:val="19"/>
                <w:szCs w:val="19"/>
                <w:color w:val="auto"/>
                <w:w w:val="96"/>
                <w:vertAlign w:val="superscript"/>
              </w:rPr>
              <w:t>(1)</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(liabilities), net</w:t>
            </w:r>
          </w:p>
        </w:tc>
        <w:tc>
          <w:tcPr>
            <w:tcW w:w="18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escrow</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equity</w:t>
            </w: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96"/>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Lauderdale Marine Center</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336.9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341.2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341.2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341.2</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Apponaug Harbor</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Marathon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Allen Harbor</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Cisco Grove Campground</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&amp; RV</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Four Leaf Portfolio</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Harborage Yacht Club</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Zeman Portfolio</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Southern Leisure RV</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Resort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Sunroad Marina</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Lazy Lakes RV Resort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Puerto del Rey</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Stingray Point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Detroit River</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Jetstream RV Resort at</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NASA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Beaver Brook</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6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Tall Pines Harbor</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Wells Beach Resort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6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Port Royal</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Podickory Point</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Jellystone Park at</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Mammoth Cave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South Bay</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Wentworth by the Sea</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Rocky Mountain RV Park</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Haas Lake RV Park</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Pearwood RV Resort</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Holly Shores Camping</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Resort</w:t>
            </w:r>
            <w:r>
              <w:rPr>
                <w:rFonts w:ascii="Times New Roman" w:cs="Times New Roman" w:eastAsia="Times New Roman" w:hAnsi="Times New Roman"/>
                <w:sz w:val="19"/>
                <w:szCs w:val="19"/>
                <w:color w:val="auto"/>
                <w:vertAlign w:val="superscript"/>
              </w:rPr>
              <w:t>(3)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Pheasant Ridge RV Park</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Coyote Ranch Resort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Jellystone Park at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Whispering Pines</w:t>
            </w:r>
          </w:p>
        </w:tc>
        <w:tc>
          <w:tcPr>
            <w:tcW w:w="16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Hospitality Creek</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Campground</w:t>
            </w:r>
            <w:r>
              <w:rPr>
                <w:rFonts w:ascii="Times New Roman" w:cs="Times New Roman" w:eastAsia="Times New Roman" w:hAnsi="Times New Roman"/>
                <w:sz w:val="19"/>
                <w:szCs w:val="19"/>
                <w:color w:val="auto"/>
                <w:vertAlign w:val="superscript"/>
              </w:rPr>
              <w:t>(3)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Combination</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Cabrillo Isle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Emerald Coast</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0" w:type="dxa"/>
            <w:vAlign w:val="bottom"/>
          </w:tcPr>
          <w:p>
            <w:pPr>
              <w:spacing w:after="0"/>
              <w:rPr>
                <w:sz w:val="1"/>
                <w:szCs w:val="1"/>
                <w:color w:val="auto"/>
              </w:rPr>
            </w:pPr>
          </w:p>
        </w:tc>
      </w:tr>
      <w:tr>
        <w:trPr>
          <w:trHeight w:val="223"/>
        </w:trPr>
        <w:tc>
          <w:tcPr>
            <w:tcW w:w="1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1,415.9</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Refer to Note 5, "Goodwill and Other Intangible Assets," for additional detail on goodwill and other intangible assets.</w:t>
      </w:r>
    </w:p>
    <w:p>
      <w:pPr>
        <w:spacing w:after="0" w:line="55" w:lineRule="exact"/>
        <w:rPr>
          <w:rFonts w:ascii="Times New Roman" w:cs="Times New Roman" w:eastAsia="Times New Roman" w:hAnsi="Times New Roman"/>
          <w:sz w:val="19"/>
          <w:szCs w:val="19"/>
          <w:color w:val="auto"/>
          <w:vertAlign w:val="superscript"/>
        </w:rPr>
      </w:pPr>
    </w:p>
    <w:p>
      <w:pPr>
        <w:ind w:left="180" w:hanging="172"/>
        <w:spacing w:after="0" w:line="228" w:lineRule="auto"/>
        <w:tabs>
          <w:tab w:leader="none" w:pos="15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balance includes the marina acquired in August and the restaurant acquired in December of which $9.2 million was recorded in investment property and $21.0 million in Other assets / (liabilities), net.</w:t>
      </w:r>
    </w:p>
    <w:p>
      <w:pPr>
        <w:spacing w:after="0" w:line="28" w:lineRule="exact"/>
        <w:rPr>
          <w:rFonts w:ascii="Times New Roman" w:cs="Times New Roman" w:eastAsia="Times New Roman" w:hAnsi="Times New Roman"/>
          <w:sz w:val="18"/>
          <w:szCs w:val="18"/>
          <w:color w:val="auto"/>
          <w:vertAlign w:val="superscript"/>
        </w:rPr>
      </w:pPr>
    </w:p>
    <w:p>
      <w:pPr>
        <w:ind w:left="140" w:hanging="132"/>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allocation was estimated as of December 2021 and was adjusted as of March 2022, based on final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we incurred $18.0 million of transaction costs, which were capitalized and allocated among the various fixed asset categories for purchases that meet the asset acquisition criteria. As of December 31, 2021, we also incurred $1.4 million of business combination expenses, which were expensed for acquisitions deemed to be business combinations.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and Net income included in the Consolidated Statements of Operations for the year ended December 31, 2021 related to business combinations completed in 2021 are set forth in the following table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9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98"/>
        </w:trPr>
        <w:tc>
          <w:tcPr>
            <w:tcW w:w="9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bl>
    <w:p>
      <w:pPr>
        <w:spacing w:after="0" w:line="3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results of our operations for the years ended December 31, 2021 and 2020, as if the properties combined through business combinations in 2021 had been acquired on January 1, 2020. The unaudited pro forma results reflect certain adjustments for items that are not expected to have a continuing impact, such as adjustments for transaction costs incurred, management fees and acquisition accounting.</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acquisitions been consummated on January 1, 2020 (in millions, except for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Year Ended (unaudited)</w:t>
            </w:r>
          </w:p>
        </w:tc>
      </w:tr>
      <w:tr>
        <w:trPr>
          <w:trHeight w:val="200"/>
        </w:trPr>
        <w:tc>
          <w:tcPr>
            <w:tcW w:w="9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96"/>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2,330.0</w:t>
            </w:r>
          </w:p>
        </w:tc>
      </w:tr>
      <w:tr>
        <w:trPr>
          <w:trHeight w:val="200"/>
        </w:trPr>
        <w:tc>
          <w:tcPr>
            <w:tcW w:w="9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attributable to SUI common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390.9</w:t>
            </w:r>
          </w:p>
        </w:tc>
      </w:tr>
      <w:tr>
        <w:trPr>
          <w:trHeight w:val="205"/>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per share attributable to SUI common shareholders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w:t>
            </w:r>
          </w:p>
        </w:tc>
      </w:tr>
      <w:tr>
        <w:trPr>
          <w:trHeight w:val="198"/>
        </w:trPr>
        <w:tc>
          <w:tcPr>
            <w:tcW w:w="9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per share attributable to SUI common shareholders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for Expansion / Development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acquired 11 land parcels, which are located across the United States and the United Kingdom for a total purchase price of $172.8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we acquired Leisure Systems, Inc., the franchisor of the Jellystone Park™ system, and accounted for the transaction as a business combination. The following table summarizes the amounts of assets acquired, net of liabilities assumed at the acquisition date and the consideration paid for the acquisition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10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In-place leases,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Total identifiable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24"/>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24"/>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40" w:type="dxa"/>
            <w:vAlign w:val="bottom"/>
            <w:vMerge w:val="restart"/>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120" w:type="dxa"/>
            <w:vAlign w:val="bottom"/>
            <w:gridSpan w:val="4"/>
          </w:tcPr>
          <w:p>
            <w:pPr>
              <w:jc w:val="center"/>
              <w:ind w:right="124"/>
              <w:spacing w:after="0" w:line="162" w:lineRule="exact"/>
              <w:rPr>
                <w:sz w:val="20"/>
                <w:szCs w:val="20"/>
                <w:color w:val="auto"/>
              </w:rPr>
            </w:pPr>
            <w:r>
              <w:rPr>
                <w:rFonts w:ascii="Times New Roman" w:cs="Times New Roman" w:eastAsia="Times New Roman" w:hAnsi="Times New Roman"/>
                <w:sz w:val="15"/>
                <w:szCs w:val="15"/>
                <w:color w:val="auto"/>
              </w:rPr>
              <w:t>Investment in</w:t>
            </w: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9"/>
              </w:rPr>
              <w:t>and retail</w:t>
            </w:r>
          </w:p>
        </w:tc>
        <w:tc>
          <w:tcPr>
            <w:tcW w:w="12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goodwill and other</w:t>
            </w:r>
          </w:p>
        </w:tc>
        <w:tc>
          <w:tcPr>
            <w:tcW w:w="12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180" w:type="dxa"/>
            <w:vAlign w:val="bottom"/>
          </w:tcPr>
          <w:p>
            <w:pPr>
              <w:spacing w:after="0"/>
              <w:rPr>
                <w:sz w:val="14"/>
                <w:szCs w:val="14"/>
                <w:color w:val="auto"/>
              </w:rPr>
            </w:pPr>
          </w:p>
        </w:tc>
        <w:tc>
          <w:tcPr>
            <w:tcW w:w="13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Cash and</w:t>
            </w:r>
          </w:p>
        </w:tc>
        <w:tc>
          <w:tcPr>
            <w:tcW w:w="120" w:type="dxa"/>
            <w:vAlign w:val="bottom"/>
          </w:tcPr>
          <w:p>
            <w:pPr>
              <w:spacing w:after="0"/>
              <w:rPr>
                <w:sz w:val="14"/>
                <w:szCs w:val="14"/>
                <w:color w:val="auto"/>
              </w:rPr>
            </w:pPr>
          </w:p>
        </w:tc>
        <w:tc>
          <w:tcPr>
            <w:tcW w:w="1000" w:type="dxa"/>
            <w:vAlign w:val="bottom"/>
            <w:gridSpan w:val="3"/>
          </w:tcPr>
          <w:p>
            <w:pPr>
              <w:jc w:val="center"/>
              <w:ind w:right="244"/>
              <w:spacing w:after="0" w:line="162" w:lineRule="exact"/>
              <w:rPr>
                <w:sz w:val="20"/>
                <w:szCs w:val="20"/>
                <w:color w:val="auto"/>
              </w:rPr>
            </w:pPr>
            <w:r>
              <w:rPr>
                <w:rFonts w:ascii="Times New Roman" w:cs="Times New Roman" w:eastAsia="Times New Roman" w:hAnsi="Times New Roman"/>
                <w:sz w:val="15"/>
                <w:szCs w:val="15"/>
                <w:color w:val="auto"/>
              </w:rPr>
              <w:t>permanent</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right="284"/>
              <w:spacing w:after="0"/>
              <w:rPr>
                <w:sz w:val="20"/>
                <w:szCs w:val="20"/>
                <w:color w:val="auto"/>
              </w:rPr>
            </w:pPr>
            <w:r>
              <w:rPr>
                <w:rFonts w:ascii="Times New Roman" w:cs="Times New Roman" w:eastAsia="Times New Roman" w:hAnsi="Times New Roman"/>
                <w:sz w:val="15"/>
                <w:szCs w:val="15"/>
                <w:color w:val="auto"/>
              </w:rPr>
              <w:t>property</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related items</w:t>
            </w:r>
          </w:p>
        </w:tc>
        <w:tc>
          <w:tcPr>
            <w:tcW w:w="128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15"/>
                <w:szCs w:val="15"/>
                <w:color w:val="auto"/>
              </w:rPr>
              <w:t>intangible assets</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color w:val="auto"/>
              </w:rPr>
              <w:t>net</w:t>
            </w:r>
          </w:p>
        </w:tc>
        <w:tc>
          <w:tcPr>
            <w:tcW w:w="1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escrow</w:t>
            </w:r>
          </w:p>
        </w:tc>
        <w:tc>
          <w:tcPr>
            <w:tcW w:w="120" w:type="dxa"/>
            <w:vAlign w:val="bottom"/>
          </w:tcPr>
          <w:p>
            <w:pPr>
              <w:spacing w:after="0"/>
              <w:rPr>
                <w:sz w:val="17"/>
                <w:szCs w:val="17"/>
                <w:color w:val="auto"/>
              </w:rPr>
            </w:pPr>
          </w:p>
        </w:tc>
        <w:tc>
          <w:tcPr>
            <w:tcW w:w="1000" w:type="dxa"/>
            <w:vAlign w:val="bottom"/>
            <w:gridSpan w:val="3"/>
          </w:tcPr>
          <w:p>
            <w:pPr>
              <w:jc w:val="center"/>
              <w:ind w:right="224"/>
              <w:spacing w:after="0"/>
              <w:rPr>
                <w:sz w:val="20"/>
                <w:szCs w:val="20"/>
                <w:color w:val="auto"/>
              </w:rPr>
            </w:pPr>
            <w:r>
              <w:rPr>
                <w:rFonts w:ascii="Times New Roman" w:cs="Times New Roman" w:eastAsia="Times New Roman" w:hAnsi="Times New Roman"/>
                <w:sz w:val="15"/>
                <w:szCs w:val="15"/>
                <w:color w:val="auto"/>
              </w:rPr>
              <w:t>equity</w:t>
            </w: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96"/>
        </w:trPr>
        <w:tc>
          <w:tcPr>
            <w:tcW w:w="16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Leisure Systems, Inc</w:t>
            </w:r>
            <w:r>
              <w:rPr>
                <w:rFonts w:ascii="Times New Roman" w:cs="Times New Roman" w:eastAsia="Times New Roman" w:hAnsi="Times New Roman"/>
                <w:sz w:val="19"/>
                <w:szCs w:val="19"/>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allocation was preliminary as of December 31, 2021, and was adjusted as of March 2022 based on the final purchase price allocation.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July 2021, we sold two MH communities located in Indiana and Missouri, in the United States containing a combined 677 sites, for $67.5 million. The gain from the sale of the property was $49.4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2021, we sold four MH communities located in Arizona, Illinois and Missouri, containing a combined 1,137 sites, for $94.6 million. The gain from the sale of the properties was $58.7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19, "Subsequent Events," for information regarding acquisitions and dispositions completed after June 30,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and Other Receivables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notes and other receivables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1400" w:type="dxa"/>
            <w:vAlign w:val="bottom"/>
            <w:shd w:val="clear" w:color="auto" w:fill="CCEEFF"/>
          </w:tcPr>
          <w:p>
            <w:pPr>
              <w:jc w:val="right"/>
              <w:ind w:right="124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140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284.0</w:t>
            </w:r>
          </w:p>
        </w:tc>
      </w:tr>
      <w:tr>
        <w:trPr>
          <w:trHeight w:val="20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receivables, net</w:t>
            </w:r>
          </w:p>
        </w:tc>
        <w:tc>
          <w:tcPr>
            <w:tcW w:w="14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143.6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w:t>
            </w:r>
          </w:p>
        </w:tc>
      </w:tr>
      <w:tr>
        <w:trPr>
          <w:trHeight w:val="198"/>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Notes and Other Receivables, net</w:t>
            </w:r>
          </w:p>
        </w:tc>
        <w:tc>
          <w:tcPr>
            <w:tcW w:w="1400" w:type="dxa"/>
            <w:vAlign w:val="bottom"/>
            <w:tcBorders>
              <w:bottom w:val="single" w:sz="8" w:color="auto"/>
            </w:tcBorders>
          </w:tcPr>
          <w:p>
            <w:pPr>
              <w:jc w:val="right"/>
              <w:ind w:right="124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509.0</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469.6</w:t>
            </w:r>
          </w:p>
        </w:tc>
      </w:tr>
      <w:tr>
        <w:trPr>
          <w:trHeight w:val="20"/>
        </w:trPr>
        <w:tc>
          <w:tcPr>
            <w:tcW w:w="7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Installment notes receivable are measured at fair value, using indicative pricing models from third party valuation specialists,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balances of installment notes receivable of $73.1 million (net of fair value adjustment of $0.4 million) and $79.1 million (net of fair value adjustment of $0.6 million) as of June 30, 2022 and December 31, 2021,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7.6 percent and 14.3 years as of June 30, 2022, and 7.6 percent and 14.7 years as of December 31, 2021, respectively. Refer to Note 15, "Fair Value of Financial Instruments,"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aggregate balance of the installment notes receivable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 of gross installment notes receivable</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79.7</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Financed sale of manufactured homes</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20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 for notes receivable related to assets held for sale</w:t>
            </w:r>
          </w:p>
        </w:tc>
        <w:tc>
          <w:tcPr>
            <w:tcW w:w="2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payments and payoffs from our customers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20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Principal reduction from repossessed homes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Dispositions of properties</w:t>
            </w:r>
          </w:p>
        </w:tc>
        <w:tc>
          <w:tcPr>
            <w:tcW w:w="200" w:type="dxa"/>
            <w:vAlign w:val="bottom"/>
          </w:tcPr>
          <w:p>
            <w:pPr>
              <w:spacing w:after="0"/>
              <w:rPr>
                <w:sz w:val="17"/>
                <w:szCs w:val="17"/>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98"/>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Ending balance of gross installment notes receivable</w:t>
            </w: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w:t>
            </w: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 of fair value adjustments on gross installment notes receivable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Fair value adjustment</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19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adjustments on gross installment notes receivable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16"/>
        </w:trPr>
        <w:tc>
          <w:tcPr>
            <w:tcW w:w="7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21"/>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Ending balance of installment notes receivable, net</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Developers and Operators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Notes receivable from real estate developers and operators are measured at fair value, using indicative pricing models from third party valuation specialists,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 of June 30, 2022 and December 31, 2021, the notes receivable balances are comprised primarily of a loan provided to a real estate operator to finance its acquisition and development costs, and construction loans provided to real estate developers. The notes receivable from real estate developers and operators have a net weighted average interest rate and maturity of 7.9 percent and 0.8 years as of June 30, 2022, and 7.2 percent and 0.9 years as of December 31, 2021, respectively. As of June 30, 2022, real estate developers and operators collectively have $49.5 million of undrawn funds on their loans. There were no adjustments to the fair value of notes receivable from real estate developers and operators for the six months ended June 30, 2022 and 2021. Refer to Note 15, "Fair Value of Financial Instruments," for additional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aggregate balance of notes receivable from real estate developers and operators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6"/>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284.0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239.7</w:t>
            </w:r>
          </w:p>
        </w:tc>
      </w:tr>
      <w:tr>
        <w:trPr>
          <w:trHeight w:val="20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currency exchange gain / (loss)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2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98"/>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292.3</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284.0</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receivables, net were comprised of amounts due from the following categories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Home sale proceeds</w:t>
            </w:r>
          </w:p>
        </w:tc>
        <w:tc>
          <w:tcPr>
            <w:tcW w:w="1400" w:type="dxa"/>
            <w:vAlign w:val="bottom"/>
            <w:shd w:val="clear" w:color="auto" w:fill="CCEEFF"/>
          </w:tcPr>
          <w:p>
            <w:pPr>
              <w:jc w:val="right"/>
              <w:ind w:right="124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r>
      <w:tr>
        <w:trPr>
          <w:trHeight w:val="203"/>
        </w:trPr>
        <w:tc>
          <w:tcPr>
            <w:tcW w:w="73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Marina customers for storage, service and lease payments, net</w:t>
            </w:r>
            <w:r>
              <w:rPr>
                <w:rFonts w:ascii="Times New Roman" w:cs="Times New Roman" w:eastAsia="Times New Roman" w:hAnsi="Times New Roman"/>
                <w:sz w:val="19"/>
                <w:szCs w:val="19"/>
                <w:color w:val="auto"/>
                <w:vertAlign w:val="superscript"/>
              </w:rPr>
              <w:t>(1)</w:t>
            </w:r>
          </w:p>
        </w:tc>
        <w:tc>
          <w:tcPr>
            <w:tcW w:w="140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r>
      <w:tr>
        <w:trPr>
          <w:trHeight w:val="203"/>
        </w:trPr>
        <w:tc>
          <w:tcPr>
            <w:tcW w:w="73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MH and annual RV residents for rent, utility charges, fees and other pass-through charges, net</w:t>
            </w:r>
            <w:r>
              <w:rPr>
                <w:rFonts w:ascii="Times New Roman" w:cs="Times New Roman" w:eastAsia="Times New Roman" w:hAnsi="Times New Roman"/>
                <w:sz w:val="19"/>
                <w:szCs w:val="19"/>
                <w:color w:val="auto"/>
                <w:vertAlign w:val="superscript"/>
              </w:rPr>
              <w:t>(2)</w:t>
            </w:r>
          </w:p>
        </w:tc>
        <w:tc>
          <w:tcPr>
            <w:tcW w:w="14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Insurance receivables</w:t>
            </w:r>
          </w:p>
        </w:tc>
        <w:tc>
          <w:tcPr>
            <w:tcW w:w="140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73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5"/>
                <w:szCs w:val="15"/>
                <w:color w:val="auto"/>
              </w:rPr>
              <w:t>Other receivables</w:t>
            </w:r>
            <w:r>
              <w:rPr>
                <w:rFonts w:ascii="Times New Roman" w:cs="Times New Roman" w:eastAsia="Times New Roman" w:hAnsi="Times New Roman"/>
                <w:sz w:val="19"/>
                <w:szCs w:val="19"/>
                <w:color w:val="auto"/>
                <w:vertAlign w:val="superscript"/>
              </w:rPr>
              <w:t>(3)</w:t>
            </w:r>
          </w:p>
        </w:tc>
        <w:tc>
          <w:tcPr>
            <w:tcW w:w="14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196"/>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Other Receivables, net</w:t>
            </w:r>
          </w:p>
        </w:tc>
        <w:tc>
          <w:tcPr>
            <w:tcW w:w="1400" w:type="dxa"/>
            <w:vAlign w:val="bottom"/>
            <w:tcBorders>
              <w:bottom w:val="single" w:sz="8" w:color="auto"/>
            </w:tcBorders>
          </w:tcPr>
          <w:p>
            <w:pPr>
              <w:jc w:val="right"/>
              <w:ind w:right="124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143.6</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w:t>
            </w:r>
          </w:p>
        </w:tc>
      </w:tr>
      <w:tr>
        <w:trPr>
          <w:trHeight w:val="20"/>
        </w:trPr>
        <w:tc>
          <w:tcPr>
            <w:tcW w:w="7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allowance of $1.7 million and $1.5 million as of June 30, 2022 and December 31, 2021, respectively.</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of allowance of $5.0 million and $5.5 million as of June 30, 2022 and December 31, 2021, respectively.</w:t>
      </w:r>
    </w:p>
    <w:p>
      <w:pPr>
        <w:spacing w:after="0" w:line="52" w:lineRule="exact"/>
        <w:rPr>
          <w:rFonts w:ascii="Times New Roman" w:cs="Times New Roman" w:eastAsia="Times New Roman" w:hAnsi="Times New Roman"/>
          <w:sz w:val="9"/>
          <w:szCs w:val="9"/>
          <w:color w:val="auto"/>
        </w:rPr>
      </w:pPr>
    </w:p>
    <w:p>
      <w:pPr>
        <w:jc w:val="both"/>
        <w:ind w:left="180" w:hanging="172"/>
        <w:spacing w:after="0" w:line="266" w:lineRule="auto"/>
        <w:tabs>
          <w:tab w:leader="none" w:pos="167"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receivable from Rezplot Systems LLC, a nonconsolidated affiliate, in which we had 48.9 percent and 49.2 percent ownership interest as of June 30, 2022 and December 31, 2021, respectively. In June 2020, we made a convertible secured loan to Rezplot Systems LLC. The note allows for a principal amount of up to $10.0 million to be drawn down over a period of three years, bears an interest rate of 3.0 percent and is secured by all the assets of Rezplot Systems LLC. In January 2022, we made an additional loan to Rezplot Systems LLC that allows for a principal amount of up to $5.0 million to be drawn over a period of three years and bears an interest rate of 3.0 percent. The outstanding balances were $11.8 million and $10.2 million as of June 30, 2022 and December 31, 2021, respectively. Refer to Note 6, "Investments in Nonconsolidated Affiliates," for additional information on Rezplot Systems LLC.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intangible assets include goodwill, in-place leases, non-competition agreements, trademarks and trade names, customer relationships, franchise agreements and other intangible assets. These intangible assets are recorded in Goodwill and Other intangible assets, net on the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goodwill during the six months ended June 30, 2022 is as follows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Currency Translation</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0"/>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220" w:type="dxa"/>
            <w:vAlign w:val="bottom"/>
          </w:tcPr>
          <w:p>
            <w:pPr>
              <w:spacing w:after="0"/>
              <w:rPr>
                <w:sz w:val="18"/>
                <w:szCs w:val="18"/>
                <w:color w:val="auto"/>
              </w:rPr>
            </w:pPr>
          </w:p>
        </w:tc>
        <w:tc>
          <w:tcPr>
            <w:tcW w:w="158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b w:val="1"/>
                <w:bCs w:val="1"/>
                <w:color w:val="auto"/>
              </w:rPr>
              <w:t>Acquisitions</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8"/>
                <w:szCs w:val="18"/>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Adjustment</w:t>
            </w:r>
          </w:p>
        </w:tc>
        <w:tc>
          <w:tcPr>
            <w:tcW w:w="320" w:type="dxa"/>
            <w:vAlign w:val="bottom"/>
          </w:tcPr>
          <w:p>
            <w:pPr>
              <w:spacing w:after="0"/>
              <w:rPr>
                <w:sz w:val="18"/>
                <w:szCs w:val="18"/>
                <w:color w:val="auto"/>
              </w:rPr>
            </w:pPr>
          </w:p>
        </w:tc>
        <w:tc>
          <w:tcPr>
            <w:tcW w:w="1460" w:type="dxa"/>
            <w:vAlign w:val="bottom"/>
            <w:gridSpan w:val="2"/>
          </w:tcPr>
          <w:p>
            <w:pPr>
              <w:ind w:left="220"/>
              <w:spacing w:after="0" w:line="210" w:lineRule="exact"/>
              <w:rPr>
                <w:sz w:val="20"/>
                <w:szCs w:val="20"/>
                <w:color w:val="auto"/>
              </w:rPr>
            </w:pPr>
            <w:r>
              <w:rPr>
                <w:rFonts w:ascii="Times New Roman" w:cs="Times New Roman" w:eastAsia="Times New Roman" w:hAnsi="Times New Roman"/>
                <w:sz w:val="15"/>
                <w:szCs w:val="15"/>
                <w:b w:val="1"/>
                <w:bCs w:val="1"/>
                <w:color w:val="auto"/>
              </w:rPr>
              <w:t>Other</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8"/>
                <w:szCs w:val="18"/>
                <w:color w:val="auto"/>
              </w:rPr>
            </w:pPr>
          </w:p>
        </w:tc>
        <w:tc>
          <w:tcPr>
            <w:tcW w:w="136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2022</w:t>
            </w:r>
          </w:p>
        </w:tc>
      </w:tr>
      <w:tr>
        <w:trPr>
          <w:trHeight w:val="18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Segment</w:t>
            </w:r>
          </w:p>
        </w:tc>
        <w:tc>
          <w:tcPr>
            <w:tcW w:w="1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200"/>
        </w:trPr>
        <w:tc>
          <w:tcPr>
            <w:tcW w:w="2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MH</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465.0</w:t>
            </w:r>
          </w:p>
        </w:tc>
        <w:tc>
          <w:tcPr>
            <w:tcW w:w="2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2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433.1</w:t>
            </w:r>
          </w:p>
        </w:tc>
      </w:tr>
      <w:tr>
        <w:trPr>
          <w:trHeight w:val="205"/>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RV</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0"/>
        </w:trPr>
        <w:tc>
          <w:tcPr>
            <w:tcW w:w="2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Marina</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511.4</w:t>
            </w:r>
          </w:p>
        </w:tc>
      </w:tr>
      <w:tr>
        <w:trPr>
          <w:trHeight w:val="223"/>
        </w:trPr>
        <w:tc>
          <w:tcPr>
            <w:tcW w:w="24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954.0</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hanging="172"/>
        <w:spacing w:after="0" w:line="299" w:lineRule="auto"/>
        <w:tabs>
          <w:tab w:leader="none" w:pos="17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three months ended June 30, 2022, we recorded Goodwill of $465.0 million in the MH segment related to the acquisition of Park Holidays. The goodwill recorded was attributed primarily to the acquired platform and assembled workforce value associated with the scale of Park Holidays' existing operations in the United Kingdom.</w:t>
      </w:r>
    </w:p>
    <w:p>
      <w:pPr>
        <w:spacing w:after="0" w:line="3" w:lineRule="exact"/>
        <w:rPr>
          <w:rFonts w:ascii="Times New Roman" w:cs="Times New Roman" w:eastAsia="Times New Roman" w:hAnsi="Times New Roman"/>
          <w:sz w:val="9"/>
          <w:szCs w:val="9"/>
          <w:color w:val="auto"/>
        </w:rPr>
      </w:pPr>
    </w:p>
    <w:p>
      <w:pPr>
        <w:jc w:val="both"/>
        <w:ind w:left="180" w:hanging="172"/>
        <w:spacing w:after="0" w:line="233" w:lineRule="auto"/>
        <w:tabs>
          <w:tab w:leader="none" w:pos="165"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measurement periods for the valuation of assets acquired and liabilities assumed in a business combination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 These purchase accounting adjustments are presented under Other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our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7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Pr>
          <w:p>
            <w:pPr>
              <w:spacing w:after="0"/>
              <w:rPr>
                <w:sz w:val="17"/>
                <w:szCs w:val="17"/>
                <w:color w:val="auto"/>
              </w:rPr>
            </w:pPr>
          </w:p>
        </w:tc>
        <w:tc>
          <w:tcPr>
            <w:tcW w:w="2560" w:type="dxa"/>
            <w:vAlign w:val="bottom"/>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46"/>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r>
      <w:tr>
        <w:trPr>
          <w:trHeight w:val="212"/>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Amortization</w:t>
            </w:r>
          </w:p>
        </w:tc>
      </w:tr>
      <w:tr>
        <w:trPr>
          <w:trHeight w:val="200"/>
        </w:trPr>
        <w:tc>
          <w:tcPr>
            <w:tcW w:w="4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 months - 13 years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5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3 - 15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5 - 17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agreements and other intangible assets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3 - 27 years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94"/>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 finite-lived assets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(158.9)</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(141.8)</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Indefinite-lived assets - Trademarks and trade names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Indefinite-lived assets - Other</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0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indefinite-lived assets</w:t>
            </w:r>
          </w:p>
        </w:tc>
        <w:tc>
          <w:tcPr>
            <w:tcW w:w="1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558.0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(158.9)</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448.6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(141.8)</w:t>
            </w:r>
          </w:p>
        </w:tc>
      </w:tr>
      <w:tr>
        <w:trPr>
          <w:trHeight w:val="21"/>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related to our Other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gridSpan w:val="5"/>
          </w:tcPr>
          <w:p>
            <w:pPr>
              <w:ind w:left="7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40" w:type="dxa"/>
            <w:vAlign w:val="bottom"/>
          </w:tcPr>
          <w:p>
            <w:pPr>
              <w:spacing w:after="0"/>
              <w:rPr>
                <w:sz w:val="17"/>
                <w:szCs w:val="17"/>
                <w:color w:val="auto"/>
              </w:rPr>
            </w:pPr>
          </w:p>
        </w:tc>
        <w:tc>
          <w:tcPr>
            <w:tcW w:w="3160" w:type="dxa"/>
            <w:vAlign w:val="bottom"/>
            <w:gridSpan w:val="4"/>
          </w:tcPr>
          <w:p>
            <w:pPr>
              <w:jc w:val="right"/>
              <w:ind w:right="102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2"/>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 Amortization Expense</w:t>
            </w: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41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r>
      <w:tr>
        <w:trPr>
          <w:trHeight w:val="20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24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5"/>
        </w:trPr>
        <w:tc>
          <w:tcPr>
            <w:tcW w:w="4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0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24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03"/>
        </w:trPr>
        <w:tc>
          <w:tcPr>
            <w:tcW w:w="4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fees and other intangible assets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8"/>
        </w:trPr>
        <w:tc>
          <w:tcPr>
            <w:tcW w:w="424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9.3</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amortization expense for Other intangible assets to be as follows for the next five years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Remainder 2022</w:t>
            </w: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2026</w:t>
            </w:r>
          </w:p>
        </w:tc>
      </w:tr>
      <w:tr>
        <w:trPr>
          <w:trHeight w:val="200"/>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In-place leases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0"/>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0"/>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160"/>
        </w:trPr>
        <w:tc>
          <w:tcPr>
            <w:tcW w:w="2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Franchise agreements and other</w:t>
            </w: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0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0"/>
        </w:trPr>
        <w:tc>
          <w:tcPr>
            <w:tcW w:w="26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18.1</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w:t>
            </w:r>
          </w:p>
        </w:tc>
      </w:tr>
      <w:tr>
        <w:trPr>
          <w:trHeight w:val="21"/>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Nonconsolidated Affiliates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joint ventures that are not consolidated, nor recorded at cost, are accounted for using the equity method of accounting as prescribed in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Investments in nonconsolidated affiliates are recorded within Other assets, net on the Consolidated Balance Sheets. Equity income and loss are recorded in the Income from nonconsolidated affiliates line item on the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RezPlot Systems LLC ("Rezplot")</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At June 30, 2022 and December 31, 2021, we had a 48.9 percent and 49.2 percent ownership interest, respectively, in RezPlot, a RV reservation software technology company, which interest we acquired in January 2019.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Sungenia Joint Venture ("Sungenia JV")</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June 30, 2022 and December 31, 2021, we had a 50.0 percent ownership interest in Sungenia JV, a joint venture formed between us and Ingenia Communities Group in November 2018, to establish and grow a manufactured housing community development program in Australia.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GTSC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"GTSC"</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June 30, 2022 and December 31, 2021, we had a 40.0 percent ownership interest in GTSC, which engages in acquiring, holding and selling loans secured, directly or indirectly, by manufactured homes located in our communities.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Origen Financial Services, LLC ("OFS")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2022 and December 31, 2021, we had no ownership interest and a 22.9 percent ownership interest, respectively, in OFS, an end-to-end online resident screening and document management suite. During the three months ended June 30, 2022, we sold our ownership interest in OFS for $0.6 million. The gain from the sale was $0.3 million, which was recorded within Income from nonconsolidated affiliates on the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 Lift, LLC ("SV Lift")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and December 31, 2021, we had a 50 percent ownership interest in SV Lift, which owns, operates and leases an aircraft.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balance in each nonconsolidated affiliate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6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80" w:type="dxa"/>
            <w:vAlign w:val="bottom"/>
          </w:tcPr>
          <w:p>
            <w:pPr>
              <w:spacing w:after="0"/>
              <w:rPr>
                <w:sz w:val="17"/>
                <w:szCs w:val="17"/>
                <w:color w:val="auto"/>
              </w:rPr>
            </w:pPr>
          </w:p>
        </w:tc>
        <w:tc>
          <w:tcPr>
            <w:tcW w:w="15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RezPlot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in Sungenia JV</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w:t>
            </w:r>
          </w:p>
        </w:tc>
      </w:tr>
      <w:tr>
        <w:trPr>
          <w:trHeight w:val="205"/>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GTSC</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w:t>
            </w:r>
          </w:p>
        </w:tc>
      </w:tr>
      <w:tr>
        <w:trPr>
          <w:trHeight w:val="20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in OFS</w:t>
            </w:r>
          </w:p>
        </w:tc>
        <w:tc>
          <w:tcPr>
            <w:tcW w:w="260" w:type="dxa"/>
            <w:vAlign w:val="bottom"/>
          </w:tcPr>
          <w:p>
            <w:pPr>
              <w:spacing w:after="0"/>
              <w:rPr>
                <w:sz w:val="17"/>
                <w:szCs w:val="17"/>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3"/>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SV Lift</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98"/>
        </w:trPr>
        <w:tc>
          <w:tcPr>
            <w:tcW w:w="75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75.1</w:t>
            </w:r>
          </w:p>
        </w:tc>
      </w:tr>
      <w:tr>
        <w:trPr>
          <w:trHeight w:val="20"/>
        </w:trPr>
        <w:tc>
          <w:tcPr>
            <w:tcW w:w="7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 (loss) from each nonconsolidated affiliate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bottom w:val="single" w:sz="8" w:color="auto"/>
            </w:tcBorders>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340" w:type="dxa"/>
            <w:vAlign w:val="bottom"/>
            <w:tcBorders>
              <w:bottom w:val="single" w:sz="8" w:color="auto"/>
            </w:tcBorders>
          </w:tcPr>
          <w:p>
            <w:pPr>
              <w:spacing w:after="0"/>
              <w:rPr>
                <w:sz w:val="17"/>
                <w:szCs w:val="17"/>
                <w:color w:val="auto"/>
              </w:rPr>
            </w:pPr>
          </w:p>
        </w:tc>
      </w:tr>
      <w:tr>
        <w:trPr>
          <w:trHeight w:val="202"/>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Income / (Loss) from Nonconsolidated Affiliates</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340" w:type="dxa"/>
            <w:vAlign w:val="bottom"/>
          </w:tcPr>
          <w:p>
            <w:pPr>
              <w:spacing w:after="0"/>
              <w:rPr>
                <w:sz w:val="17"/>
                <w:szCs w:val="17"/>
                <w:color w:val="auto"/>
              </w:rPr>
            </w:pPr>
          </w:p>
        </w:tc>
      </w:tr>
      <w:tr>
        <w:trPr>
          <w:trHeight w:val="196"/>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RezPlot equity loss</w:t>
            </w:r>
          </w:p>
        </w:tc>
        <w:tc>
          <w:tcPr>
            <w:tcW w:w="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0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(1.3)</w:t>
            </w:r>
          </w:p>
        </w:tc>
        <w:tc>
          <w:tcPr>
            <w:tcW w:w="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0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(0.5)</w:t>
            </w: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0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(0.9)</w:t>
            </w:r>
          </w:p>
        </w:tc>
      </w:tr>
      <w:tr>
        <w:trPr>
          <w:trHeight w:val="20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Sungenia JV equity income</w:t>
            </w:r>
          </w:p>
        </w:tc>
        <w:tc>
          <w:tcPr>
            <w:tcW w:w="138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0.5</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0.1</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w:t>
            </w:r>
          </w:p>
        </w:tc>
      </w:tr>
      <w:tr>
        <w:trPr>
          <w:trHeight w:val="205"/>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GTSC equity income</w:t>
            </w: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1.7</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1.4</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2.6</w:t>
            </w:r>
          </w:p>
        </w:tc>
      </w:tr>
      <w:tr>
        <w:trPr>
          <w:trHeight w:val="20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OFS equity income</w:t>
            </w:r>
          </w:p>
        </w:tc>
        <w:tc>
          <w:tcPr>
            <w:tcW w:w="138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0.3</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0.1</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w:t>
            </w:r>
          </w:p>
        </w:tc>
      </w:tr>
      <w:tr>
        <w:trPr>
          <w:trHeight w:val="203"/>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SV Lift equity loss</w:t>
            </w:r>
          </w:p>
        </w:tc>
        <w:tc>
          <w:tcPr>
            <w:tcW w:w="13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(0.3)</w:t>
            </w:r>
          </w:p>
        </w:tc>
        <w:tc>
          <w:tcPr>
            <w:tcW w:w="8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(0.3)</w:t>
            </w:r>
          </w:p>
        </w:tc>
        <w:tc>
          <w:tcPr>
            <w:tcW w:w="2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w:t>
            </w:r>
          </w:p>
        </w:tc>
      </w:tr>
      <w:tr>
        <w:trPr>
          <w:trHeight w:val="198"/>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 Income from Nonconsolidated Affiliates</w:t>
            </w:r>
          </w:p>
        </w:tc>
        <w:tc>
          <w:tcPr>
            <w:tcW w:w="1380" w:type="dxa"/>
            <w:vAlign w:val="bottom"/>
            <w:tcBorders>
              <w:bottom w:val="single" w:sz="8" w:color="auto"/>
            </w:tcBorders>
          </w:tcPr>
          <w:p>
            <w:pPr>
              <w:jc w:val="right"/>
              <w:ind w:right="120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0.9</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20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0.8</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108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ind w:right="10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w:t>
            </w: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GTSC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20" w:type="dxa"/>
            <w:vAlign w:val="bottom"/>
          </w:tcPr>
          <w:p>
            <w:pPr>
              <w:spacing w:after="0"/>
              <w:rPr>
                <w:sz w:val="17"/>
                <w:szCs w:val="17"/>
                <w:color w:val="auto"/>
              </w:rPr>
            </w:pPr>
          </w:p>
        </w:tc>
        <w:tc>
          <w:tcPr>
            <w:tcW w:w="18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64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840" w:type="dxa"/>
            <w:vAlign w:val="bottom"/>
            <w:shd w:val="clear" w:color="auto" w:fill="CCEEFF"/>
          </w:tcPr>
          <w:p>
            <w:pPr>
              <w:jc w:val="right"/>
              <w:ind w:right="166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r>
      <w:tr>
        <w:trPr>
          <w:trHeight w:val="200"/>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Contributions</w:t>
            </w:r>
          </w:p>
        </w:tc>
        <w:tc>
          <w:tcPr>
            <w:tcW w:w="1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w:t>
            </w:r>
          </w:p>
        </w:tc>
      </w:tr>
      <w:tr>
        <w:trPr>
          <w:trHeight w:val="20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r>
      <w:tr>
        <w:trPr>
          <w:trHeight w:val="200"/>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earnings</w:t>
            </w:r>
          </w:p>
        </w:tc>
        <w:tc>
          <w:tcPr>
            <w:tcW w:w="1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adjustment</w:t>
            </w:r>
          </w:p>
        </w:tc>
        <w:tc>
          <w:tcPr>
            <w:tcW w:w="1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198"/>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840" w:type="dxa"/>
            <w:vAlign w:val="bottom"/>
            <w:tcBorders>
              <w:bottom w:val="single" w:sz="8" w:color="auto"/>
            </w:tcBorders>
          </w:tcPr>
          <w:p>
            <w:pPr>
              <w:jc w:val="right"/>
              <w:ind w:right="166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w:t>
            </w:r>
          </w:p>
        </w:tc>
      </w:tr>
      <w:tr>
        <w:trPr>
          <w:trHeight w:val="21"/>
        </w:trPr>
        <w:tc>
          <w:tcPr>
            <w:tcW w:w="64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Sungenia JV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20" w:type="dxa"/>
            <w:vAlign w:val="bottom"/>
          </w:tcPr>
          <w:p>
            <w:pPr>
              <w:spacing w:after="0"/>
              <w:rPr>
                <w:sz w:val="17"/>
                <w:szCs w:val="17"/>
                <w:color w:val="auto"/>
              </w:rPr>
            </w:pPr>
          </w:p>
        </w:tc>
        <w:tc>
          <w:tcPr>
            <w:tcW w:w="186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642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860" w:type="dxa"/>
            <w:vAlign w:val="bottom"/>
            <w:shd w:val="clear" w:color="auto" w:fill="CCEEFF"/>
          </w:tcPr>
          <w:p>
            <w:pPr>
              <w:jc w:val="right"/>
              <w:ind w:right="1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w:t>
            </w:r>
          </w:p>
        </w:tc>
      </w:tr>
      <w:tr>
        <w:trPr>
          <w:trHeight w:val="200"/>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Cumulative translation adjustment</w:t>
            </w:r>
          </w:p>
        </w:tc>
        <w:tc>
          <w:tcPr>
            <w:tcW w:w="1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Contributions</w:t>
            </w:r>
          </w:p>
        </w:tc>
        <w:tc>
          <w:tcPr>
            <w:tcW w:w="1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Equity earnings</w:t>
            </w:r>
          </w:p>
        </w:tc>
        <w:tc>
          <w:tcPr>
            <w:tcW w:w="1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23"/>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860" w:type="dxa"/>
            <w:vAlign w:val="bottom"/>
            <w:tcBorders>
              <w:bottom w:val="single" w:sz="8" w:color="auto"/>
            </w:tcBorders>
            <w:shd w:val="clear" w:color="auto" w:fill="CCEEFF"/>
          </w:tcPr>
          <w:p>
            <w:pPr>
              <w:jc w:val="right"/>
              <w:ind w:right="1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Consolidated Variable Interest Entities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Operating Partnership</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the Operating Partnership under the guidance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evaluated whether the Operating Partnership met the criteria for classification as a variable interest entity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Consolidated VIEs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Sun NG RV Resorts LLC ("Sun NG Resorts"); Sun NG Whitewater RV Resorts LLC; FPG Sun Menifee 80 LLC, SHM South Fork JV, LLC; Sun Solar Energy Project LLC, Sun Solar Energy Project CA II, and FPG Sun Moreno Valley 66 LLC under the guidance set forth in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concluded that each entity is a VIE where we are the primary beneficiary, as we have the power to direct the significant activities of and absorb the significant losses and receive the significant benefits from each entity. Refer to Note 8, "Debt and Line of Credit," for additional information on Sun NG Resorts.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we acquired the noncontrolling equity interest held by third parties in Rudgate Village SPE LLC, Rudgate Clinton SPE LLC and Rudgate Clinton Estates, LLC (collectively, "Rudgate"), an MH community, which resulted in the Company owning a 100 percent ownership interest in Rudgate. We concluded that Rudgate was no longer a VIE. Refer to Note 9, "Equity and Temporary Equity,"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of our consolidated VIEs, with the exception of the Operating Partnership, included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after eliminations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8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00"/>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property, net</w:t>
            </w:r>
          </w:p>
        </w:tc>
        <w:tc>
          <w:tcPr>
            <w:tcW w:w="1420" w:type="dxa"/>
            <w:vAlign w:val="bottom"/>
          </w:tcPr>
          <w:p>
            <w:pPr>
              <w:jc w:val="right"/>
              <w:ind w:right="124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673.6</w:t>
            </w:r>
          </w:p>
        </w:tc>
        <w:tc>
          <w:tcPr>
            <w:tcW w:w="2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623.5</w:t>
            </w:r>
          </w:p>
        </w:tc>
      </w:tr>
      <w:tr>
        <w:trPr>
          <w:trHeight w:val="20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200"/>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14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14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198"/>
        </w:trPr>
        <w:tc>
          <w:tcPr>
            <w:tcW w:w="72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20" w:type="dxa"/>
            <w:vAlign w:val="bottom"/>
            <w:tcBorders>
              <w:bottom w:val="single" w:sz="8" w:color="auto"/>
            </w:tcBorders>
          </w:tcPr>
          <w:p>
            <w:pPr>
              <w:jc w:val="right"/>
              <w:ind w:right="124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716.4</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655.8</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02"/>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Other Equity</w:t>
            </w: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Secured debt</w:t>
            </w:r>
          </w:p>
        </w:tc>
        <w:tc>
          <w:tcPr>
            <w:tcW w:w="1420" w:type="dxa"/>
            <w:vAlign w:val="bottom"/>
            <w:shd w:val="clear" w:color="auto" w:fill="CCEEFF"/>
          </w:tcPr>
          <w:p>
            <w:pPr>
              <w:jc w:val="right"/>
              <w:ind w:right="124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r>
      <w:tr>
        <w:trPr>
          <w:trHeight w:val="200"/>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Unsecured debt</w:t>
            </w:r>
          </w:p>
        </w:tc>
        <w:tc>
          <w:tcPr>
            <w:tcW w:w="14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20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14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w:t>
            </w:r>
          </w:p>
        </w:tc>
      </w:tr>
      <w:tr>
        <w:trPr>
          <w:trHeight w:val="194"/>
        </w:trPr>
        <w:tc>
          <w:tcPr>
            <w:tcW w:w="72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181.8</w:t>
            </w:r>
          </w:p>
        </w:tc>
      </w:tr>
      <w:tr>
        <w:trPr>
          <w:trHeight w:val="20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Temporary equity</w:t>
            </w: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r>
      <w:tr>
        <w:trPr>
          <w:trHeight w:val="20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w:t>
            </w:r>
          </w:p>
        </w:tc>
      </w:tr>
      <w:tr>
        <w:trPr>
          <w:trHeight w:val="22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Other Equity</w:t>
            </w:r>
          </w:p>
        </w:tc>
        <w:tc>
          <w:tcPr>
            <w:tcW w:w="1420" w:type="dxa"/>
            <w:vAlign w:val="bottom"/>
            <w:tcBorders>
              <w:bottom w:val="single" w:sz="8" w:color="auto"/>
            </w:tcBorders>
            <w:shd w:val="clear" w:color="auto" w:fill="CCEEFF"/>
          </w:tcPr>
          <w:p>
            <w:pPr>
              <w:jc w:val="right"/>
              <w:ind w:right="124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assets related to the consolidated VIEs, with the exception of the Operating Partnership, comprised 4.4 percent and 4.9 percent of our consolidated total assets at June 30, 2022 and December 31, 2021, respectively. Total liabilities comprised 1.4 percent and 2.8 percent of our consolidated total liabilities at June 30, 2022 and December 31, 2021, respectively. Equity Interests and Noncontrolling interests related to the consolidated VIEs, on an absolute basis, comprised less than 1.0 percent of our consolidated total equity at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and Line of Credit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debt including premiums, discounts and deferred financing costs (in millions, except for statistical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4"/>
          </w:tcPr>
          <w:p>
            <w:pPr>
              <w:ind w:left="62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2680" w:type="dxa"/>
            <w:vAlign w:val="bottom"/>
            <w:gridSpan w:val="3"/>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6"/>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200" w:type="dxa"/>
            <w:vAlign w:val="bottom"/>
          </w:tcPr>
          <w:p>
            <w:pPr>
              <w:spacing w:after="0"/>
              <w:rPr>
                <w:sz w:val="17"/>
                <w:szCs w:val="17"/>
                <w:color w:val="auto"/>
              </w:rPr>
            </w:pPr>
          </w:p>
        </w:tc>
        <w:tc>
          <w:tcPr>
            <w:tcW w:w="2620" w:type="dxa"/>
            <w:vAlign w:val="bottom"/>
            <w:gridSpan w:val="4"/>
          </w:tcPr>
          <w:p>
            <w:pPr>
              <w:ind w:left="640"/>
              <w:spacing w:after="0"/>
              <w:rPr>
                <w:sz w:val="20"/>
                <w:szCs w:val="20"/>
                <w:color w:val="auto"/>
              </w:rPr>
            </w:pPr>
            <w:r>
              <w:rPr>
                <w:rFonts w:ascii="Times New Roman" w:cs="Times New Roman" w:eastAsia="Times New Roman" w:hAnsi="Times New Roman"/>
                <w:sz w:val="15"/>
                <w:szCs w:val="15"/>
                <w:b w:val="1"/>
                <w:bCs w:val="1"/>
                <w:color w:val="auto"/>
              </w:rPr>
              <w:t>Years to Maturity</w:t>
            </w:r>
          </w:p>
        </w:tc>
        <w:tc>
          <w:tcPr>
            <w:tcW w:w="2680" w:type="dxa"/>
            <w:vAlign w:val="bottom"/>
            <w:gridSpan w:val="3"/>
          </w:tcPr>
          <w:p>
            <w:pPr>
              <w:jc w:val="right"/>
              <w:ind w:right="804"/>
              <w:spacing w:after="0"/>
              <w:rPr>
                <w:sz w:val="20"/>
                <w:szCs w:val="20"/>
                <w:color w:val="auto"/>
              </w:rPr>
            </w:pPr>
            <w:r>
              <w:rPr>
                <w:rFonts w:ascii="Times New Roman" w:cs="Times New Roman" w:eastAsia="Times New Roman" w:hAnsi="Times New Roman"/>
                <w:sz w:val="15"/>
                <w:szCs w:val="15"/>
                <w:b w:val="1"/>
                <w:bCs w:val="1"/>
                <w:color w:val="auto"/>
              </w:rPr>
              <w:t>Interest Rates</w:t>
            </w:r>
          </w:p>
        </w:tc>
      </w:tr>
      <w:tr>
        <w:trPr>
          <w:trHeight w:val="152"/>
        </w:trPr>
        <w:tc>
          <w:tcPr>
            <w:tcW w:w="3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64"/>
              <w:spacing w:after="0" w:line="15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64"/>
              <w:spacing w:after="0" w:line="15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206"/>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18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3,380.7</w:t>
            </w: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3.776 %</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3.779 %</w:t>
            </w:r>
          </w:p>
        </w:tc>
      </w:tr>
      <w:tr>
        <w:trPr>
          <w:trHeight w:val="200"/>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Unsecured Debt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Senior unsecured notes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3.099 %</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2.55 %</w:t>
            </w: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Line of credit and other debt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1,034.8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2.763 %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0.978 %</w:t>
            </w:r>
          </w:p>
        </w:tc>
      </w:tr>
      <w:tr>
        <w:trPr>
          <w:trHeight w:val="160"/>
        </w:trPr>
        <w:tc>
          <w:tcPr>
            <w:tcW w:w="3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Preferred equity - Sun NG Resorts - mandatorily</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redeemable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r>
      <w:tr>
        <w:trPr>
          <w:trHeight w:val="200"/>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Preferred OP units - mandatorily redeemable</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5.932 %</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5.932 %</w:t>
            </w:r>
          </w:p>
        </w:tc>
      </w:tr>
      <w:tr>
        <w:trPr>
          <w:trHeight w:val="196"/>
        </w:trPr>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Unsecured Debt</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3,595.2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2,291.1</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8"/>
        </w:trPr>
        <w:tc>
          <w:tcPr>
            <w:tcW w:w="33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6,930.9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5,671.8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3.369 %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3.038 %</w:t>
            </w:r>
          </w:p>
        </w:tc>
      </w:tr>
      <w:tr>
        <w:trPr>
          <w:trHeight w:val="21"/>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Debt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Secured debt consists of mortgage term loans. During the six months ended June 30, 2022 and the year ended December 31, 2021, we paid off the following mortgage term loans during the quarters presented below (in millions, except for statistical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Loss on</w:t>
            </w:r>
          </w:p>
        </w:tc>
      </w:tr>
      <w:tr>
        <w:trPr>
          <w:trHeight w:val="148"/>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5"/>
                <w:szCs w:val="15"/>
                <w:b w:val="1"/>
                <w:bCs w:val="1"/>
                <w:color w:val="auto"/>
              </w:rPr>
              <w:t>Extinguishment of</w:t>
            </w:r>
          </w:p>
        </w:tc>
      </w:tr>
      <w:tr>
        <w:trPr>
          <w:trHeight w:val="212"/>
        </w:trPr>
        <w:tc>
          <w:tcPr>
            <w:tcW w:w="4700" w:type="dxa"/>
            <w:vAlign w:val="bottom"/>
            <w:gridSpan w:val="2"/>
          </w:tcPr>
          <w:p>
            <w:pPr>
              <w:ind w:left="204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Repayment Amount</w:t>
            </w: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Fixed Interest Rate</w:t>
            </w: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20" w:type="dxa"/>
            <w:vAlign w:val="bottom"/>
          </w:tcPr>
          <w:p>
            <w:pPr>
              <w:spacing w:after="0"/>
              <w:rPr>
                <w:sz w:val="18"/>
                <w:szCs w:val="18"/>
                <w:color w:val="auto"/>
              </w:rPr>
            </w:pPr>
          </w:p>
        </w:tc>
        <w:tc>
          <w:tcPr>
            <w:tcW w:w="134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7"/>
              </w:rPr>
              <w:t>Debt</w:t>
            </w:r>
          </w:p>
        </w:tc>
      </w:tr>
      <w:tr>
        <w:trPr>
          <w:trHeight w:val="200"/>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June 30, 2022</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2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3.89 %</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October 1,</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2022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December 31, 2021</w:t>
            </w:r>
          </w:p>
        </w:tc>
        <w:tc>
          <w:tcPr>
            <w:tcW w:w="58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February 1,</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2022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w:t>
            </w:r>
          </w:p>
        </w:tc>
      </w:tr>
    </w:tbl>
    <w:p>
      <w:pPr>
        <w:spacing w:after="0" w:line="59"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two mortgage term loans which matured on February 1, 2022.</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and year ended December 31, 2021, we did not enter into any new mortgage term loans. The mortgage term loans, which total $3.3 billion as of June 30, 2022, are secured by 189 properties comprised of 74,682 sites representing approximately $3.1 billion of net book value.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2022, the Operating Partnership issued $600.0 million of senior unsecured notes with an interest rate of 4.2 percent and a 10-year term, due April 15, 2032 (the "2032 Notes"). Interest on the 2032 Notes is payable semi-annually in arrears on April 15 and October 15 of each year, beginning on October 15, 2022. The net proceeds from the offering were $592.3 million after deducting underwriters' discounts and estimated offering expenses. We used the net proceeds from the offering to repay borrowings outstanding under our Senior Credit Facility (as defined below).</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Operating Partnership issued $450.0 million of senior unsecured notes with an interest rate of 2.3 percent and a seven-year term, due November 1, 2028 (the "2028 Notes"). Interest on the 2028 Notes is payable semi-annually in arrears on May 1 and November 1 of each year, beginning on May 1, 2022. The Operating Partnership also issued an additional $150.0 million of its 2031 Notes (as defined below). The net proceeds from both offerings were approximately $595.5 million after deducting underwriters' discounts and estimated offering expenses. The proceeds were used to pay down borrowings under our Senior Credit Facility.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2021, the Operating Partnership issued $600.0 million of senior unsecured notes with an interest rate of 2.7 percent and a ten-year term, due July 15, 2031 (the "2031 Notes"). Interest on the 2031 Notes is payable semi-annually in arrears on January 15 and July 15 of each year, beginning on January 15, 2022. The net proceeds from the offering were approximately $592.4 million, after deducting underwriters' discounts and estimated offering expenses. The proceeds were used to pay down borrowings under our Senior Credit Facility.</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outstanding principal balance of senior unsecured notes was $1.8 billion at June 30, 2022. This balance is recorded in the Unsecured debt line item on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in connection with the closing of the Park Holidays acquisition, the Operating Partnership as borrower, and SUI, as guarantor, and certain lenders entered into Amendment No. 1 to the Fourth Amended and Restated Credit Agreement and Other Loan Documents (the "Credit Facility Amendment"), which amended our senior credit facility (the "Senior Credit Facility").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w:t>
      </w:r>
    </w:p>
    <w:p>
      <w:pPr>
        <w:jc w:val="both"/>
        <w:ind w:firstLine="8"/>
        <w:spacing w:after="0" w:line="253" w:lineRule="auto"/>
        <w:tabs>
          <w:tab w:leader="none" w:pos="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in an amount up to $3.05 billion and (b) a term loan facility of $1.15 billion, with the ability to draw funds from the combined facilities in U.S. dollars, Pounds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Credit Facility Amendment, the Senior Credit Facility permitted aggregate borrowings of up to $2.0 billion, with an accordion feature that allowed for additional commitments of up to $1.0 billion, subject to the satisfaction of certain conditions. Prior to the amendment, $500.0 million of available borrowings under the Senior Credit Facility were scheduled to mature on October 11, 2024, with the remainder scheduled to mature on June 14, 2025. During the three months ended June 30, 2022 and 2021, we recognized losses on extinguishment of debt in our Consolidated Statements of Operations of $0.1 million related to the amendment of the Senior Credit Facility, and $0.2 million and $7.9 million, related to the termination of our $750.0 million credit facility and the $1.8 billion credit facility between Safe Harbor and certain lenders, respectively.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Credit Facility bears interest at a floating rate based on Adjusted Term Secured Overnight Financing Rate ("SOFR"), the Adjusted Eurocurrency Rate, the Daily Risk Free Rate ("RFR"), the Australian Bank Bill Swap Bid Rate ("BBSY"), the Daily Sterling Overnight Index Average ("SONIA") Rate or the Canadian Dollar Offered Rate, as applicable, plus, in all cases, a margin, which can range from 0.725 percent to 1.6 percent, subject to certain adjustments. As of June 30, 2022, the margins based on our credit ratings were 0.85 percent on the revolving loan facility and 0.95 percent on the term loan facility.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lenders' option, the Senior Credit Facility will become immediately due and payable upon an event of default under the Credit Facility Amendment. We had $662.0 million of borrowings outstanding under the revolving loan and $1.1 billion of borrowings outstanding under the term loan on the Senior Credit Facility as of June 30, 2022. We had $1.0 billion of revolving borrowings on our prior Senior Credit Facility as of December 31, 2021. These balances are recorded in Unsecured debt on the Consolidated Balance Sheets.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$2.8 million and $2.2 million of outstanding letters of credit at June 30, 2022 and December 31, 2021,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Loan Termination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we terminated our commitment letter with Citigroup Global Markets, Inc. ("Citigroup"), pursuant to which Citigroup (on behalf of its affiliates) previously committed to lend us up to £950.0 million, or approximately $1.2 billion converted at the March 31, 2022 exchange rate (the "Bridge Loan"). As of the date of termination, we did not have any borrowings outstanding under the Bridge Loan. During the three months ended March 31, 2022, we recognized a Loss on extinguishment of debt in our Consolidated Statement of Operations of $0.3 million related to the termination of the Bridge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Term Loan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2019, we assumed a $58.0 million secured term loan facility related to an acquisition. The term loan has a four-year term ending October 29, 2023, and bears interest at a floating rate based on the Eurodollar rate or Prime rate plus a margin ranging from 1.20 percent to 2.05 percent. Effective July 1, 2021, the agreement was amended to release the associated collateral. The amendment extended the term loan facility maturity date to October 29, 2025 and adjusted the interest rate margin to a range from 0.8 percent to 1.6 percent. As of June 30, 2022, the margin was 0.95 percent. The outstanding balance was $24.6 million at June 30, 2022 and $31.6 million at December 31, 2021. These balances are recorded in Unsecured debt and Secured debt on the Consolidated Balance Sheets,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Equity - Sun NG Resorts - Mandatorily Redeemable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investment in Sun NG Resorts in June 2018,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ending June 1, 2025 and can be redeemed in the fourth quarter of 2024 at the holders' option. The Preferred Equity - Sun NG Resorts as of June 30, 2022 was $35.2 million. This balance is recorded within the Unsecured debt line item on the Consolidated Balance Sheets. Refer to Note 7, "Consolidated Variable Interest Entities," for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OP Units - Mandatorily Redeemable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Preferred OP units at June 30, 2022 and December 31, 2021 include $34.7 million of Aspen preferred OP units issued by the Operating Partnership. As of June 30, 2022, these units are convertible indirectly into 402,003 shares of our common stock.</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2020, we amended the Operating Partnership's partnership agreement.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ten-day average closing price is greater than $68.00 per share, the number of common OP units is determined by dividing (i) the sum of (A) $27.00 plus (B) 25.0 percent of the amount by which the ten-day average closing price exceeds $68.00 per share, by (ii) the ten-day average closing price. The current preferred distribution rate is 3.8 percent on the Extended Units and 6.5 percent on all other Aspen preferred OP units. On January 2, 2024 (or January 2, 2034 with respect to the Extended Units), we are required to redeem for cash all Aspen preferred OP units that have not been converted to common OP units. As of June 30, 2022, 270,000 of the Extended Units and 1,013,819 other Aspen preferred units were outstanding. These balances are recorded within the Unsecured debt line item on the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mortgage term loans, senior unsecured notes and Senior Credit Facility are subject to various financial and other covenants. The most restrictive covenants are pursuant to (a) the terms of the Senior Credit Facility, which contains a minimum fixed charge coverage ratio, maximum leverage ratio, distribution ratio and variable rate indebtedness, and (b) the terms of the senior unsecured notes, which contain a total debt to total assets ratio, secured debt to total assets ratio, consolidated income available for debt service to debt service ratio and unencumbered total asset value to unsecured debt covenants ratio. At June 30, 2022, we were in compliance with all covenants.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and any of our other subsidiaries or any other person or entity.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and Temporary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Preferred OP Units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Temporary equity includes preferred securities that are redeemable for cash at the holder's option or upon the occurrence of an event that is not solely within our control based on a fixed or determinable price. These securities are not mandatorily redeemable for cash nor do they contain a fixed maturity date. The following table sets forth the various series of redeemable preferred OP units that were outstanding as of June 30, 2022 and the related terms, and summarizes the balance included on our Consolidated Balance Sheets (in millions, except for statistical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restart"/>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OP Units</w:t>
            </w:r>
          </w:p>
        </w:tc>
        <w:tc>
          <w:tcPr>
            <w:tcW w:w="80" w:type="dxa"/>
            <w:vAlign w:val="bottom"/>
          </w:tcPr>
          <w:p>
            <w:pPr>
              <w:spacing w:after="0"/>
              <w:rPr>
                <w:sz w:val="15"/>
                <w:szCs w:val="15"/>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Exchange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2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Cash</w:t>
            </w: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56"/>
        </w:trPr>
        <w:tc>
          <w:tcPr>
            <w:tcW w:w="20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4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Distribution</w:t>
            </w:r>
          </w:p>
        </w:tc>
        <w:tc>
          <w:tcPr>
            <w:tcW w:w="1260" w:type="dxa"/>
            <w:vAlign w:val="bottom"/>
            <w:gridSpan w:val="2"/>
            <w:vMerge w:val="continue"/>
          </w:tcPr>
          <w:p>
            <w:pPr>
              <w:spacing w:after="0"/>
              <w:rPr>
                <w:sz w:val="13"/>
                <w:szCs w:val="13"/>
                <w:color w:val="auto"/>
              </w:rPr>
            </w:pPr>
          </w:p>
        </w:tc>
        <w:tc>
          <w:tcPr>
            <w:tcW w:w="23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5"/>
                <w:szCs w:val="15"/>
                <w:b w:val="1"/>
                <w:bCs w:val="1"/>
                <w:color w:val="auto"/>
              </w:rPr>
              <w:t>Redemption Period</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60" w:type="dxa"/>
            <w:vAlign w:val="bottom"/>
            <w:gridSpan w:val="2"/>
            <w:vMerge w:val="continue"/>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color w:val="auto"/>
                <w:w w:val="93"/>
                <w:vertAlign w:val="superscript"/>
              </w:rPr>
              <w:t>(1)</w:t>
            </w:r>
          </w:p>
        </w:tc>
        <w:tc>
          <w:tcPr>
            <w:tcW w:w="124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5"/>
                <w:szCs w:val="15"/>
                <w:b w:val="1"/>
                <w:bCs w:val="1"/>
                <w:color w:val="auto"/>
                <w:w w:val="98"/>
              </w:rPr>
              <w:t>Rate</w:t>
            </w:r>
            <w:r>
              <w:rPr>
                <w:rFonts w:ascii="Times New Roman" w:cs="Times New Roman" w:eastAsia="Times New Roman" w:hAnsi="Times New Roman"/>
                <w:sz w:val="19"/>
                <w:szCs w:val="19"/>
                <w:color w:val="auto"/>
                <w:w w:val="98"/>
                <w:vertAlign w:val="superscript"/>
              </w:rPr>
              <w:t>(2)</w:t>
            </w:r>
          </w:p>
        </w:tc>
        <w:tc>
          <w:tcPr>
            <w:tcW w:w="126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5"/>
                <w:szCs w:val="15"/>
                <w:b w:val="1"/>
                <w:bCs w:val="1"/>
                <w:color w:val="auto"/>
              </w:rPr>
              <w:t>Redemption</w:t>
            </w:r>
            <w:r>
              <w:rPr>
                <w:rFonts w:ascii="Times New Roman" w:cs="Times New Roman" w:eastAsia="Times New Roman" w:hAnsi="Times New Roman"/>
                <w:sz w:val="19"/>
                <w:szCs w:val="19"/>
                <w:color w:val="auto"/>
                <w:vertAlign w:val="superscript"/>
              </w:rPr>
              <w:t>(3)</w:t>
            </w:r>
          </w:p>
        </w:tc>
        <w:tc>
          <w:tcPr>
            <w:tcW w:w="234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152"/>
        </w:trPr>
        <w:tc>
          <w:tcPr>
            <w:tcW w:w="1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6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Any time after earlier of January 31,</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D preferred OP units</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488,958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0.8000</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 or death of holder</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Any time after earlier of May 14,</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F preferred OP units</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0.6250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2025 or death of holder</w:t>
            </w:r>
          </w:p>
        </w:tc>
        <w:tc>
          <w:tcPr>
            <w:tcW w:w="36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Any time after earlier of September</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240,710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0.6452</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3.2 %</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30, 2025 or death of holder</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Any time after earlier of October</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581,407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30, 2025 or death of holder</w:t>
            </w:r>
          </w:p>
        </w:tc>
        <w:tc>
          <w:tcPr>
            <w:tcW w:w="36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Any time after earlier of December</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I preferred OP units</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922,000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31, 2025 or death of holder</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w:t>
            </w: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During the 30-day period following</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106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240,000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0.6061</w:t>
            </w:r>
          </w:p>
        </w:tc>
        <w:tc>
          <w:tcPr>
            <w:tcW w:w="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2.85 %</w:t>
            </w:r>
          </w:p>
        </w:tc>
        <w:tc>
          <w:tcPr>
            <w:tcW w:w="8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3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a change of control of the Company</w:t>
            </w:r>
          </w:p>
        </w:tc>
        <w:tc>
          <w:tcPr>
            <w:tcW w:w="360" w:type="dxa"/>
            <w:vAlign w:val="bottom"/>
          </w:tcPr>
          <w:p>
            <w:pPr>
              <w:spacing w:after="0"/>
              <w:rPr>
                <w:sz w:val="13"/>
                <w:szCs w:val="13"/>
                <w:color w:val="auto"/>
              </w:rPr>
            </w:pPr>
          </w:p>
        </w:tc>
        <w:tc>
          <w:tcPr>
            <w:tcW w:w="68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23.7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0" w:type="dxa"/>
            <w:vAlign w:val="bottom"/>
          </w:tcPr>
          <w:p>
            <w:pPr>
              <w:spacing w:after="0"/>
              <w:rPr>
                <w:sz w:val="1"/>
                <w:szCs w:val="1"/>
                <w:color w:val="auto"/>
              </w:rPr>
            </w:pPr>
          </w:p>
        </w:tc>
      </w:tr>
      <w:tr>
        <w:trPr>
          <w:trHeight w:val="200"/>
        </w:trPr>
        <w:tc>
          <w:tcPr>
            <w:tcW w:w="2060" w:type="dxa"/>
            <w:vAlign w:val="bottom"/>
            <w:tcBorders>
              <w:bottom w:val="single" w:sz="8" w:color="CCEEFF"/>
            </w:tcBorders>
            <w:gridSpan w:val="2"/>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gridSpan w:val="2"/>
            <w:vMerge w:val="continue"/>
          </w:tcPr>
          <w:p>
            <w:pPr>
              <w:spacing w:after="0"/>
              <w:rPr>
                <w:sz w:val="17"/>
                <w:szCs w:val="17"/>
                <w:color w:val="auto"/>
              </w:rPr>
            </w:pPr>
          </w:p>
        </w:tc>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or any time after April 21, 2026</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2,563,075</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257.6</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Exchange rates are subject to adjustment upon stock splits, recapitalizations and similar events. The exchange rates of certain series of OP units are approximated to four decimal places.</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27" w:lineRule="auto"/>
        <w:tabs>
          <w:tab w:leader="none" w:pos="14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Distributions are payable on the issue price of each OP unit which is $100.00 per unit for all these preferred OP units.</w:t>
      </w:r>
    </w:p>
    <w:p>
      <w:pPr>
        <w:spacing w:after="0" w:line="44" w:lineRule="exact"/>
        <w:rPr>
          <w:rFonts w:ascii="Times New Roman" w:cs="Times New Roman" w:eastAsia="Times New Roman" w:hAnsi="Times New Roman"/>
          <w:sz w:val="16"/>
          <w:szCs w:val="16"/>
          <w:color w:val="auto"/>
          <w:vertAlign w:val="superscript"/>
        </w:rPr>
      </w:pPr>
    </w:p>
    <w:p>
      <w:pPr>
        <w:ind w:left="140" w:hanging="132"/>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redemption price for each preferred OP unit redeemed will be equal to its issue price plus all accrued but unpaid distributions.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Equity Interests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redeemable equity interests included in Temporary Equity on our Consolidated Balance Sheets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Equity Interest</w:t>
            </w:r>
          </w:p>
        </w:tc>
        <w:tc>
          <w:tcPr>
            <w:tcW w:w="6040" w:type="dxa"/>
            <w:vAlign w:val="bottom"/>
            <w:gridSpan w:val="2"/>
          </w:tcPr>
          <w:p>
            <w:pPr>
              <w:ind w:left="26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8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40" w:type="dxa"/>
            <w:vAlign w:val="bottom"/>
          </w:tcPr>
          <w:p>
            <w:pPr>
              <w:spacing w:after="0"/>
              <w:rPr>
                <w:sz w:val="17"/>
                <w:szCs w:val="17"/>
                <w:color w:val="auto"/>
              </w:rPr>
            </w:pPr>
          </w:p>
        </w:tc>
        <w:tc>
          <w:tcPr>
            <w:tcW w:w="14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56"/>
        </w:trPr>
        <w:tc>
          <w:tcPr>
            <w:tcW w:w="206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FPG Sun Moreno Valley 66</w:t>
            </w:r>
          </w:p>
        </w:tc>
        <w:tc>
          <w:tcPr>
            <w:tcW w:w="80" w:type="dxa"/>
            <w:vAlign w:val="bottom"/>
            <w:tcBorders>
              <w:top w:val="single" w:sz="8" w:color="CCEEFF"/>
            </w:tcBorders>
            <w:shd w:val="clear" w:color="auto" w:fill="CCEEFF"/>
          </w:tcPr>
          <w:p>
            <w:pPr>
              <w:spacing w:after="0"/>
              <w:rPr>
                <w:sz w:val="13"/>
                <w:szCs w:val="13"/>
                <w:color w:val="auto"/>
              </w:rPr>
            </w:pPr>
          </w:p>
        </w:tc>
        <w:tc>
          <w:tcPr>
            <w:tcW w:w="596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In connection with the investment in land for future development in the city of Moreno Valley,</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r>
      <w:tr>
        <w:trPr>
          <w:trHeight w:val="20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California, at the property known as FPG Sun Moreno Valley 66 LLC</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58"/>
        </w:trPr>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California</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2"/>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 Solar Energy Project CA II</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communities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162"/>
        </w:trPr>
        <w:tc>
          <w:tcPr>
            <w:tcW w:w="2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California</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0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Solar JV</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communities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58"/>
        </w:trPr>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In connection with the investment in land for future development in the city of Menifee in</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2"/>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FPG Sun Menifee 80 LLC</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California, at the property known as FPG Sun Menifee 80 LLC</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7"/>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NG Sun Whitewater LLC</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 connection with the investment in land at the property known as Whitewater</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58"/>
        </w:trPr>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In connection with the investment in Sun NG Resorts, a joint venture that operates a portfolio of</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2"/>
        </w:trPr>
        <w:tc>
          <w:tcPr>
            <w:tcW w:w="2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NG Sun LLC</w:t>
            </w:r>
          </w:p>
        </w:tc>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RV resorts in the United States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225"/>
        </w:trPr>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5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Equity Interest - NG Sun LLC </w:t>
      </w:r>
      <w:r>
        <w:rPr>
          <w:rFonts w:ascii="Times New Roman" w:cs="Times New Roman" w:eastAsia="Times New Roman" w:hAnsi="Times New Roman"/>
          <w:sz w:val="18"/>
          <w:szCs w:val="18"/>
          <w:color w:val="auto"/>
        </w:rPr>
        <w:t>- In June 2018, in connection with the investment in Sun NG Resorts, unrelated third parties purchased $6.5 million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preferred equity interests and $15.4 million of common equity interests in Sun NG Resorts (herein jointly referred to as "Equity Interest - NG Sun LLC"). In April and September 2020, in connection with certain acquisitions, $3.0 million of Series B preferred equity interests were converted to common equity interests. The Series B preferred equity interests carry a preferred return at a rate that, at any time, is equal to the interest rate on Sun NG Resorts' indebtedness at such time. The current rate of return is 5.0 percent. The Equity Interest - NG Sun LLC does not have a fixed maturity date and can be redeemed in the fourth quarters of 2024, 2025 or 2026 at the holders' option. Sun NG LLC, our subsidiary, has the right during certain periods each year, with or without cause, or for cause at any time, to elect to buy NG Sun LLC's interest. During a limited period in 2024, NG Sun LLC has the right to put its interest to Sun NG LLC. If either party exercises its option, the property management agreement will be terminated, and we are required to purchase the remaining interests of NG Sun LLC and the property management agreement at fair value. In December 2021, the operating agreement was amended and we paid Sun NG Resorts a contingent consideration earnout in the amount of $38.3 million. The contingent consideration payment was recognized as an additional purchase price payment within Land improvements and buildings in the Consolidated Balance Sheets, and within Acquisition of properties, net of cash acquired in the Consolidated Statement of Cash Flows. The Equity Interest - NG Sun LLC balance was $28.9 million and $24.7 million as of June 30, 2022 and December 31, 2021, respectively. Refer to Note 7, "Consolidated Variable Interest Entities," and Note 8, "Debt and Line of Credit," for additional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Universal Shelf Registration Statement</w:t>
      </w:r>
    </w:p>
    <w:p>
      <w:pPr>
        <w:spacing w:after="0" w:line="2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April 2021, we filed a new universal shelf registration statement on Form S-3 with the SEC. The shelf registration statement was deemed automatically effective and provides for the registration of unspecified amounts of equity and debt securities. We have the authority to issue 200,000,000 shares of capital stock, of which 180,000,000 shares are common stock and 20,000,000 are shares of preferred stock, par value $0.01 per share. As of June 30, 2022, we had 121,644,228 shares of common stock issued and outstanding and no shares of preferred stock were issued and outstanding.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Equity Offerings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two forward sale agreements relating to an underwritten registered public offering of 4,025,000 shares of our common stock at a public offering price of $185.00 per share and completed the offering on November 18, 2021 (the "November 2021 Forward Sale Agreements"). We did not initially receive any proceeds from the sale of shares of our common stock by the forward purchaser or its affiliates. On April 15, 2022, we completed the physical settlement of the 4,025,000 shares of common stock and received aggregate net proceeds of $705.4 million. We used the net proceeds to repay borrowings outstanding under our Senior Credit Facility, and for working capital and general corporate purposes.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2021, we entered into an At the Market Offering Sales Agreement with certain sales agents and forward sellers pursuant to which we may sell, from time to time, up to an aggregate gross sales price of $1.25 billion of our common stock (the "Sales Agreement"), through the sales agents, acting as our sales agents or, if applicable, as forward sellers, or directly to the sales agents as principals for their own accounts. The sales agents and forward sellers are entitled to compensation in an agreed amount not to exceed 2.0 percent of the gross price per share for any shares sold under the Sales Agreement. We simultaneously terminated our prior sales agreement upon entering into the Sales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and June 30, 2022, we entered into forward sales agreements with respect to 600,503 shares of common stock for $107.9 million, and 290,600 shares of common stock for $50.1 million, respectively, under our at the market offering program. These forward sale agreements were not settled as of June 30, 2022, but we expect to settle them by the end of March and June 2023,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we entered into forward sale agreements with respect to 1,820,109 shares of common stock under our prior at the market offering program for $356.5 million. During the three months ended June 30, 2022, we completed the physical settlement of 1,200,000 shares of common stock and received net proceeds of $229.5 million. We expect to settle the remaining 620,109 shares of common stock by the end of September 2022.</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19, "Subsequent Events," for information regarding the settlement of certain forward sale agreements outstanding under our at the market offering program after June 30, 2022.</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4060"/>
        <w:spacing w:after="0" w:line="533" w:lineRule="auto"/>
        <w:rPr>
          <w:sz w:val="20"/>
          <w:szCs w:val="20"/>
          <w:color w:val="auto"/>
        </w:rPr>
      </w:pPr>
      <w:r>
        <w:rPr>
          <w:rFonts w:ascii="Times New Roman" w:cs="Times New Roman" w:eastAsia="Times New Roman" w:hAnsi="Times New Roman"/>
          <w:sz w:val="18"/>
          <w:szCs w:val="18"/>
          <w:i w:val="1"/>
          <w:iCs w:val="1"/>
          <w:color w:val="auto"/>
        </w:rPr>
        <w:t>Issuances of Common Stock and OP Units in Connection with the Acquisition of Certain Properties Issuance of Common Stock</w:t>
      </w:r>
    </w:p>
    <w:p>
      <w:pPr>
        <w:spacing w:after="0" w:line="1" w:lineRule="exact"/>
        <w:rPr>
          <w:sz w:val="20"/>
          <w:szCs w:val="20"/>
          <w:color w:val="auto"/>
        </w:rPr>
      </w:pPr>
    </w:p>
    <w:p>
      <w:pPr>
        <w:ind w:right="1560"/>
        <w:spacing w:after="0" w:line="553" w:lineRule="auto"/>
        <w:rPr>
          <w:sz w:val="20"/>
          <w:szCs w:val="20"/>
          <w:color w:val="auto"/>
        </w:rPr>
      </w:pPr>
      <w:r>
        <w:rPr>
          <w:rFonts w:ascii="Times New Roman" w:cs="Times New Roman" w:eastAsia="Times New Roman" w:hAnsi="Times New Roman"/>
          <w:sz w:val="18"/>
          <w:szCs w:val="18"/>
          <w:color w:val="auto"/>
        </w:rPr>
        <w:t xml:space="preserve">On April 8, 2022, we issued an aggregate of 186,044 shares of our common stock in connection with the acquisition of Park Holidays. </w:t>
      </w:r>
      <w:r>
        <w:rPr>
          <w:rFonts w:ascii="Times New Roman" w:cs="Times New Roman" w:eastAsia="Times New Roman" w:hAnsi="Times New Roman"/>
          <w:sz w:val="18"/>
          <w:szCs w:val="18"/>
          <w:i w:val="1"/>
          <w:iCs w:val="1"/>
          <w:color w:val="auto"/>
        </w:rPr>
        <w:t>Issuances of Common OP Units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00" w:type="dxa"/>
            <w:vAlign w:val="bottom"/>
            <w:gridSpan w:val="2"/>
          </w:tcPr>
          <w:p>
            <w:pPr>
              <w:ind w:left="1540"/>
              <w:spacing w:after="0"/>
              <w:rPr>
                <w:sz w:val="20"/>
                <w:szCs w:val="20"/>
                <w:color w:val="auto"/>
              </w:rPr>
            </w:pPr>
            <w:r>
              <w:rPr>
                <w:rFonts w:ascii="Times New Roman" w:cs="Times New Roman" w:eastAsia="Times New Roman" w:hAnsi="Times New Roman"/>
                <w:sz w:val="15"/>
                <w:szCs w:val="15"/>
                <w:b w:val="1"/>
                <w:bCs w:val="1"/>
                <w:color w:val="auto"/>
              </w:rPr>
              <w:t>Six Months Ended June 30, 2022 and 2021</w:t>
            </w:r>
          </w:p>
        </w:tc>
        <w:tc>
          <w:tcPr>
            <w:tcW w:w="250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Common OP Units Issued</w:t>
            </w:r>
          </w:p>
        </w:tc>
        <w:tc>
          <w:tcPr>
            <w:tcW w:w="340" w:type="dxa"/>
            <w:vAlign w:val="bottom"/>
          </w:tcPr>
          <w:p>
            <w:pPr>
              <w:spacing w:after="0"/>
              <w:rPr>
                <w:sz w:val="17"/>
                <w:szCs w:val="17"/>
                <w:color w:val="auto"/>
              </w:rPr>
            </w:pPr>
          </w:p>
        </w:tc>
        <w:tc>
          <w:tcPr>
            <w:tcW w:w="2500" w:type="dxa"/>
            <w:vAlign w:val="bottom"/>
          </w:tcPr>
          <w:p>
            <w:pPr>
              <w:ind w:left="600"/>
              <w:spacing w:after="0"/>
              <w:rPr>
                <w:sz w:val="20"/>
                <w:szCs w:val="20"/>
                <w:color w:val="auto"/>
              </w:rPr>
            </w:pPr>
            <w:r>
              <w:rPr>
                <w:rFonts w:ascii="Times New Roman" w:cs="Times New Roman" w:eastAsia="Times New Roman" w:hAnsi="Times New Roman"/>
                <w:sz w:val="15"/>
                <w:szCs w:val="15"/>
                <w:b w:val="1"/>
                <w:bCs w:val="1"/>
                <w:color w:val="auto"/>
              </w:rPr>
              <w:t>Related Acquisition</w:t>
            </w:r>
          </w:p>
        </w:tc>
      </w:tr>
      <w:tr>
        <w:trPr>
          <w:trHeight w:val="200"/>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 2022</w:t>
            </w:r>
          </w:p>
        </w:tc>
        <w:tc>
          <w:tcPr>
            <w:tcW w:w="8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10,854</w:t>
            </w:r>
          </w:p>
        </w:tc>
        <w:tc>
          <w:tcPr>
            <w:tcW w:w="340" w:type="dxa"/>
            <w:vAlign w:val="bottom"/>
            <w:tcBorders>
              <w:top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9"/>
                <w:szCs w:val="9"/>
                <w:color w:val="auto"/>
              </w:rPr>
              <w:t>(1)</w:t>
            </w:r>
          </w:p>
        </w:tc>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Rudgate</w:t>
            </w:r>
          </w:p>
        </w:tc>
      </w:tr>
      <w:tr>
        <w:trPr>
          <w:trHeight w:val="20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May 2022</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5,605</w:t>
            </w:r>
          </w:p>
        </w:tc>
        <w:tc>
          <w:tcPr>
            <w:tcW w:w="34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Kittery Point</w:t>
            </w:r>
          </w:p>
        </w:tc>
      </w:tr>
      <w:tr>
        <w:trPr>
          <w:trHeight w:val="205"/>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 2022</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14,683</w:t>
            </w:r>
          </w:p>
        </w:tc>
        <w:tc>
          <w:tcPr>
            <w:tcW w:w="34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Jarrett Bay Boatworks</w:t>
            </w:r>
          </w:p>
        </w:tc>
      </w:tr>
    </w:tbl>
    <w:p>
      <w:pPr>
        <w:spacing w:after="0" w:line="72" w:lineRule="exact"/>
        <w:rPr>
          <w:sz w:val="20"/>
          <w:szCs w:val="20"/>
          <w:color w:val="auto"/>
        </w:rPr>
      </w:pPr>
    </w:p>
    <w:p>
      <w:pPr>
        <w:jc w:val="both"/>
        <w:ind w:left="180" w:hanging="172"/>
        <w:spacing w:after="0" w:line="324" w:lineRule="auto"/>
        <w:tabs>
          <w:tab w:leader="none" w:pos="15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three months ended June 30, 2022, we acquired the noncontrolling equity interest held by third parties in Rudgate for a total purchase price of $3.1 million. As consideration, we issued 10,854 common OP units and paid the remainder of the purchase price in cash. The acquisition resulted in the Company owning a 100 percent controlling interest in Rudgate. The acquisition was accounted for as an equity transaction in accordance with ASC Topic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 with the difference between the purchase price and the acquired noncontrolling interest of $13.2 million recorded as an increase to Additional Paid-in Capital on the Consolidated Balance Sheets. Refer to Note 7, "Consolidated Variable Interest Entities,"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of Preferred OP Units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Issuance of Series E Preferred OP Units </w:t>
      </w:r>
      <w:r>
        <w:rPr>
          <w:rFonts w:ascii="Times New Roman" w:cs="Times New Roman" w:eastAsia="Times New Roman" w:hAnsi="Times New Roman"/>
          <w:sz w:val="18"/>
          <w:szCs w:val="18"/>
          <w:color w:val="auto"/>
        </w:rPr>
        <w:t>- In January 2020, we issued 90,000 Series E preferred OP units in connection with the acquisition of Sun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Cape Cod. The Series E preferred OP units have a stated issuance price of $100.00 per OP unit and carry a preferred return of 5.25 percent until the second anniversary of the issuance date. Commencing with the second anniversary of the issuance date, the Series E preferred OP units carry a preferred return of 5.5 percent. Commencing with the first anniversary of the issuance date, subject to certain limitations, each Series E preferred OP unit can be exchanged for our common stock equal to the quotient obtained by dividing $100.00 by $145.00 (as such ratio is subject to adjustments for certain capital events). As of June 30, 2022, 85,000 Series E preferred OP units were outstanding.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Conversions to Common Stock </w:t>
      </w:r>
      <w:r>
        <w:rPr>
          <w:rFonts w:ascii="Times New Roman" w:cs="Times New Roman" w:eastAsia="Times New Roman" w:hAnsi="Times New Roman"/>
          <w:sz w:val="18"/>
          <w:szCs w:val="18"/>
          <w:color w:val="auto"/>
        </w:rPr>
        <w:t>- Subject to certain limitations, holders can convert certain series of OP units to shares of our common stock at any time.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the activity of conversions during the six months ended June 30, 2022 and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320" w:type="dxa"/>
            <w:vAlign w:val="bottom"/>
            <w:tcBorders>
              <w:bottom w:val="single" w:sz="8" w:color="auto"/>
            </w:tcBorders>
          </w:tcPr>
          <w:p>
            <w:pPr>
              <w:spacing w:after="0"/>
              <w:rPr>
                <w:sz w:val="17"/>
                <w:szCs w:val="17"/>
                <w:color w:val="auto"/>
              </w:rPr>
            </w:pPr>
          </w:p>
        </w:tc>
      </w:tr>
      <w:tr>
        <w:trPr>
          <w:trHeight w:val="200"/>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4"/>
          </w:tcPr>
          <w:p>
            <w:pPr>
              <w:ind w:left="9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740" w:type="dxa"/>
            <w:vAlign w:val="bottom"/>
            <w:gridSpan w:val="3"/>
          </w:tcPr>
          <w:p>
            <w:pPr>
              <w:jc w:val="right"/>
              <w:ind w:right="84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42"/>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top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320" w:type="dxa"/>
            <w:vAlign w:val="bottom"/>
            <w:tcBorders>
              <w:top w:val="single" w:sz="8" w:color="auto"/>
            </w:tcBorders>
          </w:tcPr>
          <w:p>
            <w:pPr>
              <w:spacing w:after="0"/>
              <w:rPr>
                <w:sz w:val="12"/>
                <w:szCs w:val="12"/>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Series</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Conversion Rate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5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color w:val="auto"/>
                <w:vertAlign w:val="superscript"/>
              </w:rPr>
              <w:t>(1)</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320" w:type="dxa"/>
            <w:vAlign w:val="bottom"/>
          </w:tcPr>
          <w:p>
            <w:pPr>
              <w:jc w:val="right"/>
              <w:ind w:right="24"/>
              <w:spacing w:after="0" w:line="21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color w:val="auto"/>
                <w:vertAlign w:val="superscript"/>
              </w:rPr>
              <w:t>(1)</w:t>
            </w:r>
          </w:p>
        </w:tc>
      </w:tr>
      <w:tr>
        <w:trPr>
          <w:trHeight w:val="196"/>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3,960</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3,960</w:t>
            </w:r>
          </w:p>
        </w:tc>
        <w:tc>
          <w:tcPr>
            <w:tcW w:w="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37,862</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37,862</w:t>
            </w:r>
          </w:p>
        </w:tc>
      </w:tr>
      <w:tr>
        <w:trPr>
          <w:trHeight w:val="20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A-1 preferred OP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2,694</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6,568</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6,610</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16,119</w:t>
            </w: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E preferred OP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0.6897</w:t>
            </w:r>
          </w:p>
        </w:tc>
        <w:tc>
          <w:tcPr>
            <w:tcW w:w="8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3,448</w:t>
            </w:r>
          </w:p>
        </w:tc>
        <w:tc>
          <w:tcPr>
            <w:tcW w:w="20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62"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declared for the three months ended June 30, 2022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Total Distribution (in</w:t>
            </w:r>
          </w:p>
        </w:tc>
      </w:tr>
      <w:tr>
        <w:trPr>
          <w:trHeight w:val="20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Common Stock, Common OP units and Restricted Stock Distributions</w:t>
            </w: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Distribution Per Share</w:t>
            </w:r>
          </w:p>
        </w:tc>
        <w:tc>
          <w:tcPr>
            <w:tcW w:w="260" w:type="dxa"/>
            <w:vAlign w:val="bottom"/>
          </w:tcPr>
          <w:p>
            <w:pPr>
              <w:spacing w:after="0"/>
              <w:rPr>
                <w:sz w:val="17"/>
                <w:szCs w:val="17"/>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Millions)</w:t>
            </w:r>
          </w:p>
        </w:tc>
      </w:tr>
      <w:tr>
        <w:trPr>
          <w:trHeight w:val="200"/>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30, 2022</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6/30/2022</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7/15/2022</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0.88</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the executives generally vest after three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the 2015 Equity Incentive 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our 2022 Annual Meeting on May 17, 2022, our shareholders approved the First Amendment to the 2015 Equity Incentive Plan. The First Amendment increased the number of shares of common stock that may be issued under the 2015 Equity Incentive Plan to 4,750,000. As of June 30, 2022, there were 3,130,389 shares available for future issuance.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Sub-Plan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6, 2022, the Board of Directors adopted the UK Sub-Plan under the 2015 Equity Incentive Plan, which is solely applicable to employee participants located in the UK, and establishes certain rules and limitations for participation in the 2015 Equity Incentive Plan by UK employees for the purpose of complying with applicable UK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and 2021, shares were granted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Grant Date Fair</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Grant Period</w:t>
            </w:r>
          </w:p>
        </w:tc>
        <w:tc>
          <w:tcPr>
            <w:tcW w:w="1740" w:type="dxa"/>
            <w:vAlign w:val="bottom"/>
            <w:gridSpan w:val="2"/>
          </w:tcPr>
          <w:p>
            <w:pPr>
              <w:ind w:left="660"/>
              <w:spacing w:after="0"/>
              <w:rPr>
                <w:sz w:val="20"/>
                <w:szCs w:val="20"/>
                <w:color w:val="auto"/>
              </w:rPr>
            </w:pPr>
            <w:r>
              <w:rPr>
                <w:rFonts w:ascii="Times New Roman" w:cs="Times New Roman" w:eastAsia="Times New Roman" w:hAnsi="Times New Roman"/>
                <w:sz w:val="15"/>
                <w:szCs w:val="15"/>
                <w:b w:val="1"/>
                <w:bCs w:val="1"/>
                <w:color w:val="auto"/>
              </w:rPr>
              <w:t>Type</w:t>
            </w:r>
          </w:p>
        </w:tc>
        <w:tc>
          <w:tcPr>
            <w:tcW w:w="340" w:type="dxa"/>
            <w:vAlign w:val="bottom"/>
          </w:tcPr>
          <w:p>
            <w:pPr>
              <w:spacing w:after="0"/>
              <w:rPr>
                <w:sz w:val="17"/>
                <w:szCs w:val="17"/>
                <w:color w:val="auto"/>
              </w:rPr>
            </w:pPr>
          </w:p>
        </w:tc>
        <w:tc>
          <w:tcPr>
            <w:tcW w:w="3080" w:type="dxa"/>
            <w:vAlign w:val="bottom"/>
            <w:gridSpan w:val="2"/>
          </w:tcPr>
          <w:p>
            <w:pPr>
              <w:ind w:left="1180"/>
              <w:spacing w:after="0"/>
              <w:rPr>
                <w:sz w:val="20"/>
                <w:szCs w:val="20"/>
                <w:color w:val="auto"/>
              </w:rPr>
            </w:pPr>
            <w:r>
              <w:rPr>
                <w:rFonts w:ascii="Times New Roman" w:cs="Times New Roman" w:eastAsia="Times New Roman" w:hAnsi="Times New Roman"/>
                <w:sz w:val="15"/>
                <w:szCs w:val="15"/>
                <w:b w:val="1"/>
                <w:bCs w:val="1"/>
                <w:color w:val="auto"/>
              </w:rPr>
              <w:t>Plan</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Shares Granted</w:t>
            </w:r>
          </w:p>
        </w:tc>
        <w:tc>
          <w:tcPr>
            <w:tcW w:w="120" w:type="dxa"/>
            <w:vAlign w:val="bottom"/>
          </w:tcPr>
          <w:p>
            <w:pPr>
              <w:spacing w:after="0"/>
              <w:rPr>
                <w:sz w:val="17"/>
                <w:szCs w:val="17"/>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Value Per Share</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Vesting Type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2022</w:t>
            </w:r>
          </w:p>
        </w:tc>
        <w:tc>
          <w:tcPr>
            <w:tcW w:w="80" w:type="dxa"/>
            <w:vAlign w:val="bottom"/>
          </w:tcPr>
          <w:p>
            <w:pPr>
              <w:spacing w:after="0"/>
              <w:rPr>
                <w:sz w:val="13"/>
                <w:szCs w:val="13"/>
                <w:color w:val="auto"/>
              </w:rPr>
            </w:pPr>
          </w:p>
        </w:tc>
        <w:tc>
          <w:tcPr>
            <w:tcW w:w="16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Key Employees</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99"/>
              </w:rPr>
              <w:t>2015</w:t>
            </w:r>
          </w:p>
        </w:tc>
        <w:tc>
          <w:tcPr>
            <w:tcW w:w="300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Equity Incentive Plan</w:t>
            </w:r>
          </w:p>
        </w:tc>
        <w:tc>
          <w:tcPr>
            <w:tcW w:w="80" w:type="dxa"/>
            <w:vAlign w:val="bottom"/>
          </w:tcPr>
          <w:p>
            <w:pPr>
              <w:spacing w:after="0"/>
              <w:rPr>
                <w:sz w:val="13"/>
                <w:szCs w:val="13"/>
                <w:color w:val="auto"/>
              </w:rPr>
            </w:pP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194,260</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180.33</w:t>
            </w:r>
          </w:p>
        </w:tc>
        <w:tc>
          <w:tcPr>
            <w:tcW w:w="340" w:type="dxa"/>
            <w:vAlign w:val="bottom"/>
            <w:vMerge w:val="continue"/>
          </w:tcPr>
          <w:p>
            <w:pPr>
              <w:spacing w:after="0"/>
              <w:rPr>
                <w:sz w:val="13"/>
                <w:szCs w:val="13"/>
                <w:color w:val="auto"/>
              </w:rPr>
            </w:pPr>
          </w:p>
        </w:tc>
        <w:tc>
          <w:tcPr>
            <w:tcW w:w="13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2022</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178.20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2022</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124.88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w w:val="85"/>
              </w:rPr>
              <w:t>(3)</w:t>
            </w: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2022</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Key Employees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90,406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146.03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151.67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w w:val="85"/>
              </w:rPr>
              <w:t>(3)</w:t>
            </w:r>
          </w:p>
        </w:tc>
        <w:tc>
          <w:tcPr>
            <w:tcW w:w="0" w:type="dxa"/>
            <w:vAlign w:val="bottom"/>
          </w:tcPr>
          <w:p>
            <w:pPr>
              <w:spacing w:after="0"/>
              <w:rPr>
                <w:sz w:val="1"/>
                <w:szCs w:val="1"/>
                <w:color w:val="auto"/>
              </w:rPr>
            </w:pPr>
          </w:p>
        </w:tc>
      </w:tr>
      <w:tr>
        <w:trPr>
          <w:trHeight w:val="239"/>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8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11,709</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148.28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-1031240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-765810</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3"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closing price of our common stock on the dates the shares were awarded.</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Monte Carlo simulation fair value price of our market condition awards on the dates the shares were awarded.</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Share-based compensation for restricted stock awards with market conditions is measured based on shares expected to vest using a Monte Carlo simulation to determine fair value.</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vesting requirements for 250,308 and 285,224 restricted shares granted to our executives, directors and employees were satisfied during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establishes standards for the way the business enterprises report information about operating segments in its financial statements. As described in Note 1, "Basis of Presentation," we analyze our operating results through the following segments: (i) Manufactured home ("MH") communities, (ii) Recreational vehicle ("RV") resorts and (iii) Marina.</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MH segment owns, operates, develops, or has an interest in, a portfolio of MH communities throughout the U.S. and a portfolio of holiday parks throughout the UK, and is in the business of acquiring, operating and developing ground-up MH communities to provide affordable housing solutions to residents. The MH segment also provides manufactured home sales and leasing services to tenants and prospective tenants of our communities.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RV segment owns, operates, develops, or has an interest in, a portfolio of RV resorts and is in the business of acquiring, operating and developing ground up RV resorts throughout the U.S. and in Canada. It also provides leasing services for vacation rentals within the RV resorts.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containing both MH and RV sites are classified to a segment based on the predominant site counts at the properties.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Marina segment owns, operates, and develops marinas, and is in the business of acquiring and operating marinas throughout the U.S., with the majority of such marinas concentrated in coastal regions, and others located in various inland regions and Puerto Rico.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presentation of segment financial information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MH</w:t>
            </w:r>
          </w:p>
        </w:tc>
        <w:tc>
          <w:tcPr>
            <w:tcW w:w="22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155.7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594.2</w:t>
            </w: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expenses / Cost of sales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423.7</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92.9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290.5</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NOI</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303.7</w:t>
            </w:r>
          </w:p>
        </w:tc>
        <w:tc>
          <w:tcPr>
            <w:tcW w:w="0" w:type="dxa"/>
            <w:vAlign w:val="bottom"/>
          </w:tcPr>
          <w:p>
            <w:pPr>
              <w:spacing w:after="0"/>
              <w:rPr>
                <w:sz w:val="1"/>
                <w:szCs w:val="1"/>
                <w:color w:val="auto"/>
              </w:rPr>
            </w:pPr>
          </w:p>
        </w:tc>
      </w:tr>
      <w:tr>
        <w:trPr>
          <w:trHeight w:val="200"/>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arrive at net income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combination expense, net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extinguishment of debt (see Note 8)</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Interest on mandatorily redeemable preferred OP</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units / equity</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Gain / (loss) on remeasurement of marketable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securities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dispositions of properties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on remeasurement of notes receivable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Income from nonconsolidated affiliates (see</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 6)</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Gain / (loss) on remeasurement of investment in</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nonconsolidated affiliates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tax expense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Deferred tax benefit</w:t>
            </w: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w:t>
            </w:r>
          </w:p>
        </w:tc>
        <w:tc>
          <w:tcPr>
            <w:tcW w:w="0" w:type="dxa"/>
            <w:vAlign w:val="bottom"/>
          </w:tcPr>
          <w:p>
            <w:pPr>
              <w:spacing w:after="0"/>
              <w:rPr>
                <w:sz w:val="1"/>
                <w:szCs w:val="1"/>
                <w:color w:val="auto"/>
              </w:rPr>
            </w:pPr>
          </w:p>
        </w:tc>
      </w:tr>
      <w:tr>
        <w:trPr>
          <w:trHeight w:val="158"/>
        </w:trPr>
        <w:tc>
          <w:tcPr>
            <w:tcW w:w="3320" w:type="dxa"/>
            <w:vAlign w:val="bottom"/>
          </w:tcPr>
          <w:p>
            <w:pPr>
              <w:ind w:left="360"/>
              <w:spacing w:after="0" w:line="159" w:lineRule="exact"/>
              <w:rPr>
                <w:sz w:val="20"/>
                <w:szCs w:val="20"/>
                <w:color w:val="auto"/>
              </w:rPr>
            </w:pPr>
            <w:r>
              <w:rPr>
                <w:rFonts w:ascii="Times New Roman" w:cs="Times New Roman" w:eastAsia="Times New Roman" w:hAnsi="Times New Roman"/>
                <w:sz w:val="15"/>
                <w:szCs w:val="15"/>
                <w:color w:val="auto"/>
              </w:rPr>
              <w:t>Less: Preferred return to preferred OP units /</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equity interests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Less: Income attributable to noncontrolling</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interests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134"/>
        </w:trPr>
        <w:tc>
          <w:tcPr>
            <w:tcW w:w="3320" w:type="dxa"/>
            <w:vAlign w:val="bottom"/>
          </w:tcPr>
          <w:p>
            <w:pPr>
              <w:ind w:left="140"/>
              <w:spacing w:after="0" w:line="134" w:lineRule="exact"/>
              <w:rPr>
                <w:sz w:val="20"/>
                <w:szCs w:val="20"/>
                <w:color w:val="auto"/>
              </w:rPr>
            </w:pPr>
            <w:r>
              <w:rPr>
                <w:rFonts w:ascii="Times New Roman" w:cs="Times New Roman" w:eastAsia="Times New Roman" w:hAnsi="Times New Roman"/>
                <w:sz w:val="15"/>
                <w:szCs w:val="15"/>
                <w:b w:val="1"/>
                <w:bCs w:val="1"/>
                <w:color w:val="auto"/>
              </w:rPr>
              <w:t>Net Income Attributable to SUI Common</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110.8</w:t>
            </w:r>
          </w:p>
        </w:tc>
        <w:tc>
          <w:tcPr>
            <w:tcW w:w="0" w:type="dxa"/>
            <w:vAlign w:val="bottom"/>
          </w:tcPr>
          <w:p>
            <w:pPr>
              <w:spacing w:after="0"/>
              <w:rPr>
                <w:sz w:val="1"/>
                <w:szCs w:val="1"/>
                <w:color w:val="auto"/>
              </w:rPr>
            </w:pPr>
          </w:p>
        </w:tc>
      </w:tr>
      <w:tr>
        <w:trPr>
          <w:trHeight w:val="188"/>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371.7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1,027.6</w:t>
            </w: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expenses / Cost of sales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289.3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239.5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695.5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503.5</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Operating Income / Gross Profit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524.1</w:t>
            </w:r>
          </w:p>
        </w:tc>
        <w:tc>
          <w:tcPr>
            <w:tcW w:w="0" w:type="dxa"/>
            <w:vAlign w:val="bottom"/>
          </w:tcPr>
          <w:p>
            <w:pPr>
              <w:spacing w:after="0"/>
              <w:rPr>
                <w:sz w:val="1"/>
                <w:szCs w:val="1"/>
                <w:color w:val="auto"/>
              </w:rPr>
            </w:pPr>
          </w:p>
        </w:tc>
      </w:tr>
      <w:tr>
        <w:trPr>
          <w:trHeight w:val="200"/>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arrive at net income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combination expense, net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(251.0)</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extinguishment of debt (see Note 8)</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(77.2)</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Interest on mandatorily redeemable preferred OP</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units / equity</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Gain / (loss) on remeasurement of marketable</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securities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on dispositions of properties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expense, net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on remeasurement of notes receivable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Income from nonconsolidated affiliates (see</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 6)</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Gain on remeasurement of investment in</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nonconsolidated affiliates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tax expense</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Deferred tax benefit</w:t>
            </w: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148.8</w:t>
            </w:r>
          </w:p>
        </w:tc>
        <w:tc>
          <w:tcPr>
            <w:tcW w:w="0" w:type="dxa"/>
            <w:vAlign w:val="bottom"/>
          </w:tcPr>
          <w:p>
            <w:pPr>
              <w:spacing w:after="0"/>
              <w:rPr>
                <w:sz w:val="1"/>
                <w:szCs w:val="1"/>
                <w:color w:val="auto"/>
              </w:rPr>
            </w:pPr>
          </w:p>
        </w:tc>
      </w:tr>
      <w:tr>
        <w:trPr>
          <w:trHeight w:val="158"/>
        </w:trPr>
        <w:tc>
          <w:tcPr>
            <w:tcW w:w="3320" w:type="dxa"/>
            <w:vAlign w:val="bottom"/>
          </w:tcPr>
          <w:p>
            <w:pPr>
              <w:ind w:left="360"/>
              <w:spacing w:after="0" w:line="159" w:lineRule="exact"/>
              <w:rPr>
                <w:sz w:val="20"/>
                <w:szCs w:val="20"/>
                <w:color w:val="auto"/>
              </w:rPr>
            </w:pPr>
            <w:r>
              <w:rPr>
                <w:rFonts w:ascii="Times New Roman" w:cs="Times New Roman" w:eastAsia="Times New Roman" w:hAnsi="Times New Roman"/>
                <w:sz w:val="15"/>
                <w:szCs w:val="15"/>
                <w:color w:val="auto"/>
              </w:rPr>
              <w:t>Less: Preferred return to preferred OP units /</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equity interests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Less: Income attributable to noncontrolling</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interests</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134"/>
        </w:trPr>
        <w:tc>
          <w:tcPr>
            <w:tcW w:w="3320" w:type="dxa"/>
            <w:vAlign w:val="bottom"/>
          </w:tcPr>
          <w:p>
            <w:pPr>
              <w:ind w:left="140"/>
              <w:spacing w:after="0" w:line="134" w:lineRule="exact"/>
              <w:rPr>
                <w:sz w:val="20"/>
                <w:szCs w:val="20"/>
                <w:color w:val="auto"/>
              </w:rPr>
            </w:pPr>
            <w:r>
              <w:rPr>
                <w:rFonts w:ascii="Times New Roman" w:cs="Times New Roman" w:eastAsia="Times New Roman" w:hAnsi="Times New Roman"/>
                <w:sz w:val="15"/>
                <w:szCs w:val="15"/>
                <w:b w:val="1"/>
                <w:bCs w:val="1"/>
                <w:color w:val="auto"/>
              </w:rPr>
              <w:t>Net Income Attributable to SUI Common</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135.6</w:t>
            </w:r>
          </w:p>
        </w:tc>
        <w:tc>
          <w:tcPr>
            <w:tcW w:w="0" w:type="dxa"/>
            <w:vAlign w:val="bottom"/>
          </w:tcPr>
          <w:p>
            <w:pPr>
              <w:spacing w:after="0"/>
              <w:rPr>
                <w:sz w:val="1"/>
                <w:szCs w:val="1"/>
                <w:color w:val="auto"/>
              </w:rPr>
            </w:pPr>
          </w:p>
        </w:tc>
      </w:tr>
      <w:tr>
        <w:trPr>
          <w:trHeight w:val="188"/>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0"/>
        </w:trPr>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RV</w:t>
            </w:r>
          </w:p>
        </w:tc>
        <w:tc>
          <w:tcPr>
            <w:tcW w:w="20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RV</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183"/>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Identifiable Assets</w:t>
            </w: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00"/>
        </w:trPr>
        <w:tc>
          <w:tcPr>
            <w:tcW w:w="2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property, net</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6,929.3</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3,706.0</w:t>
            </w:r>
          </w:p>
        </w:tc>
        <w:tc>
          <w:tcPr>
            <w:tcW w:w="80" w:type="dxa"/>
            <w:vAlign w:val="bottom"/>
          </w:tcPr>
          <w:p>
            <w:pPr>
              <w:spacing w:after="0"/>
              <w:rPr>
                <w:sz w:val="17"/>
                <w:szCs w:val="17"/>
                <w:color w:val="auto"/>
              </w:rPr>
            </w:pPr>
          </w:p>
        </w:tc>
        <w:tc>
          <w:tcPr>
            <w:tcW w:w="20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13,410.0</w:t>
            </w:r>
          </w:p>
        </w:tc>
        <w:tc>
          <w:tcPr>
            <w:tcW w:w="1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5,172.2</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3,639.0</w:t>
            </w:r>
          </w:p>
        </w:tc>
        <w:tc>
          <w:tcPr>
            <w:tcW w:w="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2,614.3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11,425.5</w:t>
            </w:r>
          </w:p>
        </w:tc>
      </w:tr>
      <w:tr>
        <w:trPr>
          <w:trHeight w:val="151"/>
        </w:trPr>
        <w:tc>
          <w:tcPr>
            <w:tcW w:w="2340" w:type="dxa"/>
            <w:vAlign w:val="bottom"/>
            <w:shd w:val="clear" w:color="auto" w:fill="CCEEFF"/>
          </w:tcPr>
          <w:p>
            <w:pPr>
              <w:ind w:left="140"/>
              <w:spacing w:after="0" w:line="151" w:lineRule="exact"/>
              <w:rPr>
                <w:sz w:val="20"/>
                <w:szCs w:val="20"/>
                <w:color w:val="auto"/>
              </w:rPr>
            </w:pPr>
            <w:r>
              <w:rPr>
                <w:rFonts w:ascii="Times New Roman" w:cs="Times New Roman" w:eastAsia="Times New Roman" w:hAnsi="Times New Roman"/>
                <w:sz w:val="15"/>
                <w:szCs w:val="15"/>
                <w:color w:val="auto"/>
              </w:rPr>
              <w:t>Cash, cash equivalents and</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16"/>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w:t>
            </w:r>
          </w:p>
        </w:tc>
      </w:tr>
      <w:tr>
        <w:trPr>
          <w:trHeight w:val="200"/>
        </w:trPr>
        <w:tc>
          <w:tcPr>
            <w:tcW w:w="2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Marketable securities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186.9</w:t>
            </w:r>
          </w:p>
        </w:tc>
      </w:tr>
      <w:tr>
        <w:trPr>
          <w:trHeight w:val="205"/>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Inventory of manufactured homes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w:t>
            </w:r>
          </w:p>
        </w:tc>
      </w:tr>
      <w:tr>
        <w:trPr>
          <w:trHeight w:val="200"/>
        </w:trPr>
        <w:tc>
          <w:tcPr>
            <w:tcW w:w="2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and other receivables,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469.6</w:t>
            </w:r>
          </w:p>
        </w:tc>
      </w:tr>
      <w:tr>
        <w:trPr>
          <w:trHeight w:val="205"/>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495.4</w:t>
            </w:r>
          </w:p>
        </w:tc>
      </w:tr>
      <w:tr>
        <w:trPr>
          <w:trHeight w:val="200"/>
        </w:trPr>
        <w:tc>
          <w:tcPr>
            <w:tcW w:w="2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306.8</w:t>
            </w:r>
          </w:p>
        </w:tc>
      </w:tr>
      <w:tr>
        <w:trPr>
          <w:trHeight w:val="203"/>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 net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718.3</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480.6</w:t>
            </w:r>
          </w:p>
        </w:tc>
      </w:tr>
      <w:tr>
        <w:trPr>
          <w:trHeight w:val="198"/>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8,362.5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3,968.9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4,066.4</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16,397.8</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5,973.8</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3,873.4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3,646.9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13,494.1</w:t>
            </w:r>
          </w:p>
        </w:tc>
      </w:tr>
      <w:tr>
        <w:trPr>
          <w:trHeight w:val="20"/>
        </w:trPr>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shareholders and meet other tests.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six months ended June 30, 2022.</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REIT, we generally will not be subject to United States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Puerto Rico and the United Kingdom due to certain properties located in those jurisdictions.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 As currently structured, we are not subject to UK withholding taxes on distributions from our United Kingdom properties.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GAAP. Our deferred tax assets that have a full valuation allowance relate to our taxable REIT subsidiaries. As of June 30, 2022, we had $237.0 million of net deferred tax liabilities, comprised of deferred tax assets, net of valuation allowance, of $2.9 million, and deferred tax liabilities of $239.9 million. The deferred tax liability balance is comprised primarily of basis differences in our foreign investment in properties in the United Kingdom and Canada. As of December 31, 2021, we had $20.7 million of net deferred tax liabilities, comprised of deferred tax assets, net of valuation allowance, of $3.0 million, and deferred tax liabilities of $23.7 million. These balances include a net deferred tax asset, net of valuation allowance, in the United States of $1.2 million as of June 30, 2022 and December 31, 2021. The net deferred tax assets and deferred tax liabilities are recorded within Other Assets and Other Liabilities, respectively, on our Consolidated Balance Sheets as of June 30, 2022 and December 31, 2021.</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no unrecognized tax benefits as of June 30, 2022 and during 2021. We do not expect significant changes in tax positions that would result in unrecognized tax benefits within one year of June 30,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we recorded current tax expense for federal, state, Canadian, Puerto Rican, UK income taxes and Australian withholding taxes totaling $3.9 million and $5.2 million, respectively. For the three and six months ended June 30, 2021, we recorded current tax expense for federal, state, Canadian income taxes and Australian withholding taxes totaling $1.2 million and $1.0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we recorded a deferred tax benefit of $0.3 million, respectively. For the six months ended June 30, 2021, we recorded deferred tax benefit of $0.1 million,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("EPS") is computed by dividing net income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enter into forward equity sales agreements, which are discussed in Note 9, "Equity and Temporary Equity." We considered the potential dilution resulting from the forward equity sales agreements on the EPS calculations. At inception, the agreements do not have an effect on the computation of basic EPS as no shares are delivered unless there is a physical settlement. Common shares issued upon the physical settlement of the forward equity sales agreements, weighted for the period these common shares are outstanding, are included in the denominator of basic EPS. To determine the dilution resulting from the forward equity sales agreements during the period of time prior to settlement, we calculate the number of weighted-average shares outstanding - diluted.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I preferred OP units, Series J preferred OP units and Aspen preferred OP Units, which, if converted or exercised, may impact dilution.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allocated to common shareholders and undistributed earnings allocated to common shareholders by the weighted average number of shares of common stock outstanding for the period; and (2) dividing the sum of distributed earnings allocated to participating securities and undistributed earnings allocated to participating securities by the weighted average number of shares of participating securities for the period. The remaining potentially dilutive common shares do not contain rights to distributions and are included in the computation of diluted EPS.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Computations of basic and diluted EPS were as follows (in millions, except for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5"/>
          </w:tcPr>
          <w:p>
            <w:pPr>
              <w:ind w:left="5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Pr>
          <w:p>
            <w:pPr>
              <w:spacing w:after="0"/>
              <w:rPr>
                <w:sz w:val="17"/>
                <w:szCs w:val="17"/>
                <w:color w:val="auto"/>
              </w:rPr>
            </w:pPr>
          </w:p>
        </w:tc>
        <w:tc>
          <w:tcPr>
            <w:tcW w:w="2740" w:type="dxa"/>
            <w:vAlign w:val="bottom"/>
            <w:gridSpan w:val="4"/>
          </w:tcPr>
          <w:p>
            <w:pPr>
              <w:jc w:val="right"/>
              <w:ind w:right="78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0"/>
        </w:trPr>
        <w:tc>
          <w:tcPr>
            <w:tcW w:w="5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0" w:type="dxa"/>
            <w:vAlign w:val="bottom"/>
          </w:tcPr>
          <w:p>
            <w:pPr>
              <w:spacing w:after="0"/>
              <w:rPr>
                <w:sz w:val="1"/>
                <w:szCs w:val="1"/>
                <w:color w:val="auto"/>
              </w:rPr>
            </w:pPr>
          </w:p>
        </w:tc>
      </w:tr>
      <w:tr>
        <w:trPr>
          <w:trHeight w:val="18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Attributable to SUI Common Shareholders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110.8</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135.6</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allocation to restricted stock awards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138"/>
        </w:trPr>
        <w:tc>
          <w:tcPr>
            <w:tcW w:w="5220" w:type="dxa"/>
            <w:vAlign w:val="bottom"/>
          </w:tcPr>
          <w:p>
            <w:pPr>
              <w:ind w:left="140"/>
              <w:spacing w:after="0" w:line="138" w:lineRule="exact"/>
              <w:rPr>
                <w:sz w:val="20"/>
                <w:szCs w:val="20"/>
                <w:color w:val="auto"/>
              </w:rPr>
            </w:pPr>
            <w:r>
              <w:rPr>
                <w:rFonts w:ascii="Times New Roman" w:cs="Times New Roman" w:eastAsia="Times New Roman" w:hAnsi="Times New Roman"/>
                <w:sz w:val="15"/>
                <w:szCs w:val="15"/>
                <w:color w:val="auto"/>
              </w:rPr>
              <w:t>Basic earnings - Net Income attributable to common shareholders after</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allocation to restricted stock awards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w:t>
            </w: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allocation to common and preferred OP units dilutive effect</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38"/>
        </w:trPr>
        <w:tc>
          <w:tcPr>
            <w:tcW w:w="5220" w:type="dxa"/>
            <w:vAlign w:val="bottom"/>
          </w:tcPr>
          <w:p>
            <w:pPr>
              <w:ind w:left="140"/>
              <w:spacing w:after="0" w:line="138" w:lineRule="exact"/>
              <w:rPr>
                <w:sz w:val="20"/>
                <w:szCs w:val="20"/>
                <w:color w:val="auto"/>
              </w:rPr>
            </w:pPr>
            <w:r>
              <w:rPr>
                <w:rFonts w:ascii="Times New Roman" w:cs="Times New Roman" w:eastAsia="Times New Roman" w:hAnsi="Times New Roman"/>
                <w:sz w:val="15"/>
                <w:szCs w:val="15"/>
                <w:color w:val="auto"/>
              </w:rPr>
              <w:t>Diluted earnings - Net income attributable to common shareholders after</w:t>
            </w:r>
          </w:p>
        </w:tc>
        <w:tc>
          <w:tcPr>
            <w:tcW w:w="18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73.6</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110.1</w:t>
            </w:r>
          </w:p>
        </w:tc>
        <w:tc>
          <w:tcPr>
            <w:tcW w:w="22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75.9</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137.8</w:t>
            </w:r>
          </w:p>
        </w:tc>
        <w:tc>
          <w:tcPr>
            <w:tcW w:w="0" w:type="dxa"/>
            <w:vAlign w:val="bottom"/>
          </w:tcPr>
          <w:p>
            <w:pPr>
              <w:spacing w:after="0"/>
              <w:rPr>
                <w:sz w:val="1"/>
                <w:szCs w:val="1"/>
                <w:color w:val="auto"/>
              </w:rPr>
            </w:pPr>
          </w:p>
        </w:tc>
      </w:tr>
      <w:tr>
        <w:trPr>
          <w:trHeight w:val="184"/>
        </w:trPr>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allocation to common and preferred OP units</w:t>
            </w:r>
          </w:p>
        </w:tc>
        <w:tc>
          <w:tcPr>
            <w:tcW w:w="1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5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common shares dilutive effect: Forward Equity Offering</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 dilutive restricted stock</w:t>
            </w:r>
          </w:p>
        </w:tc>
        <w:tc>
          <w:tcPr>
            <w:tcW w:w="1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common and preferred OP units dilutive effect</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98"/>
        </w:trPr>
        <w:tc>
          <w:tcPr>
            <w:tcW w:w="5220" w:type="dxa"/>
            <w:vAlign w:val="bottom"/>
          </w:tcPr>
          <w:p>
            <w:pPr>
              <w:ind w:left="140"/>
              <w:spacing w:after="0" w:line="198" w:lineRule="exact"/>
              <w:rPr>
                <w:sz w:val="20"/>
                <w:szCs w:val="20"/>
                <w:color w:val="auto"/>
              </w:rPr>
            </w:pPr>
            <w:r>
              <w:rPr>
                <w:rFonts w:ascii="Times New Roman" w:cs="Times New Roman" w:eastAsia="Times New Roman" w:hAnsi="Times New Roman"/>
                <w:sz w:val="15"/>
                <w:szCs w:val="15"/>
                <w:color w:val="auto"/>
              </w:rPr>
              <w:t>Diluted weighted average common shares and securities</w:t>
            </w:r>
            <w:r>
              <w:rPr>
                <w:rFonts w:ascii="Times New Roman" w:cs="Times New Roman" w:eastAsia="Times New Roman" w:hAnsi="Times New Roman"/>
                <w:sz w:val="19"/>
                <w:szCs w:val="19"/>
                <w:color w:val="auto"/>
                <w:vertAlign w:val="superscript"/>
              </w:rPr>
              <w:t>(1)</w:t>
            </w: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112.6</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EPS Available to Common Shareholders After Allocation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Basic EPS</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Diluted EPS</w:t>
            </w:r>
            <w:r>
              <w:rPr>
                <w:rFonts w:ascii="Times New Roman" w:cs="Times New Roman" w:eastAsia="Times New Roman" w:hAnsi="Times New Roman"/>
                <w:sz w:val="19"/>
                <w:szCs w:val="19"/>
                <w:color w:val="auto"/>
                <w:vertAlign w:val="superscript"/>
              </w:rPr>
              <w:t>(1)</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20" w:hanging="172"/>
        <w:spacing w:after="0" w:line="230" w:lineRule="auto"/>
        <w:tabs>
          <w:tab w:leader="none" w:pos="167"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and six months ended June 30, 2022 and 2021, diluted earnings per share was calculated using the two-class method as the application of this method resulted in a more diluted earnings per share during those periods.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excluded certain convertible securities from the computation of diluted EPS because the inclusion of those securities would have been anti-dilutive for the periods presented. The following table presents the outstanding securities that were excluded from the computation of diluted EPS as of June 30, 2022 and 2021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3240" w:type="dxa"/>
            <w:vAlign w:val="bottom"/>
            <w:tcBorders>
              <w:bottom w:val="single" w:sz="8" w:color="auto"/>
            </w:tcBorders>
            <w:gridSpan w:val="3"/>
          </w:tcPr>
          <w:p>
            <w:pPr>
              <w:jc w:val="right"/>
              <w:ind w:right="92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80" w:type="dxa"/>
            <w:vAlign w:val="bottom"/>
          </w:tcPr>
          <w:p>
            <w:pPr>
              <w:spacing w:after="0"/>
              <w:rPr>
                <w:sz w:val="17"/>
                <w:szCs w:val="17"/>
                <w:color w:val="auto"/>
              </w:rPr>
            </w:pPr>
          </w:p>
        </w:tc>
      </w:tr>
      <w:tr>
        <w:trPr>
          <w:trHeight w:val="200"/>
        </w:trPr>
        <w:tc>
          <w:tcPr>
            <w:tcW w:w="77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3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80" w:type="dxa"/>
            <w:vAlign w:val="bottom"/>
            <w:tcBorders>
              <w:bottom w:val="single" w:sz="8" w:color="CCEEFF"/>
            </w:tcBorders>
          </w:tcPr>
          <w:p>
            <w:pPr>
              <w:spacing w:after="0"/>
              <w:rPr>
                <w:sz w:val="17"/>
                <w:szCs w:val="17"/>
                <w:color w:val="auto"/>
              </w:rPr>
            </w:pPr>
          </w:p>
        </w:tc>
      </w:tr>
      <w:tr>
        <w:trPr>
          <w:trHeight w:val="19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rPr>
              <w:t>(1)</w:t>
            </w: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A-1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280" w:type="dxa"/>
            <w:vAlign w:val="bottom"/>
          </w:tcPr>
          <w:p>
            <w:pPr>
              <w:spacing w:after="0"/>
              <w:rPr>
                <w:sz w:val="17"/>
                <w:szCs w:val="17"/>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A-3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Aspen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280" w:type="dxa"/>
            <w:vAlign w:val="bottom"/>
          </w:tcPr>
          <w:p>
            <w:pPr>
              <w:spacing w:after="0"/>
              <w:rPr>
                <w:sz w:val="17"/>
                <w:szCs w:val="17"/>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D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280" w:type="dxa"/>
            <w:vAlign w:val="bottom"/>
          </w:tcPr>
          <w:p>
            <w:pPr>
              <w:spacing w:after="0"/>
              <w:rPr>
                <w:sz w:val="17"/>
                <w:szCs w:val="17"/>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E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F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80" w:type="dxa"/>
            <w:vAlign w:val="bottom"/>
          </w:tcPr>
          <w:p>
            <w:pPr>
              <w:spacing w:after="0"/>
              <w:rPr>
                <w:sz w:val="17"/>
                <w:szCs w:val="17"/>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c>
          <w:tcPr>
            <w:tcW w:w="280" w:type="dxa"/>
            <w:vAlign w:val="bottom"/>
          </w:tcPr>
          <w:p>
            <w:pPr>
              <w:spacing w:after="0"/>
              <w:rPr>
                <w:sz w:val="17"/>
                <w:szCs w:val="17"/>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I preferred OP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922</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922</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3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280" w:type="dxa"/>
            <w:vAlign w:val="bottom"/>
            <w:tcBorders>
              <w:bottom w:val="single" w:sz="8" w:color="CCEEFF"/>
            </w:tcBorders>
          </w:tcPr>
          <w:p>
            <w:pPr>
              <w:spacing w:after="0"/>
              <w:rPr>
                <w:sz w:val="17"/>
                <w:szCs w:val="17"/>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Securities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7,115</w:t>
            </w:r>
          </w:p>
        </w:tc>
        <w:tc>
          <w:tcPr>
            <w:tcW w:w="3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7,140</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jc w:val="both"/>
        <w:ind w:left="180" w:hanging="172"/>
        <w:spacing w:after="0" w:line="233" w:lineRule="auto"/>
        <w:tabs>
          <w:tab w:leader="none" w:pos="167"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June 30, 2022 and 2021, Common OP units were excluded from the computation of diluted earnings per share because the inclusion of those securities would have been anti-dilutive for the period. For the six months ended June 30, 2022 and 2021, Common OP units were included in the computation of diluted earnings per share because they were dilutive for the period.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Financial Instruments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Treasury locks are used to accomplish this objective. We do not enter into derivative instruments for speculative purposes.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designated the treasury lock contracts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risk being hedged is the interest rate risk related to forecasted transactions and the benchmark interest rate used is the on-the-run 10-year U.S. Treasury rate.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2022, in connection with the 2032 Notes issuance, we settled four 10-year Treasury rate lock contracts totaling $600.0 million and received a settlement payment of $35.3 million (the "Treasury Lock Settlement"). As of June 30, 2022, the net accumulated gain is included in Accumulated other comprehensive income in our Consolidated Balance Sheets, and is being amortized as a reduction to interest expense on a straight-line basis over the 10-year term of the hedged transaction. We estimate that $3.5 million will be reclassified as a reduction to interest expense over the next 12 months. Following the Treasury Lock Settlement, we had no treasury lock contracts outstanding as of June 30, 2022. Refer to Note 19, "Subsequent Events," for information regarding interest rate derivative activity subsequent to June 30,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our derivative financial instruments and the associated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44"/>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52"/>
        </w:trPr>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264"/>
              <w:spacing w:after="0" w:line="152" w:lineRule="exact"/>
              <w:rPr>
                <w:sz w:val="20"/>
                <w:szCs w:val="20"/>
                <w:color w:val="auto"/>
              </w:rPr>
            </w:pPr>
            <w:r>
              <w:rPr>
                <w:rFonts w:ascii="Times New Roman" w:cs="Times New Roman" w:eastAsia="Times New Roman" w:hAnsi="Times New Roman"/>
                <w:sz w:val="15"/>
                <w:szCs w:val="15"/>
                <w:b w:val="1"/>
                <w:bCs w:val="1"/>
                <w:color w:val="auto"/>
              </w:rPr>
              <w:t>Fair Value</w:t>
            </w:r>
          </w:p>
        </w:tc>
        <w:tc>
          <w:tcPr>
            <w:tcW w:w="1060" w:type="dxa"/>
            <w:vAlign w:val="bottom"/>
          </w:tcPr>
          <w:p>
            <w:pPr>
              <w:jc w:val="center"/>
              <w:ind w:right="64"/>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140" w:type="dxa"/>
            <w:vAlign w:val="bottom"/>
          </w:tcPr>
          <w:p>
            <w:pPr>
              <w:spacing w:after="0"/>
              <w:rPr>
                <w:sz w:val="13"/>
                <w:szCs w:val="13"/>
                <w:color w:val="auto"/>
              </w:rPr>
            </w:pPr>
          </w:p>
        </w:tc>
        <w:tc>
          <w:tcPr>
            <w:tcW w:w="1060" w:type="dxa"/>
            <w:vAlign w:val="bottom"/>
          </w:tcPr>
          <w:p>
            <w:pPr>
              <w:jc w:val="center"/>
              <w:ind w:right="64"/>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r>
      <w:tr>
        <w:trPr>
          <w:trHeight w:val="21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200" w:type="dxa"/>
            <w:vAlign w:val="bottom"/>
          </w:tcPr>
          <w:p>
            <w:pPr>
              <w:spacing w:after="0"/>
              <w:rPr>
                <w:sz w:val="18"/>
                <w:szCs w:val="18"/>
                <w:color w:val="auto"/>
              </w:rPr>
            </w:pPr>
          </w:p>
        </w:tc>
        <w:tc>
          <w:tcPr>
            <w:tcW w:w="1200" w:type="dxa"/>
            <w:vAlign w:val="bottom"/>
            <w:gridSpan w:val="3"/>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1280" w:type="dxa"/>
            <w:vAlign w:val="bottom"/>
            <w:gridSpan w:val="3"/>
          </w:tcPr>
          <w:p>
            <w:pPr>
              <w:jc w:val="center"/>
              <w:ind w:right="264"/>
              <w:spacing w:after="0" w:line="211" w:lineRule="exact"/>
              <w:rPr>
                <w:sz w:val="20"/>
                <w:szCs w:val="20"/>
                <w:color w:val="auto"/>
              </w:rPr>
            </w:pPr>
            <w:r>
              <w:rPr>
                <w:rFonts w:ascii="Times New Roman" w:cs="Times New Roman" w:eastAsia="Times New Roman" w:hAnsi="Times New Roman"/>
                <w:sz w:val="15"/>
                <w:szCs w:val="15"/>
                <w:b w:val="1"/>
                <w:bCs w:val="1"/>
                <w:color w:val="auto"/>
                <w:w w:val="98"/>
              </w:rPr>
              <w:t>of Assets</w:t>
            </w:r>
            <w:r>
              <w:rPr>
                <w:rFonts w:ascii="Times New Roman" w:cs="Times New Roman" w:eastAsia="Times New Roman" w:hAnsi="Times New Roman"/>
                <w:sz w:val="19"/>
                <w:szCs w:val="19"/>
                <w:color w:val="auto"/>
                <w:w w:val="98"/>
                <w:vertAlign w:val="superscript"/>
              </w:rPr>
              <w:t>(1)</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of Liabilities</w:t>
            </w:r>
          </w:p>
        </w:tc>
        <w:tc>
          <w:tcPr>
            <w:tcW w:w="220" w:type="dxa"/>
            <w:vAlign w:val="bottom"/>
          </w:tcPr>
          <w:p>
            <w:pPr>
              <w:spacing w:after="0"/>
              <w:rPr>
                <w:sz w:val="18"/>
                <w:szCs w:val="18"/>
                <w:color w:val="auto"/>
              </w:rPr>
            </w:pP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line="211" w:lineRule="exact"/>
              <w:rPr>
                <w:sz w:val="20"/>
                <w:szCs w:val="20"/>
                <w:color w:val="auto"/>
              </w:rPr>
            </w:pPr>
            <w:r>
              <w:rPr>
                <w:rFonts w:ascii="Times New Roman" w:cs="Times New Roman" w:eastAsia="Times New Roman" w:hAnsi="Times New Roman"/>
                <w:sz w:val="15"/>
                <w:szCs w:val="15"/>
                <w:b w:val="1"/>
                <w:bCs w:val="1"/>
                <w:color w:val="auto"/>
                <w:w w:val="95"/>
              </w:rPr>
              <w:t>of Assets</w:t>
            </w:r>
            <w:r>
              <w:rPr>
                <w:rFonts w:ascii="Times New Roman" w:cs="Times New Roman" w:eastAsia="Times New Roman" w:hAnsi="Times New Roman"/>
                <w:sz w:val="19"/>
                <w:szCs w:val="19"/>
                <w:color w:val="auto"/>
                <w:w w:val="95"/>
                <w:vertAlign w:val="superscript"/>
              </w:rPr>
              <w:t>(1)</w:t>
            </w:r>
          </w:p>
        </w:tc>
        <w:tc>
          <w:tcPr>
            <w:tcW w:w="140" w:type="dxa"/>
            <w:vAlign w:val="bottom"/>
          </w:tcPr>
          <w:p>
            <w:pPr>
              <w:spacing w:after="0"/>
              <w:rPr>
                <w:sz w:val="18"/>
                <w:szCs w:val="18"/>
                <w:color w:val="auto"/>
              </w:rPr>
            </w:pPr>
          </w:p>
        </w:tc>
        <w:tc>
          <w:tcPr>
            <w:tcW w:w="10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of Liabilities</w:t>
            </w:r>
          </w:p>
        </w:tc>
      </w:tr>
      <w:tr>
        <w:trPr>
          <w:trHeight w:val="196"/>
        </w:trPr>
        <w:tc>
          <w:tcPr>
            <w:tcW w:w="3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r>
    </w:tbl>
    <w:p>
      <w:pPr>
        <w:spacing w:after="0" w:line="55"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within Other Assets, net on the Consolidated Balance Sheets.</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Note 15, "Fair Value of Financial Instruments," for additional information related to the fair value methodology used for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gains on derivatives in cash flow hedging relationships recognized in Other Comprehensive Income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2"/>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Pr>
          <w:p>
            <w:pPr>
              <w:spacing w:after="0"/>
              <w:rPr>
                <w:sz w:val="17"/>
                <w:szCs w:val="17"/>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48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5"/>
              </w:rPr>
              <w:t>9.8</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gains on derivative instruments reclassified from Accumulated Other Comprehensive Income into earnings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Pr>
          <w:p>
            <w:pPr>
              <w:spacing w:after="0"/>
              <w:rPr>
                <w:sz w:val="17"/>
                <w:szCs w:val="17"/>
                <w:color w:val="auto"/>
              </w:rPr>
            </w:pPr>
          </w:p>
        </w:tc>
        <w:tc>
          <w:tcPr>
            <w:tcW w:w="2620" w:type="dxa"/>
            <w:vAlign w:val="bottom"/>
            <w:gridSpan w:val="4"/>
          </w:tcPr>
          <w:p>
            <w:pPr>
              <w:ind w:left="620"/>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141"/>
        </w:trPr>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5"/>
                <w:szCs w:val="15"/>
                <w:b w:val="1"/>
                <w:bCs w:val="1"/>
                <w:color w:val="auto"/>
              </w:rPr>
              <w:t>Financial Statement</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r>
      <w:tr>
        <w:trPr>
          <w:trHeight w:val="20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6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80" w:type="dxa"/>
            <w:vAlign w:val="bottom"/>
          </w:tcPr>
          <w:p>
            <w:pPr>
              <w:spacing w:after="0"/>
              <w:rPr>
                <w:sz w:val="17"/>
                <w:szCs w:val="17"/>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200"/>
        </w:trPr>
        <w:tc>
          <w:tcPr>
            <w:tcW w:w="36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of 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consist primarily of cash, cash equivalents and restricted cash, marketable securities, notes and other receivables, derivatives assets, debt, warrants and other liabilities. We utilize fair value measurements to record fair value adjustments to certain assets and liabilities and to determine fair value disclosures, pursuant to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following methods and assumptions were used in order to estimate the fair value of each class of financial instruments for which it is practicable to estimate that value: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unadjusted prices for identical instruments in active markets that we have the ability to access;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by Hierarchy Level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sets forth our financial assets and liabilities (in millions) that required disclosure of fair value on a recurring basis as of June 30, 2022. The table presents the carrying values and fair values of our financial instruments as of June 30, 2022 and December 31, 2021,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are classified as Level 1 in the hierarchy.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ind w:right="44"/>
              <w:spacing w:after="0" w:line="152"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20"/>
              <w:spacing w:after="0" w:line="156"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 and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5"/>
                <w:szCs w:val="15"/>
                <w:b w:val="1"/>
                <w:bCs w:val="1"/>
                <w:color w:val="auto"/>
                <w:w w:val="99"/>
              </w:rPr>
              <w:t>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2"/>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184.7</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184.7</w:t>
            </w:r>
          </w:p>
        </w:tc>
        <w:tc>
          <w:tcPr>
            <w:tcW w:w="1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Marketable securities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114.6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114.6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114.6</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292.3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292.3</w:t>
            </w:r>
          </w:p>
        </w:tc>
        <w:tc>
          <w:tcPr>
            <w:tcW w:w="0" w:type="dxa"/>
            <w:vAlign w:val="bottom"/>
          </w:tcPr>
          <w:p>
            <w:pPr>
              <w:spacing w:after="0"/>
              <w:rPr>
                <w:sz w:val="1"/>
                <w:szCs w:val="1"/>
                <w:color w:val="auto"/>
              </w:rPr>
            </w:pPr>
          </w:p>
        </w:tc>
      </w:tr>
      <w:tr>
        <w:trPr>
          <w:trHeight w:val="196"/>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 measured at fair value</w:t>
            </w:r>
          </w:p>
        </w:tc>
        <w:tc>
          <w:tcPr>
            <w:tcW w:w="360" w:type="dxa"/>
            <w:vAlign w:val="bottom"/>
            <w:tcBorders>
              <w:top w:val="single" w:sz="8" w:color="auto"/>
              <w:bottom w:val="single" w:sz="8" w:color="auto"/>
            </w:tcBorders>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664.7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299.3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365.4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664.7</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Secured debt</w:t>
            </w:r>
          </w:p>
        </w:tc>
        <w:tc>
          <w:tcPr>
            <w:tcW w:w="36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3,335.7</w:t>
            </w: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3,335.7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3,114.0</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Unsecured debt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Senior unsecured notes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1,778.6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1,778.6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1,533.3</w:t>
            </w:r>
          </w:p>
        </w:tc>
        <w:tc>
          <w:tcPr>
            <w:tcW w:w="0" w:type="dxa"/>
            <w:vAlign w:val="bottom"/>
          </w:tcPr>
          <w:p>
            <w:pPr>
              <w:spacing w:after="0"/>
              <w:rPr>
                <w:sz w:val="1"/>
                <w:szCs w:val="1"/>
                <w:color w:val="auto"/>
              </w:rPr>
            </w:pPr>
          </w:p>
        </w:tc>
      </w:tr>
      <w:tr>
        <w:trPr>
          <w:trHeight w:val="200"/>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Line of credit and other unsecured debt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1,816.6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1,816.6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1,816.6</w:t>
            </w:r>
          </w:p>
        </w:tc>
        <w:tc>
          <w:tcPr>
            <w:tcW w:w="0" w:type="dxa"/>
            <w:vAlign w:val="bottom"/>
          </w:tcPr>
          <w:p>
            <w:pPr>
              <w:spacing w:after="0"/>
              <w:rPr>
                <w:sz w:val="1"/>
                <w:szCs w:val="1"/>
                <w:color w:val="auto"/>
              </w:rPr>
            </w:pPr>
          </w:p>
        </w:tc>
      </w:tr>
      <w:tr>
        <w:trPr>
          <w:trHeight w:val="198"/>
        </w:trPr>
        <w:tc>
          <w:tcPr>
            <w:tcW w:w="4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unsecured debt</w:t>
            </w: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3,595.2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3,595.2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3,349.9</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financial liabilities (contingent consideration)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 measured at fair value</w:t>
            </w:r>
          </w:p>
        </w:tc>
        <w:tc>
          <w:tcPr>
            <w:tcW w:w="360" w:type="dxa"/>
            <w:vAlign w:val="bottom"/>
            <w:tcBorders>
              <w:top w:val="single" w:sz="8" w:color="auto"/>
              <w:bottom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6,951.1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6,930.9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6,484.1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ind w:right="4"/>
              <w:spacing w:after="0" w:line="146"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5"/>
                <w:szCs w:val="15"/>
                <w:b w:val="1"/>
                <w:bCs w:val="1"/>
                <w:color w:val="auto"/>
              </w:rPr>
              <w:t>Identical Assets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86"/>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1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Marketable securities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assets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 measured at fair value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Secured debt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3,380.7</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3,405.9</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Senior unsecured notes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1,201.8</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Line of credit and other 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1,104.7</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unsecured debt</w:t>
            </w: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2,291.1</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2,306.5</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Other financial liabilities (contingent consideration)</w:t>
            </w:r>
            <w:r>
              <w:rPr>
                <w:rFonts w:ascii="Times New Roman" w:cs="Times New Roman" w:eastAsia="Times New Roman" w:hAnsi="Times New Roman"/>
                <w:sz w:val="19"/>
                <w:szCs w:val="19"/>
                <w:color w:val="auto"/>
                <w:vertAlign w:val="superscript"/>
              </w:rPr>
              <w:t>(1)</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196"/>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 measured at fair value</w:t>
            </w:r>
          </w:p>
        </w:tc>
        <w:tc>
          <w:tcPr>
            <w:tcW w:w="20" w:type="dxa"/>
            <w:vAlign w:val="bottom"/>
          </w:tcPr>
          <w:p>
            <w:pPr>
              <w:spacing w:after="0"/>
              <w:rPr>
                <w:sz w:val="17"/>
                <w:szCs w:val="17"/>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bottom w:val="single" w:sz="8" w:color="auto"/>
            </w:tcBorders>
            <w:gridSpan w:val="4"/>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5,671.8</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5,732.6</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80" w:hanging="172"/>
        <w:spacing w:after="0" w:line="302" w:lineRule="auto"/>
        <w:tabs>
          <w:tab w:leader="none" w:pos="167"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Balance updated to include contingent consideration related to a Marina acquisition. This contingent consideration was included within Other liabilities on the Consolidated Balance Sheets at December 31, 2021.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approximate their fair market values due to the short-term nature of the instruments. These are classified as Level 1 in the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Marketable securities held by us and accounted for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are measured at fair value. Any change in fair value is recognized in the Consolidated Statement of Operations in the Gain / (loss) on remeasurement of marketable securities in accordance with ASU 2016-01, "</w:t>
      </w:r>
      <w:r>
        <w:rPr>
          <w:rFonts w:ascii="Times New Roman" w:cs="Times New Roman" w:eastAsia="Times New Roman" w:hAnsi="Times New Roman"/>
          <w:sz w:val="18"/>
          <w:szCs w:val="18"/>
          <w:i w:val="1"/>
          <w:iCs w:val="1"/>
          <w:color w:val="auto"/>
        </w:rPr>
        <w:t>Financial Instruments - Overall (Subtopic 825-10): Recognition and measurement of financial assets and financial liabilities</w:t>
      </w:r>
      <w:r>
        <w:rPr>
          <w:rFonts w:ascii="Times New Roman" w:cs="Times New Roman" w:eastAsia="Times New Roman" w:hAnsi="Times New Roman"/>
          <w:sz w:val="18"/>
          <w:szCs w:val="18"/>
          <w:color w:val="auto"/>
        </w:rPr>
        <w:t>." The fair value is measured by the quoted unadjusted share price which is readily available in active markets (Level 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marketable securities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7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Beginning Balance</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124.7</w:t>
            </w:r>
          </w:p>
        </w:tc>
      </w:tr>
      <w:tr>
        <w:trPr>
          <w:trHeight w:val="200"/>
        </w:trPr>
        <w:tc>
          <w:tcPr>
            <w:tcW w:w="7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Additional purchases</w:t>
            </w:r>
          </w:p>
        </w:tc>
        <w:tc>
          <w:tcPr>
            <w:tcW w:w="20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w:t>
            </w:r>
          </w:p>
        </w:tc>
      </w:tr>
      <w:tr>
        <w:trPr>
          <w:trHeight w:val="205"/>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fair value measurement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w:t>
            </w:r>
          </w:p>
        </w:tc>
      </w:tr>
      <w:tr>
        <w:trPr>
          <w:trHeight w:val="200"/>
        </w:trPr>
        <w:tc>
          <w:tcPr>
            <w:tcW w:w="7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205"/>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 reinvestment, net of tax</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6"/>
        </w:trPr>
        <w:tc>
          <w:tcPr>
            <w:tcW w:w="7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186.9</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Developers and Operators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by underlying collateral and / or personal guarantees. Refer to Note 4, "Notes and Other Receivables,"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Assets - Interest Rate Derivatives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derivatives are recorded at fair value and consist of Treasury locks. The fair value of the Treasury lock is measured using observable inputs based on the 10-year Treasury note rate (Level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Debt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8, "Debt and Line of Credit," for additional information.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Debt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Senior unsecured notes - the fair value of senior unsecured notes is based on the estimates of management and on rates currently quoted, rates currently prevailing for comparable loans and instruments of comparable maturities (Level 2). Refer to Note 8, "Debt and Line of Credit," for additional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The estimated fair value of our indebtedness as of June 30, 2022 approximated its gross carrying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Liabilities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Reconciliation, Measurements and Transfers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six months ended June 30,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to our financial instruments carried at fair value and classified within Level 3 of the fair value hierarchy for the three and six months ended June 30, 2022 and 2021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114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 Notes</w:t>
            </w:r>
          </w:p>
        </w:tc>
        <w:tc>
          <w:tcPr>
            <w:tcW w:w="120" w:type="dxa"/>
            <w:vAlign w:val="bottom"/>
          </w:tcPr>
          <w:p>
            <w:pPr>
              <w:spacing w:after="0"/>
              <w:rPr>
                <w:sz w:val="12"/>
                <w:szCs w:val="12"/>
                <w:color w:val="auto"/>
              </w:rPr>
            </w:pPr>
          </w:p>
        </w:tc>
        <w:tc>
          <w:tcPr>
            <w:tcW w:w="1720" w:type="dxa"/>
            <w:vAlign w:val="bottom"/>
          </w:tcPr>
          <w:p>
            <w:pPr>
              <w:jc w:val="center"/>
              <w:ind w:right="44"/>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 From</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 Notes</w:t>
            </w:r>
          </w:p>
        </w:tc>
        <w:tc>
          <w:tcPr>
            <w:tcW w:w="120" w:type="dxa"/>
            <w:vAlign w:val="bottom"/>
          </w:tcPr>
          <w:p>
            <w:pPr>
              <w:spacing w:after="0"/>
              <w:rPr>
                <w:sz w:val="12"/>
                <w:szCs w:val="12"/>
                <w:color w:val="auto"/>
              </w:rPr>
            </w:pPr>
          </w:p>
        </w:tc>
        <w:tc>
          <w:tcPr>
            <w:tcW w:w="1720" w:type="dxa"/>
            <w:vAlign w:val="bottom"/>
          </w:tcPr>
          <w:p>
            <w:pPr>
              <w:jc w:val="center"/>
              <w:ind w:right="64"/>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 From</w:t>
            </w:r>
          </w:p>
        </w:tc>
        <w:tc>
          <w:tcPr>
            <w:tcW w:w="0" w:type="dxa"/>
            <w:vAlign w:val="bottom"/>
          </w:tcPr>
          <w:p>
            <w:pPr>
              <w:spacing w:after="0"/>
              <w:rPr>
                <w:sz w:val="1"/>
                <w:szCs w:val="1"/>
                <w:color w:val="auto"/>
              </w:rPr>
            </w:pPr>
          </w:p>
        </w:tc>
      </w:tr>
      <w:tr>
        <w:trPr>
          <w:trHeight w:val="156"/>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50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Receivable on MH,</w:t>
            </w:r>
          </w:p>
        </w:tc>
        <w:tc>
          <w:tcPr>
            <w:tcW w:w="18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Real Estate Developers and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50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Receivable on MH,</w:t>
            </w:r>
          </w:p>
        </w:tc>
        <w:tc>
          <w:tcPr>
            <w:tcW w:w="18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Real Estate Developers and</w:t>
            </w:r>
          </w:p>
        </w:tc>
        <w:tc>
          <w:tcPr>
            <w:tcW w:w="0" w:type="dxa"/>
            <w:vAlign w:val="bottom"/>
          </w:tcPr>
          <w:p>
            <w:pPr>
              <w:spacing w:after="0"/>
              <w:rPr>
                <w:sz w:val="1"/>
                <w:szCs w:val="1"/>
                <w:color w:val="auto"/>
              </w:rPr>
            </w:pPr>
          </w:p>
        </w:tc>
      </w:tr>
      <w:tr>
        <w:trPr>
          <w:trHeight w:val="202"/>
        </w:trPr>
        <w:tc>
          <w:tcPr>
            <w:tcW w:w="3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net</w:t>
            </w:r>
          </w:p>
        </w:tc>
        <w:tc>
          <w:tcPr>
            <w:tcW w:w="120" w:type="dxa"/>
            <w:vAlign w:val="bottom"/>
          </w:tcPr>
          <w:p>
            <w:pPr>
              <w:spacing w:after="0"/>
              <w:rPr>
                <w:sz w:val="17"/>
                <w:szCs w:val="17"/>
                <w:color w:val="auto"/>
              </w:rPr>
            </w:pPr>
          </w:p>
        </w:tc>
        <w:tc>
          <w:tcPr>
            <w:tcW w:w="17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net</w:t>
            </w:r>
          </w:p>
        </w:tc>
        <w:tc>
          <w:tcPr>
            <w:tcW w:w="120" w:type="dxa"/>
            <w:vAlign w:val="bottom"/>
          </w:tcPr>
          <w:p>
            <w:pPr>
              <w:spacing w:after="0"/>
              <w:rPr>
                <w:sz w:val="17"/>
                <w:szCs w:val="17"/>
                <w:color w:val="auto"/>
              </w:rPr>
            </w:pPr>
          </w:p>
        </w:tc>
        <w:tc>
          <w:tcPr>
            <w:tcW w:w="17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0" w:type="dxa"/>
            <w:vAlign w:val="bottom"/>
          </w:tcPr>
          <w:p>
            <w:pPr>
              <w:spacing w:after="0"/>
              <w:rPr>
                <w:sz w:val="1"/>
                <w:szCs w:val="1"/>
                <w:color w:val="auto"/>
              </w:rPr>
            </w:pPr>
          </w:p>
        </w:tc>
      </w:tr>
      <w:tr>
        <w:trPr>
          <w:trHeight w:val="152"/>
        </w:trPr>
        <w:tc>
          <w:tcPr>
            <w:tcW w:w="324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Level 3 beginning balance at March 31, 2022 and</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Realized gains / (losses)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exchange losses</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Level 3 ending balance at June 30, 2022 and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114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5"/>
                <w:szCs w:val="15"/>
                <w:b w:val="1"/>
                <w:bCs w:val="1"/>
                <w:color w:val="auto"/>
              </w:rPr>
              <w:t>Installment Notes</w:t>
            </w:r>
          </w:p>
        </w:tc>
        <w:tc>
          <w:tcPr>
            <w:tcW w:w="120" w:type="dxa"/>
            <w:vAlign w:val="bottom"/>
          </w:tcPr>
          <w:p>
            <w:pPr>
              <w:spacing w:after="0"/>
              <w:rPr>
                <w:sz w:val="12"/>
                <w:szCs w:val="12"/>
                <w:color w:val="auto"/>
              </w:rPr>
            </w:pPr>
          </w:p>
        </w:tc>
        <w:tc>
          <w:tcPr>
            <w:tcW w:w="1720" w:type="dxa"/>
            <w:vAlign w:val="bottom"/>
          </w:tcPr>
          <w:p>
            <w:pPr>
              <w:jc w:val="center"/>
              <w:ind w:right="44"/>
              <w:spacing w:after="0" w:line="142" w:lineRule="exact"/>
              <w:rPr>
                <w:sz w:val="20"/>
                <w:szCs w:val="20"/>
                <w:color w:val="auto"/>
              </w:rPr>
            </w:pPr>
            <w:r>
              <w:rPr>
                <w:rFonts w:ascii="Times New Roman" w:cs="Times New Roman" w:eastAsia="Times New Roman" w:hAnsi="Times New Roman"/>
                <w:sz w:val="15"/>
                <w:szCs w:val="15"/>
                <w:b w:val="1"/>
                <w:bCs w:val="1"/>
                <w:color w:val="auto"/>
              </w:rPr>
              <w:t>Notes Receivable From</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5"/>
                <w:szCs w:val="15"/>
                <w:b w:val="1"/>
                <w:bCs w:val="1"/>
                <w:color w:val="auto"/>
              </w:rPr>
              <w:t>Installment Notes</w:t>
            </w:r>
          </w:p>
        </w:tc>
        <w:tc>
          <w:tcPr>
            <w:tcW w:w="120" w:type="dxa"/>
            <w:vAlign w:val="bottom"/>
          </w:tcPr>
          <w:p>
            <w:pPr>
              <w:spacing w:after="0"/>
              <w:rPr>
                <w:sz w:val="12"/>
                <w:szCs w:val="12"/>
                <w:color w:val="auto"/>
              </w:rPr>
            </w:pPr>
          </w:p>
        </w:tc>
        <w:tc>
          <w:tcPr>
            <w:tcW w:w="1720" w:type="dxa"/>
            <w:vAlign w:val="bottom"/>
          </w:tcPr>
          <w:p>
            <w:pPr>
              <w:jc w:val="center"/>
              <w:ind w:right="64"/>
              <w:spacing w:after="0" w:line="142" w:lineRule="exact"/>
              <w:rPr>
                <w:sz w:val="20"/>
                <w:szCs w:val="20"/>
                <w:color w:val="auto"/>
              </w:rPr>
            </w:pPr>
            <w:r>
              <w:rPr>
                <w:rFonts w:ascii="Times New Roman" w:cs="Times New Roman" w:eastAsia="Times New Roman" w:hAnsi="Times New Roman"/>
                <w:sz w:val="15"/>
                <w:szCs w:val="15"/>
                <w:b w:val="1"/>
                <w:bCs w:val="1"/>
                <w:color w:val="auto"/>
              </w:rPr>
              <w:t>Notes Receivable From</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Receivable on MH,</w:t>
            </w:r>
          </w:p>
        </w:tc>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Real Estate Developers 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Receivable on MH,</w:t>
            </w:r>
          </w:p>
        </w:tc>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Real Estate Developers and</w:t>
            </w:r>
          </w:p>
        </w:tc>
        <w:tc>
          <w:tcPr>
            <w:tcW w:w="0" w:type="dxa"/>
            <w:vAlign w:val="bottom"/>
          </w:tcPr>
          <w:p>
            <w:pPr>
              <w:spacing w:after="0"/>
              <w:rPr>
                <w:sz w:val="1"/>
                <w:szCs w:val="1"/>
                <w:color w:val="auto"/>
              </w:rPr>
            </w:pPr>
          </w:p>
        </w:tc>
      </w:tr>
      <w:tr>
        <w:trPr>
          <w:trHeight w:val="21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net</w:t>
            </w:r>
          </w:p>
        </w:tc>
        <w:tc>
          <w:tcPr>
            <w:tcW w:w="120" w:type="dxa"/>
            <w:vAlign w:val="bottom"/>
          </w:tcPr>
          <w:p>
            <w:pPr>
              <w:spacing w:after="0"/>
              <w:rPr>
                <w:sz w:val="18"/>
                <w:szCs w:val="18"/>
                <w:color w:val="auto"/>
              </w:rPr>
            </w:pPr>
          </w:p>
        </w:tc>
        <w:tc>
          <w:tcPr>
            <w:tcW w:w="17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net</w:t>
            </w:r>
          </w:p>
        </w:tc>
        <w:tc>
          <w:tcPr>
            <w:tcW w:w="120" w:type="dxa"/>
            <w:vAlign w:val="bottom"/>
          </w:tcPr>
          <w:p>
            <w:pPr>
              <w:spacing w:after="0"/>
              <w:rPr>
                <w:sz w:val="18"/>
                <w:szCs w:val="18"/>
                <w:color w:val="auto"/>
              </w:rPr>
            </w:pPr>
          </w:p>
        </w:tc>
        <w:tc>
          <w:tcPr>
            <w:tcW w:w="17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0" w:type="dxa"/>
            <w:vAlign w:val="bottom"/>
          </w:tcPr>
          <w:p>
            <w:pPr>
              <w:spacing w:after="0"/>
              <w:rPr>
                <w:sz w:val="1"/>
                <w:szCs w:val="1"/>
                <w:color w:val="auto"/>
              </w:rPr>
            </w:pPr>
          </w:p>
        </w:tc>
      </w:tr>
      <w:tr>
        <w:trPr>
          <w:trHeight w:val="146"/>
        </w:trPr>
        <w:tc>
          <w:tcPr>
            <w:tcW w:w="3240" w:type="dxa"/>
            <w:vAlign w:val="bottom"/>
            <w:tcBorders>
              <w:top w:val="single" w:sz="8" w:color="auto"/>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5"/>
                <w:szCs w:val="15"/>
                <w:color w:val="auto"/>
              </w:rPr>
              <w:t>Level 3 beginning balance at December 31, 2021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Transfer to level 3</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Realized gains / (losses)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12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Foreign currency exchange losses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9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Level 3 ending balance at June 30, 2022 and 2021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104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40" w:type="dxa"/>
            <w:vAlign w:val="bottom"/>
          </w:tcPr>
          <w:p>
            <w:pPr>
              <w:spacing w:after="0"/>
              <w:rPr>
                <w:sz w:val="17"/>
                <w:szCs w:val="17"/>
                <w:color w:val="auto"/>
              </w:rPr>
            </w:pPr>
          </w:p>
        </w:tc>
        <w:tc>
          <w:tcPr>
            <w:tcW w:w="1440" w:type="dxa"/>
            <w:vAlign w:val="bottom"/>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48"/>
        </w:trPr>
        <w:tc>
          <w:tcPr>
            <w:tcW w:w="4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top w:val="single" w:sz="8" w:color="auto"/>
            </w:tcBorders>
          </w:tcPr>
          <w:p>
            <w:pPr>
              <w:jc w:val="center"/>
              <w:ind w:left="284"/>
              <w:spacing w:after="0" w:line="148" w:lineRule="exact"/>
              <w:rPr>
                <w:sz w:val="20"/>
                <w:szCs w:val="20"/>
                <w:color w:val="auto"/>
              </w:rPr>
            </w:pPr>
            <w:r>
              <w:rPr>
                <w:rFonts w:ascii="Times New Roman" w:cs="Times New Roman" w:eastAsia="Times New Roman" w:hAnsi="Times New Roman"/>
                <w:sz w:val="15"/>
                <w:szCs w:val="15"/>
                <w:b w:val="1"/>
                <w:bCs w:val="1"/>
                <w:color w:val="auto"/>
              </w:rPr>
              <w:t>Contingent</w:t>
            </w: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top w:val="single" w:sz="8" w:color="auto"/>
            </w:tcBorders>
          </w:tcPr>
          <w:p>
            <w:pPr>
              <w:jc w:val="center"/>
              <w:ind w:left="284"/>
              <w:spacing w:after="0" w:line="148" w:lineRule="exact"/>
              <w:rPr>
                <w:sz w:val="20"/>
                <w:szCs w:val="20"/>
                <w:color w:val="auto"/>
              </w:rPr>
            </w:pPr>
            <w:r>
              <w:rPr>
                <w:rFonts w:ascii="Times New Roman" w:cs="Times New Roman" w:eastAsia="Times New Roman" w:hAnsi="Times New Roman"/>
                <w:sz w:val="15"/>
                <w:szCs w:val="15"/>
                <w:b w:val="1"/>
                <w:bCs w:val="1"/>
                <w:color w:val="auto"/>
              </w:rPr>
              <w:t>Contingent</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144"/>
              <w:spacing w:after="0" w:line="148" w:lineRule="exact"/>
              <w:rPr>
                <w:sz w:val="20"/>
                <w:szCs w:val="20"/>
                <w:color w:val="auto"/>
              </w:rPr>
            </w:pPr>
            <w:r>
              <w:rPr>
                <w:rFonts w:ascii="Times New Roman" w:cs="Times New Roman" w:eastAsia="Times New Roman" w:hAnsi="Times New Roman"/>
                <w:sz w:val="15"/>
                <w:szCs w:val="15"/>
                <w:b w:val="1"/>
                <w:bCs w:val="1"/>
                <w:color w:val="auto"/>
              </w:rPr>
              <w:t>Contingent</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164"/>
              <w:spacing w:after="0" w:line="148" w:lineRule="exact"/>
              <w:rPr>
                <w:sz w:val="20"/>
                <w:szCs w:val="20"/>
                <w:color w:val="auto"/>
              </w:rPr>
            </w:pPr>
            <w:r>
              <w:rPr>
                <w:rFonts w:ascii="Times New Roman" w:cs="Times New Roman" w:eastAsia="Times New Roman" w:hAnsi="Times New Roman"/>
                <w:sz w:val="15"/>
                <w:szCs w:val="15"/>
                <w:b w:val="1"/>
                <w:bCs w:val="1"/>
                <w:color w:val="auto"/>
              </w:rPr>
              <w:t>Contingent</w:t>
            </w:r>
          </w:p>
        </w:tc>
      </w:tr>
      <w:tr>
        <w:trPr>
          <w:trHeight w:val="20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320" w:type="dxa"/>
            <w:vAlign w:val="bottom"/>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240" w:type="dxa"/>
            <w:vAlign w:val="bottom"/>
          </w:tcPr>
          <w:p>
            <w:pPr>
              <w:spacing w:after="0"/>
              <w:rPr>
                <w:sz w:val="17"/>
                <w:szCs w:val="17"/>
                <w:color w:val="auto"/>
              </w:rPr>
            </w:pPr>
          </w:p>
        </w:tc>
        <w:tc>
          <w:tcPr>
            <w:tcW w:w="1440" w:type="dxa"/>
            <w:vAlign w:val="bottom"/>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Consideration</w:t>
            </w:r>
          </w:p>
        </w:tc>
      </w:tr>
      <w:tr>
        <w:trPr>
          <w:trHeight w:val="156"/>
        </w:trPr>
        <w:tc>
          <w:tcPr>
            <w:tcW w:w="412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Level 3 beginning balance at March 31, 2022 and 2021, and</w:t>
            </w: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20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31, 2021 and 2020</w:t>
            </w:r>
          </w:p>
        </w:tc>
        <w:tc>
          <w:tcPr>
            <w:tcW w:w="1320" w:type="dxa"/>
            <w:vAlign w:val="bottom"/>
            <w:shd w:val="clear" w:color="auto" w:fill="CCEEFF"/>
          </w:tcPr>
          <w:p>
            <w:pPr>
              <w:jc w:val="right"/>
              <w:ind w:right="114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20.2</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4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18.2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r>
      <w:tr>
        <w:trPr>
          <w:trHeight w:val="20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Realized losses</w:t>
            </w:r>
          </w:p>
        </w:tc>
        <w:tc>
          <w:tcPr>
            <w:tcW w:w="132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13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132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23"/>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Level 3 ending balance at June 30, 2022 and 2021</w:t>
            </w:r>
          </w:p>
        </w:tc>
        <w:tc>
          <w:tcPr>
            <w:tcW w:w="1320" w:type="dxa"/>
            <w:vAlign w:val="bottom"/>
            <w:tcBorders>
              <w:top w:val="single" w:sz="8" w:color="auto"/>
              <w:bottom w:val="single" w:sz="8" w:color="auto"/>
            </w:tcBorders>
            <w:shd w:val="clear" w:color="auto" w:fill="CCEEFF"/>
          </w:tcPr>
          <w:p>
            <w:pPr>
              <w:jc w:val="right"/>
              <w:ind w:right="114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ind w:right="114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June 30, 2022. As such, our estimates of fair value could differ significantly from the actual carrying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land under non-cancelable operating leases at certain MH, RV and Marina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June 30, 2022 where we are the lessee include: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Lease Liabilities (in millions)</w:t>
            </w: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(excluding six months ended June 30, 2022)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200"/>
        </w:trPr>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r>
      <w:tr>
        <w:trPr>
          <w:trHeight w:val="205"/>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r>
      <w:tr>
        <w:trPr>
          <w:trHeight w:val="200"/>
        </w:trPr>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r>
      <w:tr>
        <w:trPr>
          <w:trHeight w:val="205"/>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0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234.6</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234.6</w:t>
            </w:r>
          </w:p>
        </w:tc>
      </w:tr>
      <w:tr>
        <w:trPr>
          <w:trHeight w:val="198"/>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Payments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289.7</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8"/>
              </w:rPr>
              <w:t>10.3</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r>
      <w:tr>
        <w:trPr>
          <w:trHeight w:val="200"/>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(134.1)</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(134.5)</w:t>
            </w:r>
          </w:p>
        </w:tc>
      </w:tr>
      <w:tr>
        <w:trPr>
          <w:trHeight w:val="22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Lease Liabilities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(ROU) assets and lease liabilities for finance and operating leases as included in our Consolidated Balance Sheets are as follows (in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Financial Statement</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40" w:type="dxa"/>
            <w:vAlign w:val="bottom"/>
            <w:tcBorders>
              <w:bottom w:val="single" w:sz="8" w:color="auto"/>
            </w:tcBorders>
          </w:tcPr>
          <w:p>
            <w:pPr>
              <w:spacing w:after="0"/>
              <w:rPr>
                <w:sz w:val="18"/>
                <w:szCs w:val="18"/>
                <w:color w:val="auto"/>
              </w:rPr>
            </w:pPr>
          </w:p>
        </w:tc>
      </w:tr>
      <w:tr>
        <w:trPr>
          <w:trHeight w:val="196"/>
        </w:trPr>
        <w:tc>
          <w:tcPr>
            <w:tcW w:w="5440" w:type="dxa"/>
            <w:vAlign w:val="bottom"/>
          </w:tcPr>
          <w:p>
            <w:pPr>
              <w:ind w:left="23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80" w:type="dxa"/>
            <w:vAlign w:val="bottom"/>
          </w:tcPr>
          <w:p>
            <w:pPr>
              <w:spacing w:after="0"/>
              <w:rPr>
                <w:sz w:val="17"/>
                <w:szCs w:val="17"/>
                <w:color w:val="auto"/>
              </w:rPr>
            </w:pPr>
          </w:p>
        </w:tc>
        <w:tc>
          <w:tcPr>
            <w:tcW w:w="2160" w:type="dxa"/>
            <w:vAlign w:val="bottom"/>
            <w:gridSpan w:val="2"/>
          </w:tcPr>
          <w:p>
            <w:pPr>
              <w:ind w:left="60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26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Pr>
          <w:p>
            <w:pPr>
              <w:spacing w:after="0"/>
              <w:rPr>
                <w:sz w:val="17"/>
                <w:szCs w:val="17"/>
                <w:color w:val="auto"/>
              </w:rPr>
            </w:pP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96"/>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00"/>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right-of-use asset, net of accumulated amortization</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property, net</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 net</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w:t>
            </w:r>
          </w:p>
        </w:tc>
      </w:tr>
      <w:tr>
        <w:trPr>
          <w:trHeight w:val="200"/>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Below market operating leases, net</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Liabilities</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0"/>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expense for finance and operating leases, and short-term lease cost as included in our Consolidated Statements of Operations are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Pr>
          <w:p>
            <w:pPr>
              <w:spacing w:after="0"/>
              <w:rPr>
                <w:sz w:val="17"/>
                <w:szCs w:val="17"/>
                <w:color w:val="auto"/>
              </w:rPr>
            </w:pPr>
          </w:p>
        </w:tc>
        <w:tc>
          <w:tcPr>
            <w:tcW w:w="2720" w:type="dxa"/>
            <w:vAlign w:val="bottom"/>
            <w:gridSpan w:val="4"/>
          </w:tcPr>
          <w:p>
            <w:pPr>
              <w:jc w:val="right"/>
              <w:ind w:right="7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2"/>
        </w:trPr>
        <w:tc>
          <w:tcPr>
            <w:tcW w:w="2420" w:type="dxa"/>
            <w:vAlign w:val="bottom"/>
            <w:gridSpan w:val="2"/>
          </w:tcPr>
          <w:p>
            <w:pPr>
              <w:ind w:left="8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86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Expense</w:t>
            </w:r>
          </w:p>
        </w:tc>
        <w:tc>
          <w:tcPr>
            <w:tcW w:w="8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00"/>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ROU assets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48"/>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General and administrative expense,</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Property operating and maintenance,</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1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lease cost</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7"/>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Variable lease cost</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Expense</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00" w:type="dxa"/>
            <w:vAlign w:val="bottom"/>
          </w:tcPr>
          <w:p>
            <w:pPr>
              <w:spacing w:after="0"/>
              <w:rPr>
                <w:sz w:val="17"/>
                <w:szCs w:val="17"/>
                <w:color w:val="auto"/>
              </w:rPr>
            </w:pPr>
          </w:p>
        </w:tc>
        <w:tc>
          <w:tcPr>
            <w:tcW w:w="184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As of</w:t>
            </w:r>
          </w:p>
        </w:tc>
      </w:tr>
      <w:tr>
        <w:trPr>
          <w:trHeight w:val="200"/>
        </w:trPr>
        <w:tc>
          <w:tcPr>
            <w:tcW w:w="94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June 30, 2022</w:t>
            </w:r>
          </w:p>
        </w:tc>
      </w:tr>
      <w:tr>
        <w:trPr>
          <w:trHeight w:val="18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Term and Discount Rate</w:t>
            </w:r>
          </w:p>
        </w:tc>
        <w:tc>
          <w:tcPr>
            <w:tcW w:w="1840" w:type="dxa"/>
            <w:vAlign w:val="bottom"/>
            <w:shd w:val="clear" w:color="auto" w:fill="CCEEFF"/>
          </w:tcPr>
          <w:p>
            <w:pPr>
              <w:spacing w:after="0"/>
              <w:rPr>
                <w:sz w:val="15"/>
                <w:szCs w:val="15"/>
                <w:color w:val="auto"/>
              </w:rPr>
            </w:pPr>
          </w:p>
        </w:tc>
      </w:tr>
      <w:tr>
        <w:trPr>
          <w:trHeight w:val="200"/>
        </w:trPr>
        <w:tc>
          <w:tcPr>
            <w:tcW w:w="9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Remaining Lease Terms (years)</w:t>
            </w:r>
          </w:p>
        </w:tc>
        <w:tc>
          <w:tcPr>
            <w:tcW w:w="1840" w:type="dxa"/>
            <w:vAlign w:val="bottom"/>
          </w:tcPr>
          <w:p>
            <w:pPr>
              <w:spacing w:after="0"/>
              <w:rPr>
                <w:sz w:val="17"/>
                <w:szCs w:val="17"/>
                <w:color w:val="auto"/>
              </w:rPr>
            </w:pPr>
          </w:p>
        </w:tc>
      </w:tr>
      <w:tr>
        <w:trPr>
          <w:trHeight w:val="205"/>
        </w:trPr>
        <w:tc>
          <w:tcPr>
            <w:tcW w:w="9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w:t>
            </w:r>
          </w:p>
        </w:tc>
      </w:tr>
      <w:tr>
        <w:trPr>
          <w:trHeight w:val="200"/>
        </w:trPr>
        <w:tc>
          <w:tcPr>
            <w:tcW w:w="9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34.49</w:t>
            </w:r>
          </w:p>
        </w:tc>
      </w:tr>
      <w:tr>
        <w:trPr>
          <w:trHeight w:val="205"/>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1840" w:type="dxa"/>
            <w:vAlign w:val="bottom"/>
            <w:shd w:val="clear" w:color="auto" w:fill="CCEEFF"/>
          </w:tcPr>
          <w:p>
            <w:pPr>
              <w:spacing w:after="0"/>
              <w:rPr>
                <w:sz w:val="17"/>
                <w:szCs w:val="17"/>
                <w:color w:val="auto"/>
              </w:rPr>
            </w:pPr>
          </w:p>
        </w:tc>
      </w:tr>
      <w:tr>
        <w:trPr>
          <w:trHeight w:val="200"/>
        </w:trPr>
        <w:tc>
          <w:tcPr>
            <w:tcW w:w="9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1.86 %</w:t>
            </w:r>
          </w:p>
        </w:tc>
      </w:tr>
      <w:tr>
        <w:trPr>
          <w:trHeight w:val="205"/>
        </w:trPr>
        <w:tc>
          <w:tcPr>
            <w:tcW w:w="9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3.81 %</w:t>
            </w:r>
          </w:p>
        </w:tc>
      </w:tr>
    </w:tbl>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80" w:type="dxa"/>
            <w:vAlign w:val="bottom"/>
          </w:tcPr>
          <w:p>
            <w:pPr>
              <w:spacing w:after="0"/>
              <w:rPr>
                <w:sz w:val="17"/>
                <w:szCs w:val="17"/>
                <w:color w:val="auto"/>
              </w:rPr>
            </w:pPr>
          </w:p>
        </w:tc>
        <w:tc>
          <w:tcPr>
            <w:tcW w:w="3220" w:type="dxa"/>
            <w:vAlign w:val="bottom"/>
            <w:tcBorders>
              <w:bottom w:val="single" w:sz="8" w:color="auto"/>
            </w:tcBorders>
            <w:gridSpan w:val="4"/>
          </w:tcPr>
          <w:p>
            <w:pPr>
              <w:jc w:val="right"/>
              <w:ind w:right="76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340" w:type="dxa"/>
            <w:vAlign w:val="bottom"/>
            <w:tcBorders>
              <w:bottom w:val="single" w:sz="8" w:color="auto"/>
            </w:tcBorders>
          </w:tcPr>
          <w:p>
            <w:pPr>
              <w:spacing w:after="0"/>
              <w:rPr>
                <w:sz w:val="17"/>
                <w:szCs w:val="17"/>
                <w:color w:val="auto"/>
              </w:rPr>
            </w:pPr>
          </w:p>
        </w:tc>
      </w:tr>
      <w:tr>
        <w:trPr>
          <w:trHeight w:val="200"/>
        </w:trPr>
        <w:tc>
          <w:tcPr>
            <w:tcW w:w="76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340" w:type="dxa"/>
            <w:vAlign w:val="bottom"/>
            <w:tcBorders>
              <w:bottom w:val="single" w:sz="8" w:color="auto"/>
            </w:tcBorders>
          </w:tcPr>
          <w:p>
            <w:pPr>
              <w:spacing w:after="0"/>
              <w:rPr>
                <w:sz w:val="17"/>
                <w:szCs w:val="17"/>
                <w:color w:val="auto"/>
              </w:rPr>
            </w:pPr>
          </w:p>
        </w:tc>
      </w:tr>
      <w:tr>
        <w:trPr>
          <w:trHeight w:val="18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 (in millions)</w:t>
            </w:r>
          </w:p>
        </w:tc>
        <w:tc>
          <w:tcPr>
            <w:tcW w:w="1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200"/>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5"/>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cash flow from operating leases</w:t>
            </w:r>
          </w:p>
        </w:tc>
        <w:tc>
          <w:tcPr>
            <w:tcW w:w="1400" w:type="dxa"/>
            <w:vAlign w:val="bottom"/>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0"/>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Financing cash flow from finance leases</w:t>
            </w:r>
          </w:p>
        </w:tc>
        <w:tc>
          <w:tcPr>
            <w:tcW w:w="1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23"/>
        </w:trPr>
        <w:tc>
          <w:tcPr>
            <w:tcW w:w="7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Cash Paid On Lease Liabilities</w:t>
            </w:r>
          </w:p>
        </w:tc>
        <w:tc>
          <w:tcPr>
            <w:tcW w:w="1400" w:type="dxa"/>
            <w:vAlign w:val="bottom"/>
            <w:tcBorders>
              <w:bottom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the lessor for any finance leases at our MH, RV or Marina properties as of June 30, 2022.</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Nearly all of our operating leases at our MH and RV properties where we are the lessor are either month-to-month or for a time period not to exceed one year. As of June 30, 2022, future minimum lease payments would not exceed 12 months.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at our RV resorts and marinas as of June 30, 2022 where we are the lessor include: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Lease Payments (in millions)</w:t>
            </w:r>
          </w:p>
        </w:tc>
        <w:tc>
          <w:tcPr>
            <w:tcW w:w="200" w:type="dxa"/>
            <w:vAlign w:val="bottom"/>
          </w:tcPr>
          <w:p>
            <w:pPr>
              <w:spacing w:after="0"/>
              <w:rPr>
                <w:sz w:val="17"/>
                <w:szCs w:val="17"/>
                <w:color w:val="auto"/>
              </w:rPr>
            </w:pPr>
          </w:p>
        </w:tc>
        <w:tc>
          <w:tcPr>
            <w:tcW w:w="15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Operating Leases</w:t>
            </w:r>
          </w:p>
        </w:tc>
      </w:tr>
      <w:tr>
        <w:trPr>
          <w:trHeight w:val="200"/>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(excluding the six months ended June 30, 2022)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w:t>
            </w:r>
          </w:p>
        </w:tc>
      </w:tr>
      <w:tr>
        <w:trPr>
          <w:trHeight w:val="223"/>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Undiscounted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for our operating leases, as included in our Consolidated Statement of Operations are as follows (in millions):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right="120" w:firstLine="583"/>
        <w:spacing w:after="0" w:line="341" w:lineRule="auto"/>
        <w:rPr>
          <w:sz w:val="20"/>
          <w:szCs w:val="20"/>
          <w:color w:val="auto"/>
        </w:rPr>
      </w:pPr>
      <w:r>
        <w:rPr>
          <w:rFonts w:ascii="Times New Roman" w:cs="Times New Roman" w:eastAsia="Times New Roman" w:hAnsi="Times New Roman"/>
          <w:sz w:val="15"/>
          <w:szCs w:val="15"/>
          <w:b w:val="1"/>
          <w:bCs w:val="1"/>
          <w:color w:val="auto"/>
        </w:rPr>
        <w:t>Description Operating Leases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Fixed lease income</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Variable lease income</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0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2"/>
        </w:trPr>
        <w:tc>
          <w:tcPr>
            <w:tcW w:w="2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34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from real property; Brokerage</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commissions and other revenue, net</w:t>
            </w:r>
          </w:p>
        </w:tc>
        <w:tc>
          <w:tcPr>
            <w:tcW w:w="1180" w:type="dxa"/>
            <w:vAlign w:val="bottom"/>
          </w:tcPr>
          <w:p>
            <w:pPr>
              <w:jc w:val="right"/>
              <w:ind w:right="100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6.9</w:t>
            </w:r>
          </w:p>
        </w:tc>
        <w:tc>
          <w:tcPr>
            <w:tcW w:w="80" w:type="dxa"/>
            <w:vAlign w:val="bottom"/>
          </w:tcPr>
          <w:p>
            <w:pPr>
              <w:spacing w:after="0"/>
              <w:rPr>
                <w:sz w:val="18"/>
                <w:szCs w:val="18"/>
                <w:color w:val="auto"/>
              </w:rPr>
            </w:pPr>
          </w:p>
        </w:tc>
        <w:tc>
          <w:tcPr>
            <w:tcW w:w="1180" w:type="dxa"/>
            <w:vAlign w:val="bottom"/>
          </w:tcPr>
          <w:p>
            <w:pPr>
              <w:jc w:val="right"/>
              <w:ind w:right="100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5.4</w:t>
            </w:r>
          </w:p>
        </w:tc>
        <w:tc>
          <w:tcPr>
            <w:tcW w:w="20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57"/>
        </w:trPr>
        <w:tc>
          <w:tcPr>
            <w:tcW w:w="30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from real property; Brokerage</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commissions and other revenue, net</w:t>
            </w:r>
          </w:p>
        </w:tc>
        <w:tc>
          <w:tcPr>
            <w:tcW w:w="1180" w:type="dxa"/>
            <w:vAlign w:val="bottom"/>
          </w:tcPr>
          <w:p>
            <w:pPr>
              <w:jc w:val="right"/>
              <w:ind w:right="100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0.8</w:t>
            </w:r>
          </w:p>
        </w:tc>
        <w:tc>
          <w:tcPr>
            <w:tcW w:w="80" w:type="dxa"/>
            <w:vAlign w:val="bottom"/>
          </w:tcPr>
          <w:p>
            <w:pPr>
              <w:spacing w:after="0"/>
              <w:rPr>
                <w:sz w:val="18"/>
                <w:szCs w:val="18"/>
                <w:color w:val="auto"/>
              </w:rPr>
            </w:pPr>
          </w:p>
        </w:tc>
        <w:tc>
          <w:tcPr>
            <w:tcW w:w="1180" w:type="dxa"/>
            <w:vAlign w:val="bottom"/>
          </w:tcPr>
          <w:p>
            <w:pPr>
              <w:jc w:val="right"/>
              <w:ind w:right="100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1.2</w:t>
            </w:r>
          </w:p>
        </w:tc>
        <w:tc>
          <w:tcPr>
            <w:tcW w:w="20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-225425</wp:posOffset>
            </wp:positionV>
            <wp:extent cx="7132320" cy="2311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-594360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1480" w:space="560"/>
            <w:col w:w="9200"/>
          </w:cols>
          <w:pgMar w:left="320" w:top="124" w:right="339" w:bottom="1440" w:gutter="0" w:footer="0" w:header="0"/>
          <w:type w:val="continuous"/>
        </w:sectPr>
      </w:pPr>
    </w:p>
    <w:p>
      <w:pPr>
        <w:ind w:left="160" w:hanging="152"/>
        <w:spacing w:after="0"/>
        <w:tabs>
          <w:tab w:leader="none" w:pos="16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rent primarily based on a percentage of acquisition costs and net operating income.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Failed sale leaseback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Park Holidays, we assumed ground lease arrangements for 25 UK properties that we concluded to be failed sale-leaseback transactions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arrangements have maturities ranging from 2117 through 2143 with an option to repurchase for £1.00 at the end of the term. The obligation related to the underlying ground leases has been recorded as a financial liability of $287.5 million as of June 30, 2022. The financial liability is recorded within Other Liabilities on the Consolidated Balance Sheets. The following table presents the future minimum rental payments for this financial liability as of June 30,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Financial Liability (in millions)</w:t>
            </w:r>
          </w:p>
        </w:tc>
        <w:tc>
          <w:tcPr>
            <w:tcW w:w="260" w:type="dxa"/>
            <w:vAlign w:val="bottom"/>
          </w:tcPr>
          <w:p>
            <w:pPr>
              <w:spacing w:after="0"/>
              <w:rPr>
                <w:sz w:val="17"/>
                <w:szCs w:val="17"/>
                <w:color w:val="auto"/>
              </w:rPr>
            </w:pPr>
          </w:p>
        </w:tc>
        <w:tc>
          <w:tcPr>
            <w:tcW w:w="148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June 30, 2022</w:t>
            </w:r>
          </w:p>
        </w:tc>
      </w:tr>
      <w:tr>
        <w:trPr>
          <w:trHeight w:val="200"/>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(excluding six months ended June 30, 2022)</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1,373.6</w:t>
            </w:r>
          </w:p>
        </w:tc>
      </w:tr>
      <w:tr>
        <w:trPr>
          <w:trHeight w:val="198"/>
        </w:trPr>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Payments</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1,413.2</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(1,125.7)</w:t>
            </w:r>
          </w:p>
        </w:tc>
      </w:tr>
      <w:tr>
        <w:trPr>
          <w:trHeight w:val="223"/>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Financial Liability</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Adopted</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2020-06,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This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the accounting for convertible instruments by eliminating the models that require separation of a cash conversion or beneficial conversion feature from the host contract. Under the amended guidance, a convertible debt instrument is treated as one liability accounted for at its amortized cost and convertible preferred stock is considered one equity instrument accounted for at its historical cost, unless (a) there are other features that require bifurcation as a derivative, or (b) convertible debt was issued at a substantial premium. This update also eliminates several triggers for derivative accounting, including a requirement to settle certain contracts by delivering registered shares. Additionally, this update provides clarifications to improve the consistency of earnings per share (EPS) calculations. We adopted the ASU on January 1, 2022. The adoption of this ASU did not have an impact on our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 -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provides optional guidance for accounting for contracts, hedging relationships and other transactions affected by the reference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reform, if certain criteria are met. The provisions of this standard are available for election through December 31, 2022. As of June 30, 2022, we do not expect the transition from LIBOR to alternative reference interest rates will have a material impact on our Consolidated Financial Statements as the majority of our debt has fixed interest rates.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three months ended June 30, 2022, we acquired the following properties: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Sites, Wet Slips and</w:t>
            </w:r>
          </w:p>
        </w:tc>
        <w:tc>
          <w:tcPr>
            <w:tcW w:w="1100" w:type="dxa"/>
            <w:vAlign w:val="bottom"/>
            <w:vMerge w:val="restart"/>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Development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40" w:type="dxa"/>
            <w:vAlign w:val="bottom"/>
          </w:tcPr>
          <w:p>
            <w:pPr>
              <w:spacing w:after="0"/>
              <w:rPr>
                <w:sz w:val="15"/>
                <w:szCs w:val="15"/>
                <w:color w:val="auto"/>
              </w:rPr>
            </w:pPr>
          </w:p>
        </w:tc>
        <w:tc>
          <w:tcPr>
            <w:tcW w:w="122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56"/>
        </w:trPr>
        <w:tc>
          <w:tcPr>
            <w:tcW w:w="4080" w:type="dxa"/>
            <w:vAlign w:val="bottom"/>
            <w:vMerge w:val="restart"/>
          </w:tcPr>
          <w:p>
            <w:pPr>
              <w:ind w:left="1540"/>
              <w:spacing w:after="0"/>
              <w:rPr>
                <w:sz w:val="20"/>
                <w:szCs w:val="20"/>
                <w:color w:val="auto"/>
              </w:rPr>
            </w:pPr>
            <w:r>
              <w:rPr>
                <w:rFonts w:ascii="Times New Roman" w:cs="Times New Roman" w:eastAsia="Times New Roman" w:hAnsi="Times New Roman"/>
                <w:sz w:val="15"/>
                <w:szCs w:val="15"/>
                <w:b w:val="1"/>
                <w:bCs w:val="1"/>
                <w:color w:val="auto"/>
              </w:rPr>
              <w:t>Property Name</w:t>
            </w:r>
          </w:p>
        </w:tc>
        <w:tc>
          <w:tcPr>
            <w:tcW w:w="80" w:type="dxa"/>
            <w:vAlign w:val="bottom"/>
            <w:vMerge w:val="restart"/>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Property Type</w:t>
            </w:r>
          </w:p>
        </w:tc>
        <w:tc>
          <w:tcPr>
            <w:tcW w:w="80" w:type="dxa"/>
            <w:vAlign w:val="bottom"/>
            <w:vMerge w:val="restart"/>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104"/>
              <w:spacing w:after="0" w:line="156" w:lineRule="exact"/>
              <w:rPr>
                <w:sz w:val="20"/>
                <w:szCs w:val="20"/>
                <w:color w:val="auto"/>
              </w:rPr>
            </w:pPr>
            <w:r>
              <w:rPr>
                <w:rFonts w:ascii="Times New Roman" w:cs="Times New Roman" w:eastAsia="Times New Roman" w:hAnsi="Times New Roman"/>
                <w:sz w:val="15"/>
                <w:szCs w:val="15"/>
                <w:b w:val="1"/>
                <w:bCs w:val="1"/>
                <w:color w:val="auto"/>
                <w:w w:val="99"/>
              </w:rPr>
              <w:t>Purchase Price</w:t>
            </w:r>
          </w:p>
        </w:tc>
        <w:tc>
          <w:tcPr>
            <w:tcW w:w="0" w:type="dxa"/>
            <w:vAlign w:val="bottom"/>
          </w:tcPr>
          <w:p>
            <w:pPr>
              <w:spacing w:after="0"/>
              <w:rPr>
                <w:sz w:val="1"/>
                <w:szCs w:val="1"/>
                <w:color w:val="auto"/>
              </w:rPr>
            </w:pPr>
          </w:p>
        </w:tc>
      </w:tr>
      <w:tr>
        <w:trPr>
          <w:trHeight w:val="202"/>
        </w:trPr>
        <w:tc>
          <w:tcPr>
            <w:tcW w:w="40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Dry Storage Spaces</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184"/>
              <w:spacing w:after="0"/>
              <w:rPr>
                <w:sz w:val="20"/>
                <w:szCs w:val="20"/>
                <w:color w:val="auto"/>
              </w:rPr>
            </w:pPr>
            <w:r>
              <w:rPr>
                <w:rFonts w:ascii="Times New Roman" w:cs="Times New Roman" w:eastAsia="Times New Roman" w:hAnsi="Times New Roman"/>
                <w:sz w:val="15"/>
                <w:szCs w:val="15"/>
                <w:b w:val="1"/>
                <w:bCs w:val="1"/>
                <w:color w:val="auto"/>
              </w:rPr>
              <w:t>Sites</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Gurney's Star Island Marina &amp; Resort</w:t>
            </w:r>
            <w:r>
              <w:rPr>
                <w:rFonts w:ascii="Times New Roman" w:cs="Times New Roman" w:eastAsia="Times New Roman" w:hAnsi="Times New Roman"/>
                <w:sz w:val="19"/>
                <w:szCs w:val="19"/>
                <w:color w:val="auto"/>
                <w:vertAlign w:val="superscript"/>
              </w:rPr>
              <w:t>(1)</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Marina</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0" w:type="dxa"/>
            <w:vAlign w:val="bottom"/>
          </w:tcPr>
          <w:p>
            <w:pPr>
              <w:spacing w:after="0"/>
              <w:rPr>
                <w:sz w:val="1"/>
                <w:szCs w:val="1"/>
                <w:color w:val="auto"/>
              </w:rPr>
            </w:pPr>
          </w:p>
        </w:tc>
      </w:tr>
      <w:tr>
        <w:trPr>
          <w:trHeight w:val="19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Subsequent Acquisitions</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part of the closing, we deposited funds into an escrow account. As of June 30, 2022</w:t>
      </w:r>
      <w:r>
        <w:rPr>
          <w:rFonts w:ascii="Times New Roman" w:cs="Times New Roman" w:eastAsia="Times New Roman" w:hAnsi="Times New Roman"/>
          <w:sz w:val="14"/>
          <w:szCs w:val="14"/>
          <w:color w:val="auto"/>
        </w:rPr>
        <w:t>, t</w:t>
      </w:r>
      <w:r>
        <w:rPr>
          <w:rFonts w:ascii="Times New Roman" w:cs="Times New Roman" w:eastAsia="Times New Roman" w:hAnsi="Times New Roman"/>
          <w:sz w:val="12"/>
          <w:szCs w:val="12"/>
          <w:color w:val="auto"/>
        </w:rPr>
        <w:t>he deposit of $192.0 million is recorded within Other Assets on the Consolidated Balance Sheets.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Activity</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the three months ended June 30, 2022, we acquired two land parcels located in the United States for an aggregate purchase price of $5.7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classify real estate assets as held for sale. An asset is classified as held-for-sale after an active program to sell an asset has commenced and when the sale is probable. In July 2022, we identified two RV resorts in California comprised of 852 sites as held for sale, with total assets of $45.6 million and total liabilities of $13.0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5, 2022, we settled forward sale agreements with a total of 986,909 shares of common stock under our at the market offering program. The aggregate net proceeds from the settlement of the forward sale agreements was $180.7 million. We used the net proceeds to repay borrowings outstanding under our Senior Credit Facility.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14, 2022, a third party elected to convert 922,000 Series I preferred OP units and 130,475 Common OP units into an aggregate of 692,670 shares of our common stock. After the conversion date, there were no Series I preferred OP units outstanding.</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Transactions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2022, we entered into two treasury lock contracts with an aggregate notional value of $200.0 million to hedge interest rate risk associated with the future issuance of long-term fixed rate debt. The benchmark interest rate used is the on-the-run 10-year U.S. Treasury. We have designated these treasury lock contracts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Accordingly, the unrealized gains or losses on the treasury lock contracts will be recorded within Accumulated Other Comprehensive Income on the Consolidated Balance Sheets and will be reclassified into earnings in the same period during which the hedged transaction affects earnings.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20 and July 21, 2022, we entered into interest rate swap agreements to hedge variable rate borrowings of £400.0 million under the term loan on the Senior Credit Facility. The interest rate swaps lock in a total fixed rate, inclusive of spread, of 3.67 percent through the term loan maturity date of April 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the consolidated financial condition and results of operations should be read in conjunction with the Consolidated Financial Statements and the accompanying Notes, along with our 2021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REIT. As of June 30, 2022, we owned and operated or held an interest in a portfolio of 661 developed properties located in 39 states throughout the United States, Ontario, Canada, the United Kingdom and Puerto Rico, including 339 MH communities, 161 RV resorts, 31 properties containing both MH and RV sites, and 130 marinas. We have been in the business of acquiring, operating, developing and expanding MH communities and RV resorts since 1975 and marinas since 2020. We lease individual sites with utilities access for placement of manufactured homes, RVs or boats to our customers. We are also engaged in the marketing, selling and leasing of new and pre-owned homes to current and future residents in our MH communities. The Rental Program operations within our MH communities support and enhance our occupancy levels, property performance and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NOI is derived from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w:t>
      </w:r>
    </w:p>
    <w:p>
      <w:pPr>
        <w:spacing w:after="0" w:line="1" w:lineRule="exact"/>
        <w:rPr>
          <w:sz w:val="20"/>
          <w:szCs w:val="20"/>
          <w:color w:val="auto"/>
        </w:rPr>
      </w:pPr>
    </w:p>
    <w:p>
      <w:pPr>
        <w:jc w:val="both"/>
        <w:ind w:firstLine="8"/>
        <w:spacing w:after="0" w:line="255" w:lineRule="auto"/>
        <w:tabs>
          <w:tab w:leader="none" w:pos="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FFO is defined by the National Association of Real Estate Investment Trusts ("NAREIT") as GAAP net income (loss), excluding gains (or losses) from sales of depreciable operating property, plus real estate related depreciation and amortization, real estate related impairments,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Net income attributable to SUI common shareholders to NOI and summarize our consolidated financial results for the three and six months ended June 30, 2022 and 2021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Pr>
          <w:p>
            <w:pPr>
              <w:spacing w:after="0"/>
              <w:rPr>
                <w:sz w:val="17"/>
                <w:szCs w:val="17"/>
                <w:color w:val="auto"/>
              </w:rPr>
            </w:pPr>
          </w:p>
        </w:tc>
        <w:tc>
          <w:tcPr>
            <w:tcW w:w="2660" w:type="dxa"/>
            <w:vAlign w:val="bottom"/>
            <w:gridSpan w:val="4"/>
          </w:tcPr>
          <w:p>
            <w:pPr>
              <w:jc w:val="right"/>
              <w:ind w:right="74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5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Attributable to SUI Common Shareholders</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135.6</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income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205"/>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w:t>
            </w:r>
          </w:p>
        </w:tc>
      </w:tr>
      <w:tr>
        <w:trPr>
          <w:trHeight w:val="205"/>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Business combination expense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5"/>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251.0</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 (see Note 8)</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205"/>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expense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77.2</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on mandatorily redeemable preferred OP units / equity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5"/>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marketable securities (see Note 15)</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5"/>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disposition of properties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205"/>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on remeasurement of notes receivable (see Note 4)</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from nonconsolidated affiliates (see Note 6)</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51"/>
        </w:trPr>
        <w:tc>
          <w:tcPr>
            <w:tcW w:w="54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5"/>
                <w:szCs w:val="15"/>
                <w:color w:val="auto"/>
              </w:rPr>
              <w:t>(Gain) / loss on remeasurement of investment in nonconsolidated affiliates (see</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Note 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Current tax expense (see Note 12)</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5"/>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tax benefit (see Note 12)</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Preferred return to preferred OP units / equity interests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05"/>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Income attributable to noncontrolling interests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196"/>
        </w:trPr>
        <w:tc>
          <w:tcPr>
            <w:tcW w:w="54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NOI</w:t>
            </w: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303.7</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636.6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524.1</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Pr>
          <w:p>
            <w:pPr>
              <w:spacing w:after="0"/>
              <w:rPr>
                <w:sz w:val="17"/>
                <w:szCs w:val="17"/>
                <w:color w:val="auto"/>
              </w:rPr>
            </w:pPr>
          </w:p>
        </w:tc>
        <w:tc>
          <w:tcPr>
            <w:tcW w:w="2660" w:type="dxa"/>
            <w:vAlign w:val="bottom"/>
            <w:gridSpan w:val="4"/>
          </w:tcPr>
          <w:p>
            <w:pPr>
              <w:jc w:val="right"/>
              <w:ind w:right="74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5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Real property NOI</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258.3</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465.8</w:t>
            </w: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Home sales NOI</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Service, retail, dining and entertainment expenses NOI</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196"/>
        </w:trPr>
        <w:tc>
          <w:tcPr>
            <w:tcW w:w="540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NOI</w:t>
            </w: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303.7</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636.6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524.1</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of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RV and Marina industries are seasonal in nature, and the results of operations in any one period may not be indicative of results in future periods.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RV segment,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Real property - transient revenue is included in RV segment revenue. As of June 30, 2022, we recognized Real property - transient revenue of $42.7 million in the first quarter and $93.1 million in the second quarter. Real property - transient revenue was $266.6 million for the year ended December 31, 2021. In 2021, Real property - transient revenue was recognized 11.9 percent in the first quarter, 27.3 percent in the second quarter, 44.9 percent in the third quarter and 15.9 percent in the fourth quarter.</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Marina segment, demand for wet slip storage increases during the summer months as customers contract for the summer boating season, which also drives non-storage revenue streams such as service, fuel and on-premises restaurants or convenience stores. Demand for dry storage increases during the winter season as seasonal weather patterns require boat owners to store their vessels on dry docks and within covered racks. As of June 30, 2022, we recognized seasonal Real property revenue of $62.4 million in the first quarter and $79.4 million in the second quarter. Seasonal Real property revenue was $246.6 million for the year ended December 31, 2021. In 2021, Seasonal Real property revenue was recognized 17.7 percent in the first quarter, 25.0 percent in the second quarter, 29.9 percent in the third quarter and 27.4 percent in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Six Months Ended June 30, 2022 and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Total Portfolio</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Total Portfolio as of and for the three and six months ended June 30, 2022 and 2021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00"/>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20" w:type="dxa"/>
            <w:vAlign w:val="bottom"/>
          </w:tcPr>
          <w:p>
            <w:pPr>
              <w:spacing w:after="0"/>
              <w:rPr>
                <w:sz w:val="17"/>
                <w:szCs w:val="17"/>
                <w:color w:val="auto"/>
              </w:rPr>
            </w:pP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40" w:type="dxa"/>
            <w:vAlign w:val="bottom"/>
          </w:tcPr>
          <w:p>
            <w:pPr>
              <w:spacing w:after="0"/>
              <w:rPr>
                <w:sz w:val="17"/>
                <w:szCs w:val="17"/>
                <w:color w:val="auto"/>
              </w:rPr>
            </w:pPr>
          </w:p>
        </w:tc>
        <w:tc>
          <w:tcPr>
            <w:tcW w:w="68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3"/>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202"/>
        </w:trPr>
        <w:tc>
          <w:tcPr>
            <w:tcW w:w="22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49"/>
        </w:trPr>
        <w:tc>
          <w:tcPr>
            <w:tcW w:w="226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(excluding</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16"/>
        </w:trPr>
        <w:tc>
          <w:tcPr>
            <w:tcW w:w="2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16.2 %</w:t>
            </w:r>
          </w:p>
        </w:tc>
      </w:tr>
      <w:tr>
        <w:trPr>
          <w:trHeight w:val="200"/>
        </w:trPr>
        <w:tc>
          <w:tcPr>
            <w:tcW w:w="2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27.4 %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30.7 %</w:t>
            </w:r>
          </w:p>
        </w:tc>
      </w:tr>
      <w:tr>
        <w:trPr>
          <w:trHeight w:val="205"/>
        </w:trPr>
        <w:tc>
          <w:tcPr>
            <w:tcW w:w="2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23.5 %</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23.9 %</w:t>
            </w:r>
          </w:p>
        </w:tc>
      </w:tr>
      <w:tr>
        <w:trPr>
          <w:trHeight w:val="194"/>
        </w:trPr>
        <w:tc>
          <w:tcPr>
            <w:tcW w:w="22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20.3 %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875.9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19.0 %</w:t>
            </w:r>
          </w:p>
        </w:tc>
      </w:tr>
      <w:tr>
        <w:trPr>
          <w:trHeight w:val="205"/>
        </w:trPr>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2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Property Operating</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147.0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24.4 %</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338.3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68.3</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25.3 %</w:t>
            </w:r>
          </w:p>
        </w:tc>
      </w:tr>
      <w:tr>
        <w:trPr>
          <w:trHeight w:val="223"/>
        </w:trPr>
        <w:tc>
          <w:tcPr>
            <w:tcW w:w="2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Real Property NOI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258.3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18.0 %</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537.6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20" w:type="dxa"/>
            <w:vAlign w:val="bottom"/>
          </w:tcPr>
          <w:p>
            <w:pPr>
              <w:spacing w:after="0"/>
              <w:rPr>
                <w:sz w:val="17"/>
                <w:szCs w:val="17"/>
                <w:color w:val="auto"/>
              </w:rPr>
            </w:pPr>
          </w:p>
        </w:tc>
        <w:tc>
          <w:tcPr>
            <w:tcW w:w="134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8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2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203"/>
        </w:trPr>
        <w:tc>
          <w:tcPr>
            <w:tcW w:w="606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Number of properties</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7"/>
                <w:szCs w:val="17"/>
                <w:color w:val="auto"/>
              </w:rPr>
            </w:pPr>
          </w:p>
        </w:tc>
        <w:tc>
          <w:tcPr>
            <w:tcW w:w="13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569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92</w:t>
            </w:r>
          </w:p>
        </w:tc>
      </w:tr>
      <w:tr>
        <w:trPr>
          <w:trHeight w:val="149"/>
        </w:trPr>
        <w:tc>
          <w:tcPr>
            <w:tcW w:w="6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MH occupancy</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5"/>
        </w:trPr>
        <w:tc>
          <w:tcPr>
            <w:tcW w:w="606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RV occupancy</w:t>
            </w:r>
            <w:r>
              <w:rPr>
                <w:rFonts w:ascii="Times New Roman" w:cs="Times New Roman" w:eastAsia="Times New Roman" w:hAnsi="Times New Roman"/>
                <w:sz w:val="19"/>
                <w:szCs w:val="19"/>
                <w:color w:val="auto"/>
                <w:vertAlign w:val="superscript"/>
              </w:rPr>
              <w:t>(2)</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2"/>
        </w:trPr>
        <w:tc>
          <w:tcPr>
            <w:tcW w:w="606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MH &amp; RV blended occupancy</w:t>
            </w:r>
            <w:r>
              <w:rPr>
                <w:rFonts w:ascii="Times New Roman" w:cs="Times New Roman" w:eastAsia="Times New Roman" w:hAnsi="Times New Roman"/>
                <w:sz w:val="19"/>
                <w:szCs w:val="19"/>
                <w:color w:val="auto"/>
                <w:vertAlign w:val="superscript"/>
              </w:rPr>
              <w:t>(3)</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97.4 %</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149"/>
        </w:trPr>
        <w:tc>
          <w:tcPr>
            <w:tcW w:w="6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Sites available for MH &amp; RV development</w:t>
            </w:r>
          </w:p>
        </w:tc>
        <w:tc>
          <w:tcPr>
            <w:tcW w:w="240" w:type="dxa"/>
            <w:vAlign w:val="bottom"/>
          </w:tcPr>
          <w:p>
            <w:pPr>
              <w:spacing w:after="0"/>
              <w:rPr>
                <w:sz w:val="17"/>
                <w:szCs w:val="17"/>
                <w:color w:val="auto"/>
              </w:rPr>
            </w:pPr>
          </w:p>
        </w:tc>
        <w:tc>
          <w:tcPr>
            <w:tcW w:w="13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15,181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9,443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5,738</w:t>
            </w:r>
          </w:p>
        </w:tc>
      </w:tr>
      <w:tr>
        <w:trPr>
          <w:trHeight w:val="151"/>
        </w:trPr>
        <w:tc>
          <w:tcPr>
            <w:tcW w:w="6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MH</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619</w:t>
            </w:r>
          </w:p>
        </w:tc>
        <w:tc>
          <w:tcPr>
            <w:tcW w:w="1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599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(5)</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w:t>
            </w:r>
          </w:p>
        </w:tc>
      </w:tr>
      <w:tr>
        <w:trPr>
          <w:trHeight w:val="205"/>
        </w:trPr>
        <w:tc>
          <w:tcPr>
            <w:tcW w:w="606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Monthly base rent per site - RV</w:t>
            </w:r>
            <w:r>
              <w:rPr>
                <w:rFonts w:ascii="Times New Roman" w:cs="Times New Roman" w:eastAsia="Times New Roman" w:hAnsi="Times New Roman"/>
                <w:sz w:val="19"/>
                <w:szCs w:val="19"/>
                <w:color w:val="auto"/>
                <w:vertAlign w:val="superscript"/>
              </w:rPr>
              <w:t>(4)</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516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rPr>
              <w:t>(5)</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31</w:t>
            </w:r>
          </w:p>
        </w:tc>
      </w:tr>
      <w:tr>
        <w:trPr>
          <w:trHeight w:val="200"/>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Total</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601</w:t>
            </w:r>
          </w:p>
        </w:tc>
        <w:tc>
          <w:tcPr>
            <w:tcW w:w="1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580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(5)</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21</w:t>
            </w:r>
          </w:p>
        </w:tc>
      </w:tr>
      <w:tr>
        <w:trPr>
          <w:trHeight w:val="151"/>
        </w:trPr>
        <w:tc>
          <w:tcPr>
            <w:tcW w:w="6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98"/>
        </w:trPr>
        <w:tc>
          <w:tcPr>
            <w:tcW w:w="6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 average monthly rental rate - MH Rental Program</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1,162</w:t>
            </w:r>
          </w:p>
        </w:tc>
        <w:tc>
          <w:tcPr>
            <w:tcW w:w="1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1,065</w:t>
            </w:r>
          </w:p>
        </w:tc>
        <w:tc>
          <w:tcPr>
            <w:tcW w:w="28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97</w:t>
            </w:r>
          </w:p>
        </w:tc>
      </w:tr>
    </w:tbl>
    <w:p>
      <w:pPr>
        <w:spacing w:after="0" w:line="116" w:lineRule="exact"/>
        <w:rPr>
          <w:sz w:val="20"/>
          <w:szCs w:val="20"/>
          <w:color w:val="auto"/>
        </w:rPr>
      </w:pPr>
    </w:p>
    <w:p>
      <w:pPr>
        <w:ind w:left="160" w:hanging="152"/>
        <w:spacing w:after="0"/>
        <w:tabs>
          <w:tab w:leader="none" w:pos="16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MH communities, RV resorts and marinas.</w:t>
      </w:r>
    </w:p>
    <w:p>
      <w:pPr>
        <w:spacing w:after="0" w:line="38"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Occupancy percentages include annual RV sites and exclude transient RV sites.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Occupancy percentages include MH and annual RV sites and exclude transient RV sites.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Monthly base rent pertains to annual RV sites and excludes transient RV sites.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Canadian currency figures included within the six months ended June 30, 2021 have been translated at 2022 average exchange rates.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and Same Property Marina portfolio results for the three and six months ended June 30, 2021, include reclassification of $5.6 million and $8.4 million of expense, net from Real property operating expense to Service, retail, dining and entertainment expense, respectively, to more precisely align certain revenues and expenses within Real property results and Service, retail, dining and entertainment results. The reclassifications had no impact on previously reported total portfolio Marina NOI. Refer to Real Property Operations – Total Portfolio above for additional information regarding these reclassifications.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the $46.5 million increase in Real Property NOI consists of $7.3 million from Same Property MH and RV, $3.1 million from Same Property Marina, $15.4 million from the UK operations and $20.7 million from other recently acquired properties as compared to the same period in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the $71.8 million increase in Real Property NOI consists of $20.9 million from Same Property MH and RV, $3.5 million from Same Property Marina, $15.4 million from the UK operations and $32.0 million from other recently acquired properties as compared to the same period in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Same Property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management tool used when evaluating performance and growth of our properties is a comparison of the Same Property portfolio. Same Property refers to properties that we have owned for at least the preceding year, exclusive of properties recently completed or under construction, and other properties as determined by management. The Same Property data may change from time-to-time depending on acquisitions, dispositions, management discretion, significant transactions or unique situations.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evaluate the growth of the Same Property portfolio, management has classified certain items differently than our GAAP statements. The reclassification difference between our GAAP statements and our Same Property portfolio is the reclassification of utility revenues from real property revenue to operating expenses. A significant portion of our utility charges are re-billed to our residents.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Same Property - MH and RV United States and Canada</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MH and RV portfolio as of and for the three and six months ended June 30, 2022 and 2021 (in millions, except for statistical information).</w:t>
      </w:r>
    </w:p>
    <w:p>
      <w:pPr>
        <w:spacing w:after="0" w:line="2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10"/>
          </w:tcPr>
          <w:p>
            <w:pPr>
              <w:ind w:left="360"/>
              <w:spacing w:after="0"/>
              <w:rPr>
                <w:sz w:val="20"/>
                <w:szCs w:val="20"/>
                <w:color w:val="auto"/>
              </w:rPr>
            </w:pPr>
            <w:r>
              <w:rPr>
                <w:rFonts w:ascii="Times New Roman" w:cs="Times New Roman" w:eastAsia="Times New Roman" w:hAnsi="Times New Roman"/>
                <w:sz w:val="15"/>
                <w:szCs w:val="15"/>
                <w:b w:val="1"/>
                <w:bCs w:val="1"/>
                <w:color w:val="auto"/>
              </w:rPr>
              <w:t>Total Same Property - MH and RV</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MH</w:t>
            </w: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RV</w:t>
            </w: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142"/>
        </w:trPr>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2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8"/>
                <w:szCs w:val="18"/>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0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8"/>
                <w:szCs w:val="18"/>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780" w:type="dxa"/>
            <w:vAlign w:val="bottom"/>
          </w:tcPr>
          <w:p>
            <w:pPr>
              <w:jc w:val="right"/>
              <w:ind w:right="4"/>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r>
      <w:tr>
        <w:trPr>
          <w:trHeight w:val="129"/>
        </w:trPr>
        <w:tc>
          <w:tcPr>
            <w:tcW w:w="14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Information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2"/>
        </w:trPr>
        <w:tc>
          <w:tcPr>
            <w:tcW w:w="14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49"/>
        </w:trPr>
        <w:tc>
          <w:tcPr>
            <w:tcW w:w="1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144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5"/>
                <w:szCs w:val="15"/>
                <w:color w:val="auto"/>
              </w:rPr>
              <w:t>(excluding</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06"/>
        </w:trPr>
        <w:tc>
          <w:tcPr>
            <w:tcW w:w="1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12.1 %</w:t>
            </w:r>
          </w:p>
        </w:tc>
      </w:tr>
      <w:tr>
        <w:trPr>
          <w:trHeight w:val="148"/>
        </w:trPr>
        <w:tc>
          <w:tcPr>
            <w:tcW w:w="1440" w:type="dxa"/>
            <w:vAlign w:val="bottom"/>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14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(0.2)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0.8 %</w:t>
            </w:r>
          </w:p>
        </w:tc>
      </w:tr>
      <w:tr>
        <w:trPr>
          <w:trHeight w:val="207"/>
        </w:trPr>
        <w:tc>
          <w:tcPr>
            <w:tcW w:w="1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0.7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12.3 %</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2.4 %</w:t>
            </w:r>
          </w:p>
        </w:tc>
      </w:tr>
      <w:tr>
        <w:trPr>
          <w:trHeight w:val="194"/>
        </w:trPr>
        <w:tc>
          <w:tcPr>
            <w:tcW w:w="14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8.0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5.4 %</w:t>
            </w:r>
          </w:p>
        </w:tc>
      </w:tr>
      <w:tr>
        <w:trPr>
          <w:trHeight w:val="205"/>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1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Property Operating</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7.3 %</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color w:val="auto"/>
              </w:rPr>
              <w:t>3.7</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6.4 %</w:t>
            </w:r>
          </w:p>
        </w:tc>
      </w:tr>
      <w:tr>
        <w:trPr>
          <w:trHeight w:val="223"/>
        </w:trPr>
        <w:tc>
          <w:tcPr>
            <w:tcW w:w="1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Real Property NOI</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4.3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4.6 %</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Percentages are calculated based on unrounded numbers.</w:t>
      </w:r>
    </w:p>
    <w:p>
      <w:pPr>
        <w:spacing w:after="0" w:line="29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gridSpan w:val="10"/>
          </w:tcPr>
          <w:p>
            <w:pPr>
              <w:ind w:left="340"/>
              <w:spacing w:after="0"/>
              <w:rPr>
                <w:sz w:val="20"/>
                <w:szCs w:val="20"/>
                <w:color w:val="auto"/>
              </w:rPr>
            </w:pPr>
            <w:r>
              <w:rPr>
                <w:rFonts w:ascii="Times New Roman" w:cs="Times New Roman" w:eastAsia="Times New Roman" w:hAnsi="Times New Roman"/>
                <w:sz w:val="15"/>
                <w:szCs w:val="15"/>
                <w:b w:val="1"/>
                <w:bCs w:val="1"/>
                <w:color w:val="auto"/>
              </w:rPr>
              <w:t>Total Same Property - MH and RV</w:t>
            </w: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MH</w:t>
            </w: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RV</w:t>
            </w: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2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2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8"/>
                <w:szCs w:val="18"/>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2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8"/>
                <w:szCs w:val="18"/>
                <w:color w:val="auto"/>
              </w:rPr>
            </w:pPr>
          </w:p>
        </w:tc>
        <w:tc>
          <w:tcPr>
            <w:tcW w:w="70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780" w:type="dxa"/>
            <w:vAlign w:val="bottom"/>
          </w:tcPr>
          <w:p>
            <w:pPr>
              <w:jc w:val="right"/>
              <w:ind w:right="4"/>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r>
      <w:tr>
        <w:trPr>
          <w:trHeight w:val="128"/>
        </w:trPr>
        <w:tc>
          <w:tcPr>
            <w:tcW w:w="14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21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Information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2"/>
        </w:trPr>
        <w:tc>
          <w:tcPr>
            <w:tcW w:w="1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49"/>
        </w:trPr>
        <w:tc>
          <w:tcPr>
            <w:tcW w:w="142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142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5"/>
                <w:szCs w:val="15"/>
                <w:color w:val="auto"/>
              </w:rPr>
              <w:t>(excluding</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06"/>
        </w:trPr>
        <w:tc>
          <w:tcPr>
            <w:tcW w:w="1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13.7 %</w:t>
            </w:r>
          </w:p>
        </w:tc>
      </w:tr>
      <w:tr>
        <w:trPr>
          <w:trHeight w:val="149"/>
        </w:trPr>
        <w:tc>
          <w:tcPr>
            <w:tcW w:w="1420" w:type="dxa"/>
            <w:vAlign w:val="bottom"/>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14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10.0 %</w:t>
            </w:r>
          </w:p>
        </w:tc>
      </w:tr>
      <w:tr>
        <w:trPr>
          <w:trHeight w:val="207"/>
        </w:trPr>
        <w:tc>
          <w:tcPr>
            <w:tcW w:w="1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6.1 %</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r>
      <w:tr>
        <w:trPr>
          <w:trHeight w:val="194"/>
        </w:trPr>
        <w:tc>
          <w:tcPr>
            <w:tcW w:w="14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11.3 %</w:t>
            </w:r>
          </w:p>
        </w:tc>
      </w:tr>
      <w:tr>
        <w:trPr>
          <w:trHeight w:val="205"/>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1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Property Operating</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17.1</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9.7 %</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95.1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11.0 %</w:t>
            </w:r>
          </w:p>
        </w:tc>
      </w:tr>
      <w:tr>
        <w:trPr>
          <w:trHeight w:val="223"/>
        </w:trPr>
        <w:tc>
          <w:tcPr>
            <w:tcW w:w="1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Real Property NOI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20.9</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121.7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11.5 %</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Percentages are calculated based on unrounded numbers.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amounts in the tables above reflect constant currency for comparative purposes. Canadian currency figures in the prior comparative period have been translated at the 2022 average exchange rate of $0.7835 USD per Canadian dollar. We have reclassified water and sewer revenues of $19.0 million and $17.4 million for the three months ended June 30, 2022 and 2021, and $38.6 million and $34.7 million for the six months ended June 30, 2022 and 2021, respectively, to reflect the utility expenses associated with our Same Property portfolio net of recovery.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6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4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8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2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200"/>
        </w:trPr>
        <w:tc>
          <w:tcPr>
            <w:tcW w:w="6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Number of properties</w:t>
            </w:r>
          </w:p>
        </w:tc>
        <w:tc>
          <w:tcPr>
            <w:tcW w:w="220" w:type="dxa"/>
            <w:vAlign w:val="bottom"/>
          </w:tcPr>
          <w:p>
            <w:pPr>
              <w:spacing w:after="0"/>
              <w:rPr>
                <w:sz w:val="17"/>
                <w:szCs w:val="17"/>
                <w:color w:val="auto"/>
              </w:rPr>
            </w:pPr>
          </w:p>
        </w:tc>
        <w:tc>
          <w:tcPr>
            <w:tcW w:w="14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425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0"/>
        </w:trPr>
        <w:tc>
          <w:tcPr>
            <w:tcW w:w="6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MH occupancy</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5"/>
        </w:trPr>
        <w:tc>
          <w:tcPr>
            <w:tcW w:w="602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RV occupancy</w:t>
            </w:r>
            <w:r>
              <w:rPr>
                <w:rFonts w:ascii="Times New Roman" w:cs="Times New Roman" w:eastAsia="Times New Roman" w:hAnsi="Times New Roman"/>
                <w:sz w:val="19"/>
                <w:szCs w:val="19"/>
                <w:color w:val="auto"/>
                <w:vertAlign w:val="superscript"/>
              </w:rPr>
              <w:t>(1)</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2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MH &amp; RV blended occupancy</w:t>
            </w:r>
            <w:r>
              <w:rPr>
                <w:rFonts w:ascii="Times New Roman" w:cs="Times New Roman" w:eastAsia="Times New Roman" w:hAnsi="Times New Roman"/>
                <w:sz w:val="19"/>
                <w:szCs w:val="19"/>
                <w:color w:val="auto"/>
                <w:vertAlign w:val="superscript"/>
              </w:rPr>
              <w:t>(2)</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3"/>
        </w:trPr>
        <w:tc>
          <w:tcPr>
            <w:tcW w:w="602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Adjusted MH occupancy</w:t>
            </w:r>
            <w:r>
              <w:rPr>
                <w:rFonts w:ascii="Times New Roman" w:cs="Times New Roman" w:eastAsia="Times New Roman" w:hAnsi="Times New Roman"/>
                <w:sz w:val="19"/>
                <w:szCs w:val="19"/>
                <w:color w:val="auto"/>
                <w:vertAlign w:val="superscript"/>
              </w:rPr>
              <w:t>(3)</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2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5"/>
                <w:szCs w:val="15"/>
                <w:color w:val="auto"/>
              </w:rPr>
              <w:t>Adjusted RV occupancy</w:t>
            </w:r>
            <w:r>
              <w:rPr>
                <w:rFonts w:ascii="Times New Roman" w:cs="Times New Roman" w:eastAsia="Times New Roman" w:hAnsi="Times New Roman"/>
                <w:sz w:val="19"/>
                <w:szCs w:val="19"/>
                <w:color w:val="auto"/>
                <w:vertAlign w:val="superscript"/>
              </w:rPr>
              <w:t>(4)</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2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Adjusted MH &amp; RV blended occupancy</w:t>
            </w:r>
            <w:r>
              <w:rPr>
                <w:rFonts w:ascii="Times New Roman" w:cs="Times New Roman" w:eastAsia="Times New Roman" w:hAnsi="Times New Roman"/>
                <w:sz w:val="19"/>
                <w:szCs w:val="19"/>
                <w:color w:val="auto"/>
                <w:vertAlign w:val="superscript"/>
              </w:rPr>
              <w:t>(5)</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96.8 %</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1.7 %</w:t>
            </w:r>
          </w:p>
        </w:tc>
      </w:tr>
      <w:tr>
        <w:trPr>
          <w:trHeight w:val="216"/>
        </w:trPr>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0"/>
        </w:trPr>
        <w:tc>
          <w:tcPr>
            <w:tcW w:w="6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Sites available for development</w:t>
            </w:r>
          </w:p>
        </w:tc>
        <w:tc>
          <w:tcPr>
            <w:tcW w:w="220" w:type="dxa"/>
            <w:vAlign w:val="bottom"/>
          </w:tcPr>
          <w:p>
            <w:pPr>
              <w:spacing w:after="0"/>
              <w:rPr>
                <w:sz w:val="17"/>
                <w:szCs w:val="17"/>
                <w:color w:val="auto"/>
              </w:rPr>
            </w:pPr>
          </w:p>
        </w:tc>
        <w:tc>
          <w:tcPr>
            <w:tcW w:w="14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8,082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8,135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(53)</w:t>
            </w:r>
          </w:p>
        </w:tc>
      </w:tr>
      <w:tr>
        <w:trPr>
          <w:trHeight w:val="218"/>
        </w:trPr>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0"/>
        </w:trPr>
        <w:tc>
          <w:tcPr>
            <w:tcW w:w="6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MH</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625</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600</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25</w:t>
            </w:r>
          </w:p>
        </w:tc>
      </w:tr>
      <w:tr>
        <w:trPr>
          <w:trHeight w:val="205"/>
        </w:trPr>
        <w:tc>
          <w:tcPr>
            <w:tcW w:w="602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Monthly base rent per site - RV</w:t>
            </w:r>
            <w:r>
              <w:rPr>
                <w:rFonts w:ascii="Times New Roman" w:cs="Times New Roman" w:eastAsia="Times New Roman" w:hAnsi="Times New Roman"/>
                <w:sz w:val="19"/>
                <w:szCs w:val="19"/>
                <w:color w:val="auto"/>
                <w:vertAlign w:val="superscript"/>
              </w:rPr>
              <w:t>(7)</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558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35</w:t>
            </w:r>
          </w:p>
        </w:tc>
      </w:tr>
      <w:tr>
        <w:trPr>
          <w:trHeight w:val="200"/>
        </w:trPr>
        <w:tc>
          <w:tcPr>
            <w:tcW w:w="6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Total</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608</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582</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26</w:t>
            </w:r>
          </w:p>
        </w:tc>
      </w:tr>
      <w:tr>
        <w:trPr>
          <w:trHeight w:val="218"/>
        </w:trPr>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8"/>
        </w:trPr>
        <w:tc>
          <w:tcPr>
            <w:tcW w:w="6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MH Rental Program</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1,168</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1,070</w:t>
            </w:r>
          </w:p>
        </w:tc>
        <w:tc>
          <w:tcPr>
            <w:tcW w:w="26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98</w:t>
            </w:r>
          </w:p>
        </w:tc>
      </w:tr>
    </w:tbl>
    <w:p>
      <w:pPr>
        <w:spacing w:after="0" w:line="59"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Occupancy percentages include annual RV sites and exclude transient RV sites.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Occupancy percentages include MH and annual RV sites and exclude transient RV sites.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occupancy percentages include MH and exclude recently completed but vacant expansion sites.</w:t>
      </w:r>
    </w:p>
    <w:p>
      <w:pPr>
        <w:spacing w:after="0" w:line="44"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occupancy percentages include annual RV sites and exclude transient RV sites and recently completed but vacant expansion sites.</w:t>
      </w:r>
    </w:p>
    <w:p>
      <w:pPr>
        <w:spacing w:after="0" w:line="22"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occupancy percentages include MH and annual RV sites and exclude transient RV sites and recently completed but vacant expansion sites.</w:t>
      </w:r>
    </w:p>
    <w:p>
      <w:pPr>
        <w:spacing w:after="0" w:line="55" w:lineRule="exact"/>
        <w:rPr>
          <w:rFonts w:ascii="Times New Roman" w:cs="Times New Roman" w:eastAsia="Times New Roman" w:hAnsi="Times New Roman"/>
          <w:sz w:val="19"/>
          <w:szCs w:val="19"/>
          <w:color w:val="auto"/>
          <w:vertAlign w:val="superscript"/>
        </w:rPr>
      </w:pPr>
    </w:p>
    <w:p>
      <w:pPr>
        <w:ind w:left="180" w:right="20" w:hanging="172"/>
        <w:spacing w:after="0" w:line="221" w:lineRule="auto"/>
        <w:tabs>
          <w:tab w:leader="none" w:pos="167"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occupancy percentages for 2021 have been adjusted to reflect incremental growth period-over-period from newly rented MH expansion sites and the conversion of transient RV sites to annual RV sites.</w:t>
      </w:r>
    </w:p>
    <w:p>
      <w:pPr>
        <w:spacing w:after="0" w:line="11"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Monthly base rent pertains to annual RV sites and excludes transient RV sites.</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Canadian currency figures included within three months ended June 30, 2021 have been translated at 2022 average exchange rates.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2022 and 2021:</w:t>
      </w:r>
    </w:p>
    <w:p>
      <w:pPr>
        <w:spacing w:after="0" w:line="252" w:lineRule="exact"/>
        <w:rPr>
          <w:sz w:val="20"/>
          <w:szCs w:val="20"/>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MH segment increase in NOI of $4.3 million, or 3.1 percent, when compared to the same period in 2021 is primarily due to an increase in Real property (excluding transient) revenue of $7.5 million, or 4.3 percent, partially offset by increased property operating expenses. Real property (excluding transient) revenue increased primarily due to a 4.1 percent increase in monthly base rent.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RV segment increase in NOI of $3.0 million, or 4.6 percent, when compared to the same period in 2021 is primarily due to an increase in Real property (excluding transient) revenue of $5.7 million, or 12.1 percent, partially offset by increased operating expenses. The increase in Real property - (excluding transient) revenue was primarily due to a 6.8 percent increase in monthly base rent and conversions of transient RV sites to annual RV sites.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and 2021:</w:t>
      </w:r>
    </w:p>
    <w:p>
      <w:pPr>
        <w:spacing w:after="0" w:line="252" w:lineRule="exact"/>
        <w:rPr>
          <w:sz w:val="20"/>
          <w:szCs w:val="20"/>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MH segment increase in NOI of $8.3 million, or 3.1 percent, when compared to the same period in 2021 is primarily due to an increase in Real property (excluding transient) revenue of $15.2 million, or 4.3 percent, partially offset by increased operating expenses. Real property (excluding transient) revenue increased primarily due to a 4.1 percent increase in monthly base rent.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RV segment increase in NOI of $12.6 million, or 11.5 percent, when compared to the same period in 2021 is primarily due to an increase in Real property (excluding transient) revenue of $12.5 million, or 13.7 percent, primarily due to an increase in monthly base rent and conversions of transient RV sites to annual RV sites.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Same Property - Marina</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Marina as of and for the three and six months ended June 30, 2022 and 2021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0"/>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40" w:type="dxa"/>
            <w:vAlign w:val="bottom"/>
          </w:tcPr>
          <w:p>
            <w:pPr>
              <w:spacing w:after="0"/>
              <w:rPr>
                <w:sz w:val="17"/>
                <w:szCs w:val="17"/>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960" w:type="dxa"/>
            <w:vAlign w:val="bottom"/>
          </w:tcPr>
          <w:p>
            <w:pPr>
              <w:jc w:val="right"/>
              <w:ind w:right="4"/>
              <w:spacing w:after="0" w:line="200"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4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960" w:type="dxa"/>
            <w:vAlign w:val="bottom"/>
          </w:tcPr>
          <w:p>
            <w:pPr>
              <w:jc w:val="right"/>
              <w:ind w:right="4"/>
              <w:spacing w:after="0" w:line="200"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color w:val="auto"/>
                <w:vertAlign w:val="superscript"/>
              </w:rPr>
              <w:t>(1)</w:t>
            </w:r>
          </w:p>
        </w:tc>
      </w:tr>
      <w:tr>
        <w:trPr>
          <w:trHeight w:val="18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2"/>
        </w:trPr>
        <w:tc>
          <w:tcPr>
            <w:tcW w:w="23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49"/>
        </w:trPr>
        <w:tc>
          <w:tcPr>
            <w:tcW w:w="236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(excluding</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16"/>
        </w:trPr>
        <w:tc>
          <w:tcPr>
            <w:tcW w:w="2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center"/>
              <w:ind w:left="324"/>
              <w:spacing w:after="0"/>
              <w:rPr>
                <w:sz w:val="20"/>
                <w:szCs w:val="20"/>
                <w:color w:val="auto"/>
              </w:rPr>
            </w:pPr>
            <w:r>
              <w:rPr>
                <w:rFonts w:ascii="Times New Roman" w:cs="Times New Roman" w:eastAsia="Times New Roman" w:hAnsi="Times New Roman"/>
                <w:sz w:val="15"/>
                <w:szCs w:val="15"/>
                <w:color w:val="auto"/>
                <w:w w:val="95"/>
              </w:rPr>
              <w:t>3.9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r>
      <w:tr>
        <w:trPr>
          <w:trHeight w:val="200"/>
        </w:trPr>
        <w:tc>
          <w:tcPr>
            <w:tcW w:w="2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left="304"/>
              <w:spacing w:after="0"/>
              <w:rPr>
                <w:sz w:val="20"/>
                <w:szCs w:val="20"/>
                <w:color w:val="auto"/>
              </w:rPr>
            </w:pPr>
            <w:r>
              <w:rPr>
                <w:rFonts w:ascii="Times New Roman" w:cs="Times New Roman" w:eastAsia="Times New Roman" w:hAnsi="Times New Roman"/>
                <w:sz w:val="15"/>
                <w:szCs w:val="15"/>
                <w:color w:val="auto"/>
                <w:w w:val="97"/>
              </w:rPr>
              <w:t>(0.4)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205"/>
        </w:trPr>
        <w:tc>
          <w:tcPr>
            <w:tcW w:w="2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center"/>
              <w:ind w:left="324"/>
              <w:spacing w:after="0"/>
              <w:rPr>
                <w:sz w:val="20"/>
                <w:szCs w:val="20"/>
                <w:color w:val="auto"/>
              </w:rPr>
            </w:pPr>
            <w:r>
              <w:rPr>
                <w:rFonts w:ascii="Times New Roman" w:cs="Times New Roman" w:eastAsia="Times New Roman" w:hAnsi="Times New Roman"/>
                <w:sz w:val="15"/>
                <w:szCs w:val="15"/>
                <w:color w:val="auto"/>
                <w:w w:val="95"/>
              </w:rPr>
              <w:t>0.1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3.8 %</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14.3 %</w:t>
            </w:r>
          </w:p>
        </w:tc>
      </w:tr>
      <w:tr>
        <w:trPr>
          <w:trHeight w:val="194"/>
        </w:trPr>
        <w:tc>
          <w:tcPr>
            <w:tcW w:w="2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100" w:type="dxa"/>
            <w:vAlign w:val="bottom"/>
          </w:tcPr>
          <w:p>
            <w:pPr>
              <w:spacing w:after="0"/>
              <w:rPr>
                <w:sz w:val="16"/>
                <w:szCs w:val="16"/>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left="324"/>
              <w:spacing w:after="0"/>
              <w:rPr>
                <w:sz w:val="20"/>
                <w:szCs w:val="20"/>
                <w:color w:val="auto"/>
              </w:rPr>
            </w:pPr>
            <w:r>
              <w:rPr>
                <w:rFonts w:ascii="Times New Roman" w:cs="Times New Roman" w:eastAsia="Times New Roman" w:hAnsi="Times New Roman"/>
                <w:sz w:val="15"/>
                <w:szCs w:val="15"/>
                <w:color w:val="auto"/>
                <w:w w:val="95"/>
              </w:rPr>
              <w:t>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6.8 %</w:t>
            </w:r>
          </w:p>
        </w:tc>
      </w:tr>
      <w:tr>
        <w:trPr>
          <w:trHeight w:val="205"/>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0"/>
        </w:trPr>
        <w:tc>
          <w:tcPr>
            <w:tcW w:w="2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Property Operating</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5"/>
                <w:szCs w:val="15"/>
                <w:color w:val="auto"/>
                <w:w w:val="95"/>
              </w:rPr>
              <w:t>0.5</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10.0 %</w:t>
            </w:r>
          </w:p>
        </w:tc>
      </w:tr>
      <w:tr>
        <w:trPr>
          <w:trHeight w:val="223"/>
        </w:trPr>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Real Property NOI</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center"/>
              <w:ind w:left="324"/>
              <w:spacing w:after="0"/>
              <w:rPr>
                <w:sz w:val="20"/>
                <w:szCs w:val="20"/>
                <w:color w:val="auto"/>
              </w:rPr>
            </w:pPr>
            <w:r>
              <w:rPr>
                <w:rFonts w:ascii="Times New Roman" w:cs="Times New Roman" w:eastAsia="Times New Roman" w:hAnsi="Times New Roman"/>
                <w:sz w:val="15"/>
                <w:szCs w:val="15"/>
                <w:color w:val="auto"/>
                <w:w w:val="95"/>
              </w:rPr>
              <w:t>3.1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7.1 %</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5.0 %</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Percentages are calculated based on unrounded numbers.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8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5960" w:type="dxa"/>
            <w:vAlign w:val="bottom"/>
          </w:tcPr>
          <w:p>
            <w:pPr>
              <w:spacing w:after="0"/>
              <w:rPr>
                <w:sz w:val="17"/>
                <w:szCs w:val="17"/>
                <w:color w:val="auto"/>
              </w:rPr>
            </w:pPr>
          </w:p>
        </w:tc>
        <w:tc>
          <w:tcPr>
            <w:tcW w:w="1840" w:type="dxa"/>
            <w:vAlign w:val="bottom"/>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30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80" w:type="dxa"/>
            <w:vAlign w:val="bottom"/>
          </w:tcPr>
          <w:p>
            <w:pPr>
              <w:spacing w:after="0"/>
              <w:rPr>
                <w:sz w:val="17"/>
                <w:szCs w:val="17"/>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3"/>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0"/>
        </w:trPr>
        <w:tc>
          <w:tcPr>
            <w:tcW w:w="59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Number of properties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5"/>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Wet slip and dry storage spaces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35,744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reclassified utility revenues of $2.9 million for the three months ended June 30, 2022 and 2021, and $5.4 million and $5.5 million for the six months ended June 30, 2022 and 2021, respectively, to reflect the utility expenses associated with our Same Property Marina net of recovery.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Same Property results for the three and six months ended June 30, 2021, include reclassification of $8.3 million of expense, net from Real property operating expense to Service, retail, dining and entertainment expense to more precisely align certain revenues and expenses within Real property results and Service, retail, dining and entertainment results. The reclassifications had no impact on previously reported total portfolio Marina NOI. Refer to Real Property Operations – Total Portfolio above for additional information regarding these reclassifications.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and 2021, the $3.1 million, or 7.1 percent, increase in Marina Real Property NOI is primarily due to the $3.9 million, or 7.4 percent, increase in Real property (excluding transient) revenue, partially offset by increased property operating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$3.5 million, or 5.0 percent, increase in Marina Real Property NOI is primarily due to the $6.4 million, or 6.6 percent, increase in Real property (excluding transient) revenue, partially offset by increased property operating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Operations Summary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other information for our UK operations as of and from April 8, 2022 (date of acquisition) to June 30, 2022 (in millions, except for statistical information):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April 8, 2022</w:t>
            </w:r>
          </w:p>
        </w:tc>
      </w:tr>
      <w:tr>
        <w:trPr>
          <w:trHeight w:val="154"/>
        </w:trPr>
        <w:tc>
          <w:tcPr>
            <w:tcW w:w="9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center"/>
              <w:ind w:right="184"/>
              <w:spacing w:after="0" w:line="154" w:lineRule="exact"/>
              <w:rPr>
                <w:sz w:val="20"/>
                <w:szCs w:val="20"/>
                <w:color w:val="auto"/>
              </w:rPr>
            </w:pPr>
            <w:r>
              <w:rPr>
                <w:rFonts w:ascii="Times New Roman" w:cs="Times New Roman" w:eastAsia="Times New Roman" w:hAnsi="Times New Roman"/>
                <w:sz w:val="15"/>
                <w:szCs w:val="15"/>
                <w:b w:val="1"/>
                <w:bCs w:val="1"/>
                <w:color w:val="auto"/>
                <w:w w:val="95"/>
              </w:rPr>
              <w:t>to</w:t>
            </w:r>
          </w:p>
        </w:tc>
      </w:tr>
      <w:tr>
        <w:trPr>
          <w:trHeight w:val="206"/>
        </w:trPr>
        <w:tc>
          <w:tcPr>
            <w:tcW w:w="9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June 30, 2022</w:t>
            </w:r>
          </w:p>
        </w:tc>
      </w:tr>
      <w:tr>
        <w:trPr>
          <w:trHeight w:val="18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2"/>
        </w:trPr>
        <w:tc>
          <w:tcPr>
            <w:tcW w:w="94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Real property (excluding transient)</w:t>
            </w: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16.9</w:t>
            </w:r>
          </w:p>
        </w:tc>
      </w:tr>
      <w:tr>
        <w:trPr>
          <w:trHeight w:val="200"/>
        </w:trPr>
        <w:tc>
          <w:tcPr>
            <w:tcW w:w="9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260" w:type="dxa"/>
            <w:vAlign w:val="bottom"/>
          </w:tcPr>
          <w:p>
            <w:pPr>
              <w:spacing w:after="0"/>
              <w:rPr>
                <w:sz w:val="17"/>
                <w:szCs w:val="17"/>
                <w:color w:val="auto"/>
              </w:rPr>
            </w:pPr>
          </w:p>
        </w:tc>
        <w:tc>
          <w:tcPr>
            <w:tcW w:w="15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12.9</w:t>
            </w:r>
          </w:p>
        </w:tc>
      </w:tr>
      <w:tr>
        <w:trPr>
          <w:trHeight w:val="205"/>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0.6</w:t>
            </w:r>
          </w:p>
        </w:tc>
      </w:tr>
      <w:tr>
        <w:trPr>
          <w:trHeight w:val="194"/>
        </w:trPr>
        <w:tc>
          <w:tcPr>
            <w:tcW w:w="9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260" w:type="dxa"/>
            <w:vAlign w:val="bottom"/>
          </w:tcPr>
          <w:p>
            <w:pPr>
              <w:spacing w:after="0"/>
              <w:rPr>
                <w:sz w:val="16"/>
                <w:szCs w:val="16"/>
                <w:color w:val="auto"/>
              </w:rPr>
            </w:pPr>
          </w:p>
        </w:tc>
        <w:tc>
          <w:tcPr>
            <w:tcW w:w="15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30.4</w:t>
            </w:r>
          </w:p>
        </w:tc>
      </w:tr>
      <w:tr>
        <w:trPr>
          <w:trHeight w:val="205"/>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0"/>
        </w:trPr>
        <w:tc>
          <w:tcPr>
            <w:tcW w:w="9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Property Operating</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15.0</w:t>
            </w:r>
          </w:p>
        </w:tc>
      </w:tr>
      <w:tr>
        <w:trPr>
          <w:trHeight w:val="198"/>
        </w:trPr>
        <w:tc>
          <w:tcPr>
            <w:tcW w:w="9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Real Property NOI</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15.4</w:t>
            </w:r>
          </w:p>
        </w:tc>
      </w:tr>
      <w:tr>
        <w:trPr>
          <w:trHeight w:val="216"/>
        </w:trPr>
        <w:tc>
          <w:tcPr>
            <w:tcW w:w="9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Home Sales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0"/>
        </w:trPr>
        <w:tc>
          <w:tcPr>
            <w:tcW w:w="9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Revenue</w:t>
            </w:r>
          </w:p>
        </w:tc>
        <w:tc>
          <w:tcPr>
            <w:tcW w:w="260" w:type="dxa"/>
            <w:vAlign w:val="bottom"/>
          </w:tcPr>
          <w:p>
            <w:pPr>
              <w:spacing w:after="0"/>
              <w:rPr>
                <w:sz w:val="17"/>
                <w:szCs w:val="17"/>
                <w:color w:val="auto"/>
              </w:rPr>
            </w:pPr>
          </w:p>
        </w:tc>
        <w:tc>
          <w:tcPr>
            <w:tcW w:w="15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60.6</w:t>
            </w:r>
          </w:p>
        </w:tc>
      </w:tr>
      <w:tr>
        <w:trPr>
          <w:trHeight w:val="205"/>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Cost of home sales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32.1</w:t>
            </w:r>
          </w:p>
        </w:tc>
      </w:tr>
      <w:tr>
        <w:trPr>
          <w:trHeight w:val="200"/>
        </w:trPr>
        <w:tc>
          <w:tcPr>
            <w:tcW w:w="9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Home selling expenses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2.3</w:t>
            </w:r>
          </w:p>
        </w:tc>
      </w:tr>
      <w:tr>
        <w:trPr>
          <w:trHeight w:val="198"/>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NOI</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26.2</w:t>
            </w:r>
          </w:p>
        </w:tc>
      </w:tr>
      <w:tr>
        <w:trPr>
          <w:trHeight w:val="216"/>
        </w:trPr>
        <w:tc>
          <w:tcPr>
            <w:tcW w:w="9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Retail, dining and entertainment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0"/>
        </w:trPr>
        <w:tc>
          <w:tcPr>
            <w:tcW w:w="9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Revenue</w:t>
            </w:r>
          </w:p>
        </w:tc>
        <w:tc>
          <w:tcPr>
            <w:tcW w:w="260" w:type="dxa"/>
            <w:vAlign w:val="bottom"/>
          </w:tcPr>
          <w:p>
            <w:pPr>
              <w:spacing w:after="0"/>
              <w:rPr>
                <w:sz w:val="17"/>
                <w:szCs w:val="17"/>
                <w:color w:val="auto"/>
              </w:rPr>
            </w:pPr>
          </w:p>
        </w:tc>
        <w:tc>
          <w:tcPr>
            <w:tcW w:w="15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11.5</w:t>
            </w:r>
          </w:p>
        </w:tc>
      </w:tr>
      <w:tr>
        <w:trPr>
          <w:trHeight w:val="205"/>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Expense</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12.6</w:t>
            </w:r>
          </w:p>
        </w:tc>
      </w:tr>
      <w:tr>
        <w:trPr>
          <w:trHeight w:val="194"/>
        </w:trPr>
        <w:tc>
          <w:tcPr>
            <w:tcW w:w="9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Operating Loss</w:t>
            </w:r>
          </w:p>
        </w:tc>
        <w:tc>
          <w:tcPr>
            <w:tcW w:w="260" w:type="dxa"/>
            <w:vAlign w:val="bottom"/>
          </w:tcPr>
          <w:p>
            <w:pPr>
              <w:spacing w:after="0"/>
              <w:rPr>
                <w:sz w:val="16"/>
                <w:szCs w:val="16"/>
                <w:color w:val="auto"/>
              </w:rPr>
            </w:pPr>
          </w:p>
        </w:tc>
        <w:tc>
          <w:tcPr>
            <w:tcW w:w="15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(1.1)</w:t>
            </w:r>
          </w:p>
        </w:tc>
      </w:tr>
      <w:tr>
        <w:trPr>
          <w:trHeight w:val="218"/>
        </w:trPr>
        <w:tc>
          <w:tcPr>
            <w:tcW w:w="9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196"/>
        </w:trPr>
        <w:tc>
          <w:tcPr>
            <w:tcW w:w="9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UK Operations NOI</w:t>
            </w: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40.5</w:t>
            </w: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9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02"/>
        </w:trPr>
        <w:tc>
          <w:tcPr>
            <w:tcW w:w="9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Statistical information</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Number of properties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53</w:t>
            </w:r>
          </w:p>
        </w:tc>
      </w:tr>
      <w:tr>
        <w:trPr>
          <w:trHeight w:val="200"/>
        </w:trPr>
        <w:tc>
          <w:tcPr>
            <w:tcW w:w="9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Developed sites</w:t>
            </w:r>
          </w:p>
        </w:tc>
        <w:tc>
          <w:tcPr>
            <w:tcW w:w="260" w:type="dxa"/>
            <w:vAlign w:val="bottom"/>
          </w:tcPr>
          <w:p>
            <w:pPr>
              <w:spacing w:after="0"/>
              <w:rPr>
                <w:sz w:val="17"/>
                <w:szCs w:val="17"/>
                <w:color w:val="auto"/>
              </w:rPr>
            </w:pPr>
          </w:p>
        </w:tc>
        <w:tc>
          <w:tcPr>
            <w:tcW w:w="15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17,330</w:t>
            </w:r>
          </w:p>
        </w:tc>
      </w:tr>
      <w:tr>
        <w:trPr>
          <w:trHeight w:val="205"/>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Occupied sites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15,841</w:t>
            </w:r>
          </w:p>
        </w:tc>
      </w:tr>
      <w:tr>
        <w:trPr>
          <w:trHeight w:val="200"/>
        </w:trPr>
        <w:tc>
          <w:tcPr>
            <w:tcW w:w="9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Occupancy</w:t>
            </w:r>
          </w:p>
        </w:tc>
        <w:tc>
          <w:tcPr>
            <w:tcW w:w="260" w:type="dxa"/>
            <w:vAlign w:val="bottom"/>
          </w:tcPr>
          <w:p>
            <w:pPr>
              <w:spacing w:after="0"/>
              <w:rPr>
                <w:sz w:val="17"/>
                <w:szCs w:val="17"/>
                <w:color w:val="auto"/>
              </w:rPr>
            </w:pP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91.4%</w:t>
            </w:r>
          </w:p>
        </w:tc>
      </w:tr>
      <w:tr>
        <w:trPr>
          <w:trHeight w:val="205"/>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Sites available for development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1,987</w:t>
            </w:r>
          </w:p>
        </w:tc>
      </w:tr>
      <w:tr>
        <w:trPr>
          <w:trHeight w:val="216"/>
        </w:trPr>
        <w:tc>
          <w:tcPr>
            <w:tcW w:w="9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Home Sales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0"/>
        </w:trPr>
        <w:tc>
          <w:tcPr>
            <w:tcW w:w="94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New home sales volume</w:t>
            </w:r>
          </w:p>
        </w:tc>
        <w:tc>
          <w:tcPr>
            <w:tcW w:w="260" w:type="dxa"/>
            <w:vAlign w:val="bottom"/>
          </w:tcPr>
          <w:p>
            <w:pPr>
              <w:spacing w:after="0"/>
              <w:rPr>
                <w:sz w:val="17"/>
                <w:szCs w:val="17"/>
                <w:color w:val="auto"/>
              </w:rPr>
            </w:pPr>
          </w:p>
        </w:tc>
        <w:tc>
          <w:tcPr>
            <w:tcW w:w="15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255</w:t>
            </w:r>
          </w:p>
        </w:tc>
      </w:tr>
      <w:tr>
        <w:trPr>
          <w:trHeight w:val="203"/>
        </w:trPr>
        <w:tc>
          <w:tcPr>
            <w:tcW w:w="9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Pre-owned home sales volume</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480</w:t>
            </w:r>
          </w:p>
        </w:tc>
      </w:tr>
      <w:tr>
        <w:trPr>
          <w:trHeight w:val="198"/>
        </w:trPr>
        <w:tc>
          <w:tcPr>
            <w:tcW w:w="94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home sales volume</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735</w:t>
            </w:r>
          </w:p>
        </w:tc>
      </w:tr>
      <w:tr>
        <w:trPr>
          <w:trHeight w:val="20"/>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UK Operations Real Property NOI is included in Real Property NOI. The UK Operations NOI, a component of our MH segment, is separately reviewed to assess the overall growth and performance of the UK Operations property portfolio and its financial impact on our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reclassified utility revenue of $2.5 million for the three months ended June 30, 2022, to reflect the utility expenses associated with our UK Operations properties portfolio net of recovery.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Sales Summary (excluding UK home sales)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statistical information for our Home Sales Program for the three and six months ended June 30, 2022 and 2021 (in millions, except for average selling price and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00"/>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60" w:type="dxa"/>
            <w:vAlign w:val="bottom"/>
          </w:tcPr>
          <w:p>
            <w:pPr>
              <w:spacing w:after="0"/>
              <w:rPr>
                <w:sz w:val="17"/>
                <w:szCs w:val="17"/>
                <w:color w:val="auto"/>
              </w:rPr>
            </w:pPr>
          </w:p>
        </w:tc>
        <w:tc>
          <w:tcPr>
            <w:tcW w:w="7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60" w:type="dxa"/>
            <w:vAlign w:val="bottom"/>
          </w:tcPr>
          <w:p>
            <w:pPr>
              <w:spacing w:after="0"/>
              <w:rPr>
                <w:sz w:val="17"/>
                <w:szCs w:val="17"/>
                <w:color w:val="auto"/>
              </w:rPr>
            </w:pPr>
          </w:p>
        </w:tc>
        <w:tc>
          <w:tcPr>
            <w:tcW w:w="7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3"/>
        </w:trPr>
        <w:tc>
          <w:tcPr>
            <w:tcW w:w="220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r>
      <w:tr>
        <w:trPr>
          <w:trHeight w:val="162"/>
        </w:trPr>
        <w:tc>
          <w:tcPr>
            <w:tcW w:w="140" w:type="dxa"/>
            <w:vAlign w:val="bottom"/>
          </w:tcPr>
          <w:p>
            <w:pPr>
              <w:spacing w:after="0"/>
              <w:rPr>
                <w:sz w:val="14"/>
                <w:szCs w:val="14"/>
                <w:color w:val="auto"/>
              </w:rPr>
            </w:pPr>
          </w:p>
        </w:tc>
        <w:tc>
          <w:tcPr>
            <w:tcW w:w="2060" w:type="dxa"/>
            <w:vAlign w:val="bottom"/>
            <w:gridSpan w:val="4"/>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New Homes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New home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10.4 %</w:t>
            </w:r>
          </w:p>
        </w:tc>
      </w:tr>
      <w:tr>
        <w:trPr>
          <w:trHeight w:val="200"/>
        </w:trPr>
        <w:tc>
          <w:tcPr>
            <w:tcW w:w="14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5"/>
                <w:szCs w:val="15"/>
                <w:color w:val="auto"/>
              </w:rPr>
              <w:t>New home cost of sales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29.9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28.2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1.7</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51.5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46.9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4.6</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9.8 %</w:t>
            </w:r>
          </w:p>
        </w:tc>
      </w:tr>
      <w:tr>
        <w:trPr>
          <w:trHeight w:val="198"/>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Gross profit – new homes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13.0 %</w:t>
            </w:r>
          </w:p>
        </w:tc>
      </w:tr>
      <w:tr>
        <w:trPr>
          <w:trHeight w:val="200"/>
        </w:trPr>
        <w:tc>
          <w:tcPr>
            <w:tcW w:w="140" w:type="dxa"/>
            <w:vAlign w:val="bottom"/>
          </w:tcPr>
          <w:p>
            <w:pPr>
              <w:spacing w:after="0"/>
              <w:rPr>
                <w:sz w:val="17"/>
                <w:szCs w:val="17"/>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Gross margin % – new homes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0.5 %</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1"/>
        </w:trPr>
        <w:tc>
          <w:tcPr>
            <w:tcW w:w="140" w:type="dxa"/>
            <w:vAlign w:val="bottom"/>
            <w:shd w:val="clear" w:color="auto" w:fill="CCEEFF"/>
          </w:tcPr>
          <w:p>
            <w:pPr>
              <w:spacing w:after="0"/>
              <w:rPr>
                <w:sz w:val="13"/>
                <w:szCs w:val="13"/>
                <w:color w:val="auto"/>
              </w:rPr>
            </w:pPr>
          </w:p>
        </w:tc>
        <w:tc>
          <w:tcPr>
            <w:tcW w:w="2060" w:type="dxa"/>
            <w:vAlign w:val="bottom"/>
            <w:gridSpan w:val="4"/>
            <w:shd w:val="clear" w:color="auto" w:fill="CCEEFF"/>
          </w:tcPr>
          <w:p>
            <w:pPr>
              <w:ind w:left="200"/>
              <w:spacing w:after="0" w:line="151" w:lineRule="exact"/>
              <w:rPr>
                <w:sz w:val="20"/>
                <w:szCs w:val="20"/>
                <w:color w:val="auto"/>
              </w:rPr>
            </w:pPr>
            <w:r>
              <w:rPr>
                <w:rFonts w:ascii="Times New Roman" w:cs="Times New Roman" w:eastAsia="Times New Roman" w:hAnsi="Times New Roman"/>
                <w:sz w:val="15"/>
                <w:szCs w:val="15"/>
                <w:color w:val="auto"/>
              </w:rPr>
              <w:t>Average selling price – new</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140" w:type="dxa"/>
            <w:vAlign w:val="bottom"/>
            <w:shd w:val="clear" w:color="auto" w:fill="CCEEFF"/>
          </w:tcPr>
          <w:p>
            <w:pPr>
              <w:spacing w:after="0"/>
              <w:rPr>
                <w:sz w:val="18"/>
                <w:szCs w:val="18"/>
                <w:color w:val="auto"/>
              </w:rPr>
            </w:pPr>
          </w:p>
        </w:tc>
        <w:tc>
          <w:tcPr>
            <w:tcW w:w="2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homes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164,159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153,132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11,027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170,321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153,545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16,776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10.9 %</w:t>
            </w:r>
          </w:p>
        </w:tc>
      </w:tr>
      <w:tr>
        <w:trPr>
          <w:trHeight w:val="216"/>
        </w:trPr>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2"/>
        </w:trPr>
        <w:tc>
          <w:tcPr>
            <w:tcW w:w="140" w:type="dxa"/>
            <w:vAlign w:val="bottom"/>
            <w:shd w:val="clear" w:color="auto" w:fill="CCEEFF"/>
          </w:tcPr>
          <w:p>
            <w:pPr>
              <w:spacing w:after="0"/>
              <w:rPr>
                <w:sz w:val="14"/>
                <w:szCs w:val="14"/>
                <w:color w:val="auto"/>
              </w:rPr>
            </w:pPr>
          </w:p>
        </w:tc>
        <w:tc>
          <w:tcPr>
            <w:tcW w:w="206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Pre-owned Homes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140" w:type="dxa"/>
            <w:vAlign w:val="bottom"/>
          </w:tcPr>
          <w:p>
            <w:pPr>
              <w:spacing w:after="0"/>
              <w:rPr>
                <w:sz w:val="17"/>
                <w:szCs w:val="17"/>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Pre-owned home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45.0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47.1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83.1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76.3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8.9 %</w:t>
            </w:r>
          </w:p>
        </w:tc>
      </w:tr>
      <w:tr>
        <w:trPr>
          <w:trHeight w:val="205"/>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Pre-owned home cost of sales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24.2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26.0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44.0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44.6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28"/>
        </w:trPr>
        <w:tc>
          <w:tcPr>
            <w:tcW w:w="140" w:type="dxa"/>
            <w:vAlign w:val="bottom"/>
          </w:tcPr>
          <w:p>
            <w:pPr>
              <w:spacing w:after="0"/>
              <w:rPr>
                <w:sz w:val="11"/>
                <w:szCs w:val="11"/>
                <w:color w:val="auto"/>
              </w:rPr>
            </w:pPr>
          </w:p>
        </w:tc>
        <w:tc>
          <w:tcPr>
            <w:tcW w:w="2060" w:type="dxa"/>
            <w:vAlign w:val="bottom"/>
            <w:gridSpan w:val="4"/>
          </w:tcPr>
          <w:p>
            <w:pPr>
              <w:ind w:left="200"/>
              <w:spacing w:after="0" w:line="129" w:lineRule="exact"/>
              <w:rPr>
                <w:sz w:val="20"/>
                <w:szCs w:val="20"/>
                <w:color w:val="auto"/>
              </w:rPr>
            </w:pPr>
            <w:r>
              <w:rPr>
                <w:rFonts w:ascii="Times New Roman" w:cs="Times New Roman" w:eastAsia="Times New Roman" w:hAnsi="Times New Roman"/>
                <w:sz w:val="14"/>
                <w:szCs w:val="14"/>
                <w:color w:val="auto"/>
              </w:rPr>
              <w:t>Gross Profit – pre-owned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2"/>
        </w:trPr>
        <w:tc>
          <w:tcPr>
            <w:tcW w:w="140" w:type="dxa"/>
            <w:vAlign w:val="bottom"/>
          </w:tcPr>
          <w:p>
            <w:pPr>
              <w:spacing w:after="0"/>
              <w:rPr>
                <w:sz w:val="18"/>
                <w:szCs w:val="18"/>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homes</w:t>
            </w:r>
          </w:p>
        </w:tc>
        <w:tc>
          <w:tcPr>
            <w:tcW w:w="120" w:type="dxa"/>
            <w:vAlign w:val="bottom"/>
          </w:tcPr>
          <w:p>
            <w:pPr>
              <w:spacing w:after="0"/>
              <w:rPr>
                <w:sz w:val="18"/>
                <w:szCs w:val="18"/>
                <w:color w:val="auto"/>
              </w:rPr>
            </w:pP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23.3 %</w:t>
            </w:r>
          </w:p>
        </w:tc>
      </w:tr>
      <w:tr>
        <w:trPr>
          <w:trHeight w:val="153"/>
        </w:trPr>
        <w:tc>
          <w:tcPr>
            <w:tcW w:w="140" w:type="dxa"/>
            <w:vAlign w:val="bottom"/>
            <w:shd w:val="clear" w:color="auto" w:fill="CCEEFF"/>
          </w:tcPr>
          <w:p>
            <w:pPr>
              <w:spacing w:after="0"/>
              <w:rPr>
                <w:sz w:val="13"/>
                <w:szCs w:val="13"/>
                <w:color w:val="auto"/>
              </w:rPr>
            </w:pPr>
          </w:p>
        </w:tc>
        <w:tc>
          <w:tcPr>
            <w:tcW w:w="2060" w:type="dxa"/>
            <w:vAlign w:val="bottom"/>
            <w:gridSpan w:val="4"/>
            <w:shd w:val="clear" w:color="auto" w:fill="CCEEFF"/>
          </w:tcPr>
          <w:p>
            <w:pPr>
              <w:ind w:left="200"/>
              <w:spacing w:after="0" w:line="153" w:lineRule="exact"/>
              <w:rPr>
                <w:sz w:val="20"/>
                <w:szCs w:val="20"/>
                <w:color w:val="auto"/>
              </w:rPr>
            </w:pPr>
            <w:r>
              <w:rPr>
                <w:rFonts w:ascii="Times New Roman" w:cs="Times New Roman" w:eastAsia="Times New Roman" w:hAnsi="Times New Roman"/>
                <w:sz w:val="15"/>
                <w:szCs w:val="15"/>
                <w:color w:val="auto"/>
              </w:rPr>
              <w:t>Gross margin % – pre-owned</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140" w:type="dxa"/>
            <w:vAlign w:val="bottom"/>
            <w:shd w:val="clear" w:color="auto" w:fill="CCEEFF"/>
          </w:tcPr>
          <w:p>
            <w:pPr>
              <w:spacing w:after="0"/>
              <w:rPr>
                <w:sz w:val="18"/>
                <w:szCs w:val="18"/>
                <w:color w:val="auto"/>
              </w:rPr>
            </w:pPr>
          </w:p>
        </w:tc>
        <w:tc>
          <w:tcPr>
            <w:tcW w:w="2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homes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48"/>
        </w:trPr>
        <w:tc>
          <w:tcPr>
            <w:tcW w:w="140" w:type="dxa"/>
            <w:vAlign w:val="bottom"/>
          </w:tcPr>
          <w:p>
            <w:pPr>
              <w:spacing w:after="0"/>
              <w:rPr>
                <w:sz w:val="12"/>
                <w:szCs w:val="12"/>
                <w:color w:val="auto"/>
              </w:rPr>
            </w:pPr>
          </w:p>
        </w:tc>
        <w:tc>
          <w:tcPr>
            <w:tcW w:w="206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5"/>
                <w:szCs w:val="15"/>
                <w:color w:val="auto"/>
              </w:rPr>
              <w:t>Average selling price – pre-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140" w:type="dxa"/>
            <w:vAlign w:val="bottom"/>
          </w:tcPr>
          <w:p>
            <w:pPr>
              <w:spacing w:after="0"/>
              <w:rPr>
                <w:sz w:val="18"/>
                <w:szCs w:val="18"/>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owned homes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59,920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50,577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9,343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18.5 %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57,708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47,195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10,513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22.3 %</w:t>
            </w:r>
          </w:p>
        </w:tc>
      </w:tr>
      <w:tr>
        <w:trPr>
          <w:trHeight w:val="220"/>
        </w:trPr>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62"/>
        </w:trPr>
        <w:tc>
          <w:tcPr>
            <w:tcW w:w="140" w:type="dxa"/>
            <w:vAlign w:val="bottom"/>
          </w:tcPr>
          <w:p>
            <w:pPr>
              <w:spacing w:after="0"/>
              <w:rPr>
                <w:sz w:val="14"/>
                <w:szCs w:val="14"/>
                <w:color w:val="auto"/>
              </w:rPr>
            </w:pPr>
          </w:p>
        </w:tc>
        <w:tc>
          <w:tcPr>
            <w:tcW w:w="2060" w:type="dxa"/>
            <w:vAlign w:val="bottom"/>
            <w:gridSpan w:val="4"/>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Total Home Sales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Revenue from home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82.1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9.6 %</w:t>
            </w:r>
          </w:p>
        </w:tc>
      </w:tr>
      <w:tr>
        <w:trPr>
          <w:trHeight w:val="200"/>
        </w:trPr>
        <w:tc>
          <w:tcPr>
            <w:tcW w:w="140" w:type="dxa"/>
            <w:vAlign w:val="bottom"/>
          </w:tcPr>
          <w:p>
            <w:pPr>
              <w:spacing w:after="0"/>
              <w:rPr>
                <w:sz w:val="17"/>
                <w:szCs w:val="17"/>
                <w:color w:val="auto"/>
              </w:rPr>
            </w:pPr>
          </w:p>
        </w:tc>
        <w:tc>
          <w:tcPr>
            <w:tcW w:w="2060" w:type="dxa"/>
            <w:vAlign w:val="bottom"/>
            <w:gridSpan w:val="4"/>
          </w:tcPr>
          <w:p>
            <w:pPr>
              <w:ind w:left="220"/>
              <w:spacing w:after="0"/>
              <w:rPr>
                <w:sz w:val="20"/>
                <w:szCs w:val="20"/>
                <w:color w:val="auto"/>
              </w:rPr>
            </w:pPr>
            <w:r>
              <w:rPr>
                <w:rFonts w:ascii="Times New Roman" w:cs="Times New Roman" w:eastAsia="Times New Roman" w:hAnsi="Times New Roman"/>
                <w:sz w:val="15"/>
                <w:szCs w:val="15"/>
                <w:color w:val="auto"/>
              </w:rPr>
              <w:t>Cost of home sales</w:t>
            </w:r>
          </w:p>
        </w:tc>
        <w:tc>
          <w:tcPr>
            <w:tcW w:w="12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4.4 %</w:t>
            </w:r>
          </w:p>
        </w:tc>
      </w:tr>
      <w:tr>
        <w:trPr>
          <w:trHeight w:val="203"/>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Home selling expenses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(0.2)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98"/>
        </w:trPr>
        <w:tc>
          <w:tcPr>
            <w:tcW w:w="140" w:type="dxa"/>
            <w:vAlign w:val="bottom"/>
          </w:tcPr>
          <w:p>
            <w:pPr>
              <w:spacing w:after="0"/>
              <w:rPr>
                <w:sz w:val="17"/>
                <w:szCs w:val="17"/>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Home Sales NOI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0.6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42.4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33.6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26.2 %</w:t>
            </w: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r>
      <w:tr>
        <w:trPr>
          <w:trHeight w:val="183"/>
        </w:trPr>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2"/>
        </w:trPr>
        <w:tc>
          <w:tcPr>
            <w:tcW w:w="220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New home sales volume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149"/>
        </w:trPr>
        <w:tc>
          <w:tcPr>
            <w:tcW w:w="140" w:type="dxa"/>
            <w:vAlign w:val="bottom"/>
          </w:tcPr>
          <w:p>
            <w:pPr>
              <w:spacing w:after="0"/>
              <w:rPr>
                <w:sz w:val="12"/>
                <w:szCs w:val="12"/>
                <w:color w:val="auto"/>
              </w:rPr>
            </w:pPr>
          </w:p>
        </w:tc>
        <w:tc>
          <w:tcPr>
            <w:tcW w:w="206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5"/>
                <w:szCs w:val="15"/>
                <w:color w:val="auto"/>
              </w:rPr>
              <w:t>Pre-owned home sales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14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5"/>
                <w:szCs w:val="15"/>
                <w:color w:val="auto"/>
              </w:rPr>
              <w:t>volume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751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931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(180)</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1,440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1,617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(177)</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225"/>
        </w:trPr>
        <w:tc>
          <w:tcPr>
            <w:tcW w:w="1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home sales volume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977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1,158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(181)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1,814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1,993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(179)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 New Homes</w:t>
      </w:r>
    </w:p>
    <w:p>
      <w:pPr>
        <w:spacing w:after="0" w:line="29"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For the three months ended June 30, 2022, the 10.8 percent increase in gross profit is primarily driven by a 7.2 percent increase in new home average selling price, outpacing the 6.0 percent increase in cost of sales as compared to the same period in 2021.</w:t>
      </w:r>
    </w:p>
    <w:p>
      <w:pPr>
        <w:spacing w:after="0" w:line="208"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13.0 percent increase in gross profit is primarily the result of a 10.9 percent increase in new home average selling price outpacing the 9.8 percent increase in cost of sales as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 Pre-owned Homes</w:t>
      </w:r>
    </w:p>
    <w:p>
      <w:pPr>
        <w:spacing w:after="0" w:line="29"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8"/>
          <w:szCs w:val="18"/>
          <w:color w:val="auto"/>
        </w:rPr>
        <w:t>For the three months ended June 30, 2022, the 1.4 percent decrease in gross profit is primarily driven by a 19.3 percent decrease in pre-owned home sales volume, partially offset by an 18.5 percent increase in pre-owned home average selling price, as compared to the same period in 2021.</w:t>
      </w:r>
    </w:p>
    <w:p>
      <w:pPr>
        <w:spacing w:after="0" w:line="208"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the $7.4 million, or 23.3 percent increase in gross profit is primarily the result of a 5.4 percent increase in gross margin, primarily due to a 22.3 percent increase in the pre-owned home average selling price, partially offset by a 10.9 percent decrease in pre-owned home sales volume, as compared to the same period in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UK Operations summary on page 54 for financial information related to our home sales in the UK.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Program Summary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other information for our Rental Program as of and for the three and six months ended June 30, 2022 and 2021 (in millions, except for weighted average monthly rental rate and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00"/>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40" w:type="dxa"/>
            <w:vAlign w:val="bottom"/>
          </w:tcPr>
          <w:p>
            <w:pPr>
              <w:spacing w:after="0"/>
              <w:rPr>
                <w:sz w:val="17"/>
                <w:szCs w:val="17"/>
                <w:color w:val="auto"/>
              </w:rPr>
            </w:pPr>
          </w:p>
        </w:tc>
        <w:tc>
          <w:tcPr>
            <w:tcW w:w="68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20" w:type="dxa"/>
            <w:vAlign w:val="bottom"/>
          </w:tcPr>
          <w:p>
            <w:pPr>
              <w:spacing w:after="0"/>
              <w:rPr>
                <w:sz w:val="17"/>
                <w:szCs w:val="17"/>
                <w:color w:val="auto"/>
              </w:rPr>
            </w:pP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r>
      <w:tr>
        <w:trPr>
          <w:trHeight w:val="200"/>
        </w:trPr>
        <w:tc>
          <w:tcPr>
            <w:tcW w:w="27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(10.6)%</w:t>
            </w:r>
          </w:p>
        </w:tc>
      </w:tr>
      <w:tr>
        <w:trPr>
          <w:trHeight w:val="203"/>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Expenses</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8.7 %</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198"/>
        </w:trPr>
        <w:tc>
          <w:tcPr>
            <w:tcW w:w="27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Rental Program NOI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62.1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183"/>
        </w:trPr>
        <w:tc>
          <w:tcPr>
            <w:tcW w:w="2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2"/>
        </w:trPr>
        <w:tc>
          <w:tcPr>
            <w:tcW w:w="2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Number of sold rental homes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w:t>
            </w:r>
          </w:p>
        </w:tc>
      </w:tr>
      <w:tr>
        <w:trPr>
          <w:trHeight w:val="149"/>
        </w:trPr>
        <w:tc>
          <w:tcPr>
            <w:tcW w:w="27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Number of occupied rentals, end of</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2"/>
        </w:trPr>
        <w:tc>
          <w:tcPr>
            <w:tcW w:w="2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period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10,951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(16.0)%</w:t>
            </w:r>
          </w:p>
        </w:tc>
      </w:tr>
      <w:tr>
        <w:trPr>
          <w:trHeight w:val="153"/>
        </w:trPr>
        <w:tc>
          <w:tcPr>
            <w:tcW w:w="270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Investment in occupied rental homes, end</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of period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148"/>
        </w:trPr>
        <w:tc>
          <w:tcPr>
            <w:tcW w:w="27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Weighted average monthly rental rate,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08"/>
        </w:trPr>
        <w:tc>
          <w:tcPr>
            <w:tcW w:w="2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1,065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9.1 %</w:t>
            </w:r>
          </w:p>
        </w:tc>
      </w:tr>
    </w:tbl>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Rental Program NOI is included in Real Property NOI. The Rental Program NOI is separately reviewed to assess the overall growth and performance of the Rental Program and its financial impact on our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Rental Program NOI decreased $4.1 million, or 13.1 percent, as compared to the same period in 2021. The decrease is primarily due to a $3.7 million, or 10.3 percent, decrease in revenue driven by a 16.0 percent decrease in the number of occupied rental homes, as compared to the same period in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Rental Program NOI decreased $7.7 million, or 12.4 percent, as compared to the same period in 2021. The decrease is primarily due to a decrease in Rental Program revenue of $7.6 million, or 10.6 percent, driven by a 16.0 percent decrease in number of occupied rental homes, as compared to the same period in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Marina Summary</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other information for our marinas as of and for the three and six months ended June 30, 2022 and 2021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4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60" w:type="dxa"/>
            <w:vAlign w:val="bottom"/>
          </w:tcPr>
          <w:p>
            <w:pPr>
              <w:spacing w:after="0"/>
              <w:rPr>
                <w:sz w:val="17"/>
                <w:szCs w:val="17"/>
                <w:color w:val="auto"/>
              </w:rPr>
            </w:pPr>
          </w:p>
        </w:tc>
        <w:tc>
          <w:tcPr>
            <w:tcW w:w="82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3"/>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02"/>
        </w:trPr>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49"/>
        </w:trPr>
        <w:tc>
          <w:tcPr>
            <w:tcW w:w="228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(excluding</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16"/>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38.0 %</w:t>
            </w:r>
          </w:p>
        </w:tc>
      </w:tr>
      <w:tr>
        <w:trPr>
          <w:trHeight w:val="200"/>
        </w:trPr>
        <w:tc>
          <w:tcPr>
            <w:tcW w:w="22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21.4 %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49.0 %</w:t>
            </w:r>
          </w:p>
        </w:tc>
      </w:tr>
      <w:tr>
        <w:trPr>
          <w:trHeight w:val="205"/>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60.9 %</w:t>
            </w:r>
          </w:p>
        </w:tc>
      </w:tr>
      <w:tr>
        <w:trPr>
          <w:trHeight w:val="194"/>
        </w:trPr>
        <w:tc>
          <w:tcPr>
            <w:tcW w:w="22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32.6 %</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39.3 %</w:t>
            </w:r>
          </w:p>
        </w:tc>
      </w:tr>
      <w:tr>
        <w:trPr>
          <w:trHeight w:val="205"/>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0"/>
        </w:trPr>
        <w:tc>
          <w:tcPr>
            <w:tcW w:w="22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Property Operating</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24.6 %</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14.3</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33.5 %</w:t>
            </w:r>
          </w:p>
        </w:tc>
      </w:tr>
      <w:tr>
        <w:trPr>
          <w:trHeight w:val="198"/>
        </w:trPr>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Real Property NOI</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35.6 %</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42.7 %</w:t>
            </w: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48"/>
        </w:trPr>
        <w:tc>
          <w:tcPr>
            <w:tcW w:w="22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b w:val="1"/>
                <w:bCs w:val="1"/>
                <w:color w:val="auto"/>
              </w:rPr>
              <w:t>Service, retail, dining and</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entertainment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0"/>
        </w:trPr>
        <w:tc>
          <w:tcPr>
            <w:tcW w:w="22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53.6 %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55.9 %</w:t>
            </w:r>
          </w:p>
        </w:tc>
      </w:tr>
      <w:tr>
        <w:trPr>
          <w:trHeight w:val="205"/>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Expense</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61.9 %</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60.3 %</w:t>
            </w:r>
          </w:p>
        </w:tc>
      </w:tr>
      <w:tr>
        <w:trPr>
          <w:trHeight w:val="194"/>
        </w:trPr>
        <w:tc>
          <w:tcPr>
            <w:tcW w:w="22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NOI</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7.8 %</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31.3 %</w:t>
            </w:r>
          </w:p>
        </w:tc>
      </w:tr>
      <w:tr>
        <w:trPr>
          <w:trHeight w:val="218"/>
        </w:trPr>
        <w:tc>
          <w:tcPr>
            <w:tcW w:w="2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6"/>
        </w:trPr>
        <w:tc>
          <w:tcPr>
            <w:tcW w:w="22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Marina NOI</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29.9 %</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40.3 %</w:t>
            </w: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83"/>
        </w:trPr>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Statistical information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Number of properties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14.0 %</w:t>
            </w:r>
          </w:p>
        </w:tc>
      </w:tr>
      <w:tr>
        <w:trPr>
          <w:trHeight w:val="198"/>
        </w:trPr>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wet slips and dry storage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5,726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14.3 %</w:t>
            </w:r>
          </w:p>
        </w:tc>
      </w:tr>
    </w:tbl>
    <w:p>
      <w:pPr>
        <w:spacing w:after="0" w:line="3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Marina Real Property NOI is included in Real Property NOI. The Marina NOI is separately reviewed to assess the overall growth and performance of the Marina segment and its financial impact on our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reclassified utility revenues of $4.9 million and $3.7 million for the three months ended June 30, 2022 and 2021, and $9.2 million and $6.3 million for the six months ended June 30, 2022 and 2021, respectively, to reflect the utility expenses associated with our Marina net of recovery.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Marina Property results for the three and six months ended June 30, 2021, include reclassification of $8.4 million of expense, net from Real property operating expense to Service, retail, dining and entertainment expense to more precisely align certain revenues and expenses within Real property results and Service, retail, dining and entertainment results. The reclassifications had no impact on previously reported total portfolio Marina NOI. Refer to Real Property Operations – Total Portfolio above for additional information regarding these reclassifications.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2022 and 2021:</w:t>
      </w:r>
    </w:p>
    <w:p>
      <w:pPr>
        <w:spacing w:after="0" w:line="252" w:lineRule="exact"/>
        <w:rPr>
          <w:sz w:val="20"/>
          <w:szCs w:val="20"/>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$18.8 million, or 29.9 percent increase in Marina NOI is primarily due to a $17.8 million, or 35.6 percent, increase in Marina Real Property NOI and a $1.0 million or 7.8 percent, increase in Service, Retail, Dining and Entertainment NOI.</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$17.8 million, or 35.6 percent growth in Marina Real Property NOI is due to a $20.1 million, or 32.5 percent, increase in Real property (excluding transient) revenue primarily due to an increase in the number of owned Marina properties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and 2021:</w:t>
      </w:r>
    </w:p>
    <w:p>
      <w:pPr>
        <w:spacing w:after="0" w:line="252" w:lineRule="exact"/>
        <w:rPr>
          <w:sz w:val="20"/>
          <w:szCs w:val="20"/>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$38.0 million, or 40.3 percent increase in Marina NOI is due to a $32.0 million, or 42.7 percent, increase in Marina Real Property NOI and a $6.0 million or 31.3 percent increase, in Service, Retail, Dining and Entertainment NOI.</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$32.0 million, or 42.7 percent, increase in Marina Real Property NOI is due primarily to a $41.0 million, or 38.0 percent, increase in Real property (excluding transient) revenue primarily due to an increase in the number of owned Marina properties compared to the same period in 2021, partially offset by an increase in Marina operating expenses.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$6.0 million, or 31.3 percent, increase in Service, Retail, Dining and Entertainment NOI is primarily due to an increase in service revenue resulting from the acquisition of service-intensive marinas and entry into the superyacht market, combined with increased transient activity.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 - Statements of Operations</w:t>
      </w:r>
      <w:r>
        <w:rPr>
          <w:rFonts w:ascii="Times New Roman" w:cs="Times New Roman" w:eastAsia="Times New Roman" w:hAnsi="Times New Roman"/>
          <w:sz w:val="23"/>
          <w:szCs w:val="23"/>
          <w:color w:val="auto"/>
          <w:vertAlign w:val="superscript"/>
        </w:rPr>
        <w:t>(1)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and expenses for the three and six months ended June 30, 2022 and 2021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60" w:type="dxa"/>
            <w:vAlign w:val="bottom"/>
            <w:tcBorders>
              <w:bottom w:val="single" w:sz="8" w:color="auto"/>
            </w:tcBorders>
          </w:tcPr>
          <w:p>
            <w:pPr>
              <w:spacing w:after="0"/>
              <w:rPr>
                <w:sz w:val="17"/>
                <w:szCs w:val="17"/>
                <w:color w:val="auto"/>
              </w:rPr>
            </w:pPr>
          </w:p>
        </w:tc>
      </w:tr>
      <w:tr>
        <w:trPr>
          <w:trHeight w:val="200"/>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29"/>
        </w:trPr>
        <w:tc>
          <w:tcPr>
            <w:tcW w:w="26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Service, retail, dining and entertainment,</w:t>
            </w: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23.1 %</w:t>
            </w:r>
          </w:p>
        </w:tc>
      </w:tr>
      <w:tr>
        <w:trPr>
          <w:trHeight w:val="200"/>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160.7 %</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161.1 %</w:t>
            </w:r>
          </w:p>
        </w:tc>
      </w:tr>
      <w:tr>
        <w:trPr>
          <w:trHeight w:val="20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28.7 %</w:t>
            </w:r>
          </w:p>
        </w:tc>
      </w:tr>
      <w:tr>
        <w:trPr>
          <w:trHeight w:val="200"/>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62.2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37.3 %</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41.2 %</w:t>
            </w:r>
          </w:p>
        </w:tc>
      </w:tr>
      <w:tr>
        <w:trPr>
          <w:trHeight w:val="20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w:t>
            </w:r>
          </w:p>
        </w:tc>
      </w:tr>
      <w:tr>
        <w:trPr>
          <w:trHeight w:val="200"/>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Business combination expense,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19.0 %</w:t>
            </w: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Loss on extinguishment of debt (see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 8)</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w:t>
            </w:r>
          </w:p>
        </w:tc>
      </w:tr>
      <w:tr>
        <w:trPr>
          <w:trHeight w:val="20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30.2 %</w:t>
            </w: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Interest on mandatorily redeemable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OP units /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5.0 %</w:t>
            </w: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Gain / (loss) on remeasurement of</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marketable securities (see Note 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(314.1)%</w:t>
            </w: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Gain / (loss) on foreign currency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exchanges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r>
      <w:tr>
        <w:trPr>
          <w:trHeight w:val="200"/>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w:t>
            </w:r>
          </w:p>
        </w:tc>
      </w:tr>
      <w:tr>
        <w:trPr>
          <w:trHeight w:val="151"/>
        </w:trPr>
        <w:tc>
          <w:tcPr>
            <w:tcW w:w="26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Gain on remeasurement of notes</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receivable (see Note 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60.0 %</w:t>
            </w:r>
          </w:p>
        </w:tc>
      </w:tr>
      <w:tr>
        <w:trPr>
          <w:trHeight w:val="149"/>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Income from nonconsolidated affiliates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(see Note 6)</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Gain / (loss) on remeasurement of</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8"/>
        </w:trPr>
        <w:tc>
          <w:tcPr>
            <w:tcW w:w="26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investment in nonconsolidated affiliates</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(see Note 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N/A</w:t>
            </w:r>
          </w:p>
        </w:tc>
      </w:tr>
      <w:tr>
        <w:trPr>
          <w:trHeight w:val="200"/>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tax expense (see Note 12)</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420.0 %</w:t>
            </w:r>
          </w:p>
        </w:tc>
      </w:tr>
      <w:tr>
        <w:trPr>
          <w:trHeight w:val="20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benefit (see Note 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200.0 %</w:t>
            </w: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Preferred return to preferred OP units /</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interests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3.4 %</w:t>
            </w: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Income attributable to noncontrolling</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w:t>
            </w:r>
          </w:p>
        </w:tc>
      </w:tr>
    </w:tbl>
    <w:p>
      <w:pPr>
        <w:spacing w:after="0" w:line="85" w:lineRule="exact"/>
        <w:rPr>
          <w:sz w:val="20"/>
          <w:szCs w:val="20"/>
          <w:color w:val="auto"/>
        </w:rPr>
      </w:pPr>
    </w:p>
    <w:p>
      <w:pPr>
        <w:ind w:right="3720" w:firstLine="8"/>
        <w:spacing w:after="0" w:line="299" w:lineRule="auto"/>
        <w:tabs>
          <w:tab w:leader="none" w:pos="149"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Only items determined by management to be material, of interest, or unique to the periods disclosed above are explained below. N/M = Percentage change is not meaningful.</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N/A = Percentage change is not applicable.</w:t>
      </w:r>
    </w:p>
    <w:p>
      <w:pPr>
        <w:spacing w:after="0" w:line="24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retail, dining and entertainment, net </w:t>
      </w:r>
      <w:r>
        <w:rPr>
          <w:rFonts w:ascii="Times New Roman" w:cs="Times New Roman" w:eastAsia="Times New Roman" w:hAnsi="Times New Roman"/>
          <w:sz w:val="18"/>
          <w:szCs w:val="18"/>
          <w:color w:val="auto"/>
        </w:rPr>
        <w:t>- for the six months ended June 30, 2022, increased primarily due to increased service rates at our marinas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addition of service revenue from the acquisition of additional Safe Harbor marinas.</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 for the three and six months ended June 30, 2022, increased primarily due to an increase in the notes receivable to real estate developers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balance in the current period as compared to the same periods in 2021.</w:t>
      </w:r>
    </w:p>
    <w:p>
      <w:pPr>
        <w:spacing w:after="0" w:line="18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Brokerage commissions and other, net </w:t>
      </w:r>
      <w:r>
        <w:rPr>
          <w:rFonts w:ascii="Times New Roman" w:cs="Times New Roman" w:eastAsia="Times New Roman" w:hAnsi="Times New Roman"/>
          <w:sz w:val="18"/>
          <w:szCs w:val="18"/>
          <w:color w:val="auto"/>
        </w:rPr>
        <w:t>- for the six months ended June 30, 2022, increased primarily due to an increase in brokerage commissions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increase in price of brokered home sales, as compared to the same period in 2021.</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 for the three and six months ended June 30, 2022, increased primarily due to the acquisition of Park Holidays,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wages and incentives driven by growth in strategic initiatives as compared to the same periods in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Business combination expense, net </w:t>
      </w:r>
      <w:r>
        <w:rPr>
          <w:rFonts w:ascii="Times New Roman" w:cs="Times New Roman" w:eastAsia="Times New Roman" w:hAnsi="Times New Roman"/>
          <w:sz w:val="18"/>
          <w:szCs w:val="18"/>
          <w:color w:val="auto"/>
        </w:rPr>
        <w:t>- for the three and six months ended June 30, 2022, increased primarily as a result of the acquisition of Park Holidays.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"Real Estate Acquisitions and Dispositions," in our accompanying Consolidated Financial Statements for additional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for the three and six months ended June 30, 2022, increased as a result of property acquisitions during 2021 and 2022.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"Real Estate Acquisitions and Dispositions," in our accompanying Consolidated Financial Statements for additional information.</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 for the three and six months ended June 30, 2022, was $0.1 million and $0.4 million, respectively, related to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Amendment and the termination of the Bridge Loan, as compared to $8.1 million for the three and six months ended June 30, 2021, related to the termination of our $750.0 million credit facility and the $1.8 billion credit facility between Safe Harbor and certain lenders. Refer to Note 8, "Debt and Line of Credit," in our accompanying Consolidated Financial Statements for additional information.</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for the three and six months ended June 30, 2022, increased due to the higher carrying balance of debt as compared to the same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2021. Refer to Note 8, "Debt and Line of Credit," of our accompanying Consolidated Financial Statements for additional information.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 (loss) on remeasurement of marketable securities </w:t>
      </w:r>
      <w:r>
        <w:rPr>
          <w:rFonts w:ascii="Times New Roman" w:cs="Times New Roman" w:eastAsia="Times New Roman" w:hAnsi="Times New Roman"/>
          <w:sz w:val="18"/>
          <w:szCs w:val="18"/>
          <w:color w:val="auto"/>
        </w:rPr>
        <w:t>- for the three and six months ended June 30, 2022 was a loss of $32.3 million and $66.8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a gain of $27.5 million and $31.2 million during the same period in 2021 due to the fluctuation in the price of our publicly traded marketable securities. Refer to Note 15, "Fair Value of Financial Instruments," in our accompanying Consolidated Financial Statements for additional information.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 (loss) on foreign currency exchanges </w:t>
      </w:r>
      <w:r>
        <w:rPr>
          <w:rFonts w:ascii="Times New Roman" w:cs="Times New Roman" w:eastAsia="Times New Roman" w:hAnsi="Times New Roman"/>
          <w:sz w:val="18"/>
          <w:szCs w:val="18"/>
          <w:color w:val="auto"/>
        </w:rPr>
        <w:t>- for the three months ended June 30, 2022, there was a $9.0 million gain as compared to a $0.1 million loss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2021, primarily due to the strengthening of the US Dollar against the Pound Sterling in the current period. For the six months ended June 30, 2022, there was a $6.8 million gain as compared to a $0.1 million loss in the same period in 2021, primarily due to the strengthening of the US Dollar against the Pound Sterling in the current period.</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 (loss) on dispositions of properties </w:t>
      </w:r>
      <w:r>
        <w:rPr>
          <w:rFonts w:ascii="Times New Roman" w:cs="Times New Roman" w:eastAsia="Times New Roman" w:hAnsi="Times New Roman"/>
          <w:sz w:val="18"/>
          <w:szCs w:val="18"/>
          <w:color w:val="auto"/>
        </w:rPr>
        <w:t>- for the six months ended June 30, 2022, increased due to a gain from the sale of three communities during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whereas there were no such dispositions in the same period in 2021. Refer to Note 3, "Real Estate Acquisitions and Dispositions," in our accompanying Consolidated Financial Statements for additional information.</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Current tax expense </w:t>
      </w:r>
      <w:r>
        <w:rPr>
          <w:rFonts w:ascii="Times New Roman" w:cs="Times New Roman" w:eastAsia="Times New Roman" w:hAnsi="Times New Roman"/>
          <w:sz w:val="18"/>
          <w:szCs w:val="18"/>
          <w:color w:val="auto"/>
        </w:rPr>
        <w:t>- for the three and six months ended June 30, 2022, increased due to incremental taxable income from the acquisition of Park Holidays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UK. Refer to Note 12, "Income Taxes," in our accompanying Consolidated Financial Statements for additional information.</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attributable to noncontrolling interests </w:t>
      </w:r>
      <w:r>
        <w:rPr>
          <w:rFonts w:ascii="Times New Roman" w:cs="Times New Roman" w:eastAsia="Times New Roman" w:hAnsi="Times New Roman"/>
          <w:sz w:val="18"/>
          <w:szCs w:val="18"/>
          <w:color w:val="auto"/>
        </w:rPr>
        <w:t>- for the three and six months ended June 30, 2022, decreased due to a decrease in Net Income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periods in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SUI COMMON SHAREHOLDERS TO FFO</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attributable to SUI common shareholders to FFO for the three and six months ended June 30, 2022 and 2021 (in millions, except for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2480" w:type="dxa"/>
            <w:vAlign w:val="bottom"/>
            <w:gridSpan w:val="4"/>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0"/>
        </w:trPr>
        <w:tc>
          <w:tcPr>
            <w:tcW w:w="58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June 30, 2021</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Attributable to SUI Common Shareholders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135.6</w:t>
            </w:r>
          </w:p>
        </w:tc>
        <w:tc>
          <w:tcPr>
            <w:tcW w:w="0" w:type="dxa"/>
            <w:vAlign w:val="bottom"/>
          </w:tcPr>
          <w:p>
            <w:pPr>
              <w:spacing w:after="0"/>
              <w:rPr>
                <w:sz w:val="1"/>
                <w:szCs w:val="1"/>
                <w:color w:val="auto"/>
              </w:rPr>
            </w:pPr>
          </w:p>
        </w:tc>
      </w:tr>
      <w:tr>
        <w:trPr>
          <w:trHeight w:val="200"/>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250.5</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on nonconsolidated affiliates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marketable securities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investment in nonconsolidated affiliates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on remeasurement of notes receivable</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attributable to noncontrolling interests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Returns on preferred OP units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on dispositions of assets, net</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0" w:type="dxa"/>
            <w:vAlign w:val="bottom"/>
          </w:tcPr>
          <w:p>
            <w:pPr>
              <w:spacing w:after="0"/>
              <w:rPr>
                <w:sz w:val="1"/>
                <w:szCs w:val="1"/>
                <w:color w:val="auto"/>
              </w:rPr>
            </w:pPr>
          </w:p>
        </w:tc>
      </w:tr>
      <w:tr>
        <w:trPr>
          <w:trHeight w:val="196"/>
        </w:trPr>
        <w:tc>
          <w:tcPr>
            <w:tcW w:w="5800" w:type="dxa"/>
            <w:vAlign w:val="bottom"/>
          </w:tcPr>
          <w:p>
            <w:pPr>
              <w:ind w:left="20"/>
              <w:spacing w:after="0" w:line="196" w:lineRule="exact"/>
              <w:rPr>
                <w:sz w:val="20"/>
                <w:szCs w:val="20"/>
                <w:color w:val="auto"/>
              </w:rPr>
            </w:pPr>
            <w:r>
              <w:rPr>
                <w:rFonts w:ascii="Times New Roman" w:cs="Times New Roman" w:eastAsia="Times New Roman" w:hAnsi="Times New Roman"/>
                <w:sz w:val="15"/>
                <w:szCs w:val="15"/>
                <w:b w:val="1"/>
                <w:bCs w:val="1"/>
                <w:color w:val="auto"/>
              </w:rPr>
              <w:t>FFO Attributable to SUI Common Shareholders and Dilutive Convertible Securities</w:t>
            </w:r>
            <w:r>
              <w:rPr>
                <w:rFonts w:ascii="Times New Roman" w:cs="Times New Roman" w:eastAsia="Times New Roman" w:hAnsi="Times New Roman"/>
                <w:sz w:val="19"/>
                <w:szCs w:val="1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335.5</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line="204" w:lineRule="exact"/>
              <w:rPr>
                <w:sz w:val="20"/>
                <w:szCs w:val="20"/>
                <w:color w:val="auto"/>
              </w:rPr>
            </w:pPr>
            <w:r>
              <w:rPr>
                <w:rFonts w:ascii="Times New Roman" w:cs="Times New Roman" w:eastAsia="Times New Roman" w:hAnsi="Times New Roman"/>
                <w:sz w:val="15"/>
                <w:szCs w:val="15"/>
                <w:color w:val="auto"/>
              </w:rPr>
              <w:t>Business combination expense and other acquisition related costs</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Earnings - catastrophic event-related charges</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5"/>
                <w:szCs w:val="15"/>
                <w:color w:val="auto"/>
              </w:rPr>
              <w:t>Other adjustments, net</w:t>
            </w:r>
            <w:r>
              <w:rPr>
                <w:rFonts w:ascii="Times New Roman" w:cs="Times New Roman" w:eastAsia="Times New Roman" w:hAnsi="Times New Roman"/>
                <w:sz w:val="19"/>
                <w:szCs w:val="19"/>
                <w:color w:val="auto"/>
                <w:vertAlign w:val="superscript"/>
              </w:rPr>
              <w:t>(4)</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28"/>
        </w:trPr>
        <w:tc>
          <w:tcPr>
            <w:tcW w:w="5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Core FFO Attributable to SUI Common Shareholders and Dilutive Convertible</w:t>
            </w: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351.1</w:t>
            </w:r>
          </w:p>
        </w:tc>
        <w:tc>
          <w:tcPr>
            <w:tcW w:w="0" w:type="dxa"/>
            <w:vAlign w:val="bottom"/>
          </w:tcPr>
          <w:p>
            <w:pPr>
              <w:spacing w:after="0"/>
              <w:rPr>
                <w:sz w:val="1"/>
                <w:szCs w:val="1"/>
                <w:color w:val="auto"/>
              </w:rPr>
            </w:pPr>
          </w:p>
        </w:tc>
      </w:tr>
      <w:tr>
        <w:trPr>
          <w:trHeight w:val="200"/>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40"/>
              <w:spacing w:after="0" w:line="204" w:lineRule="exact"/>
              <w:rPr>
                <w:sz w:val="20"/>
                <w:szCs w:val="20"/>
                <w:color w:val="auto"/>
              </w:rPr>
            </w:pPr>
            <w:r>
              <w:rPr>
                <w:rFonts w:ascii="Times New Roman" w:cs="Times New Roman" w:eastAsia="Times New Roman" w:hAnsi="Times New Roman"/>
                <w:sz w:val="15"/>
                <w:szCs w:val="15"/>
                <w:color w:val="auto"/>
              </w:rPr>
              <w:t>Foreign currency impact</w:t>
            </w:r>
            <w:r>
              <w:rPr>
                <w:rFonts w:ascii="Times New Roman" w:cs="Times New Roman" w:eastAsia="Times New Roman" w:hAnsi="Times New Roman"/>
                <w:sz w:val="19"/>
                <w:szCs w:val="19"/>
                <w:color w:val="auto"/>
                <w:vertAlign w:val="superscript"/>
              </w:rPr>
              <w:t>(5)</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28"/>
        </w:trPr>
        <w:tc>
          <w:tcPr>
            <w:tcW w:w="58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 Core FFO Attributable to SUI Common Shareholders and Dilutive</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256.6</w:t>
            </w:r>
          </w:p>
        </w:tc>
        <w:tc>
          <w:tcPr>
            <w:tcW w:w="8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209.6</w:t>
            </w:r>
          </w:p>
        </w:tc>
        <w:tc>
          <w:tcPr>
            <w:tcW w:w="2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419.9</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351.1</w:t>
            </w:r>
          </w:p>
        </w:tc>
        <w:tc>
          <w:tcPr>
            <w:tcW w:w="0" w:type="dxa"/>
            <w:vAlign w:val="bottom"/>
          </w:tcPr>
          <w:p>
            <w:pPr>
              <w:spacing w:after="0"/>
              <w:rPr>
                <w:sz w:val="1"/>
                <w:szCs w:val="1"/>
                <w:color w:val="auto"/>
              </w:rPr>
            </w:pPr>
          </w:p>
        </w:tc>
      </w:tr>
      <w:tr>
        <w:trPr>
          <w:trHeight w:val="194"/>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Convertible Securities</w:t>
            </w: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Common shares dilutive effect from forward equity sale</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Restricted stock</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Common OP units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Common stock issuable upon conversion of certain preferred OP units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Common Shares Outstanding - Fully Diluted</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114.1</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FFO Attributable to SUI Common Shareholders and Dilutive Convertible Securities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Per Share - Fully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0" w:type="dxa"/>
            <w:vAlign w:val="bottom"/>
          </w:tcPr>
          <w:p>
            <w:pPr>
              <w:spacing w:after="0"/>
              <w:rPr>
                <w:sz w:val="1"/>
                <w:szCs w:val="1"/>
                <w:color w:val="auto"/>
              </w:rPr>
            </w:pPr>
          </w:p>
        </w:tc>
      </w:tr>
      <w:tr>
        <w:trPr>
          <w:trHeight w:val="153"/>
        </w:trPr>
        <w:tc>
          <w:tcPr>
            <w:tcW w:w="5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Core FFO Attributable to SUI Common Shareholders and Dilutive Convertible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Securities Per Share - Fully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0" w:type="dxa"/>
            <w:vAlign w:val="bottom"/>
          </w:tcPr>
          <w:p>
            <w:pPr>
              <w:spacing w:after="0"/>
              <w:rPr>
                <w:sz w:val="1"/>
                <w:szCs w:val="1"/>
                <w:color w:val="auto"/>
              </w:rPr>
            </w:pPr>
          </w:p>
        </w:tc>
      </w:tr>
      <w:tr>
        <w:trPr>
          <w:trHeight w:val="153"/>
        </w:trPr>
        <w:tc>
          <w:tcPr>
            <w:tcW w:w="5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Constant Currency Core FFO Attributable to SUI Common Shareholders and Dilutive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Convertible Securities Per Share - Fully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60" w:hanging="152"/>
        <w:spacing w:after="0"/>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effect of certain anti-dilutive convertible securities is excluded from these items.</w:t>
      </w:r>
    </w:p>
    <w:p>
      <w:pPr>
        <w:spacing w:after="0" w:line="30" w:lineRule="exact"/>
        <w:rPr>
          <w:rFonts w:ascii="Times New Roman" w:cs="Times New Roman" w:eastAsia="Times New Roman" w:hAnsi="Times New Roman"/>
          <w:sz w:val="19"/>
          <w:szCs w:val="19"/>
          <w:color w:val="auto"/>
          <w:vertAlign w:val="superscript"/>
        </w:rPr>
      </w:pPr>
    </w:p>
    <w:p>
      <w:pPr>
        <w:jc w:val="both"/>
        <w:ind w:left="180" w:hanging="172"/>
        <w:spacing w:after="0" w:line="239" w:lineRule="auto"/>
        <w:tabs>
          <w:tab w:leader="none" w:pos="167"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costs represent (i) nonrecurring integration expenses associated with new acquisitions and first year acquisition deferred costs for the three and six months ended June 30, 2022 and 2021, (ii) costs associated with potential acquisitions that will not close, (iii) costs associated with the termination of the bridge loan commitment during the three months ended March 31, 2022 related to the acquisition of Park Holidays and (iv) business combination expenses and expenses incurred to bring recently acquired properties up to our operating standards, including items such as tree trimming and painting costs that do not meet our capitalization policy.</w:t>
      </w:r>
    </w:p>
    <w:p>
      <w:pPr>
        <w:spacing w:after="0" w:line="14" w:lineRule="exact"/>
        <w:rPr>
          <w:rFonts w:ascii="Times New Roman" w:cs="Times New Roman" w:eastAsia="Times New Roman" w:hAnsi="Times New Roman"/>
          <w:sz w:val="19"/>
          <w:szCs w:val="19"/>
          <w:color w:val="auto"/>
          <w:vertAlign w:val="superscript"/>
        </w:rPr>
      </w:pPr>
    </w:p>
    <w:p>
      <w:pPr>
        <w:ind w:left="180" w:right="20" w:hanging="172"/>
        <w:spacing w:after="0" w:line="230" w:lineRule="auto"/>
        <w:tabs>
          <w:tab w:leader="none" w:pos="167"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Adjustment related to estimated loss of earnings in excess of the applicable business interruption deductible in relation to our three Florida Keys communities that were impaired by Hurricane Irma which had not yet been received from our insurer.</w:t>
      </w:r>
    </w:p>
    <w:p>
      <w:pPr>
        <w:spacing w:after="0" w:line="14" w:lineRule="exact"/>
        <w:rPr>
          <w:rFonts w:ascii="Times New Roman" w:cs="Times New Roman" w:eastAsia="Times New Roman" w:hAnsi="Times New Roman"/>
          <w:sz w:val="19"/>
          <w:szCs w:val="19"/>
          <w:color w:val="auto"/>
          <w:vertAlign w:val="superscript"/>
        </w:rPr>
      </w:pPr>
    </w:p>
    <w:p>
      <w:pPr>
        <w:jc w:val="both"/>
        <w:ind w:left="180" w:hanging="172"/>
        <w:spacing w:after="0" w:line="239" w:lineRule="auto"/>
        <w:tabs>
          <w:tab w:leader="none" w:pos="167"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adjustments, net include (i) long-term lease termination benefit, deferred tax benefit, RV rebranding non-recurring cost, accelerated deferred compensation amortization and a gain on sale of investment in nonconsolidated affiliate for the three and six months ended June 30, 2022, and (ii) Change in estimated contingent consideration payments and deferred tax (benefit) / expense for the three and six months ended June 30, 2022 and 2021.</w:t>
      </w:r>
    </w:p>
    <w:p>
      <w:pPr>
        <w:spacing w:after="0" w:line="15" w:lineRule="exact"/>
        <w:rPr>
          <w:rFonts w:ascii="Times New Roman" w:cs="Times New Roman" w:eastAsia="Times New Roman" w:hAnsi="Times New Roman"/>
          <w:sz w:val="19"/>
          <w:szCs w:val="19"/>
          <w:color w:val="auto"/>
          <w:vertAlign w:val="superscript"/>
        </w:rPr>
      </w:pPr>
    </w:p>
    <w:p>
      <w:pPr>
        <w:ind w:left="180" w:right="20" w:hanging="172"/>
        <w:spacing w:after="0" w:line="302" w:lineRule="auto"/>
        <w:tabs>
          <w:tab w:leader="none" w:pos="167"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calculated the foreign currency translation impact by comparing the actual weighted average foreign currency rates of $1.2598 U.S. dollars ("USD") per GBP, $0.7828 USD per CAD and $0.7241 USD per AUD, with the weighted average foreign currency rates used for the guidance of $1.330 USD per GBP, $0.770 USD per CAD and $0.756 USD per AUD,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Liquidity</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short-term liquidity demands historically have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flows generated from operations, draws on our Senior Credit Facility, and the use of debt and equity offerings under our shelf registration statement. Refer to Note 8, "Debt and Line of Credit," and Note 9, "Equity and Temporary Equity," in our accompanying Consolidated Financial Statements for additional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In June 2021, we received investment grade ratings of BBB and Baa3 with a stable outlook from S&amp;P Global and Moody's, respectively. We plan on continuing to capitalize on our advantage in the credit markets to access a greater proportion of unsecured debt to optimize our cost of capital and increase our financial flexibility.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market conditions, we intend to continue to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We will continue to evaluate acquisition opportunities that meet our criteria. Refer to Note 3, "Real Estate Acquisitions and Dispositions," in the accompanying Consolidated Financial Statements for information regarding recent property acquisitions.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2022, we completed our previously announced acquisition of Park Holidays. The acquisition valued Park Holidays at an enterprise value of £950.0 million (or approximately $1.2 billion). As consideration for the acquisition, we (i) issued an aggregate of 186,044 shares of our common stock with a value of approximately $34.0 million as of the closing to certain individual sellers who are also members of Park Holidays' senior management team, and (ii) paid the remainder of the purchase price in cash.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include expansion sites and development construction costs, recurring capital expenditures, lot modifications, growth projects, acquisition-related capital expenditures, rental home purchases and rebranding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expenditure activity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79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Expansion and Development Expenditures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122.7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90.4</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Recurring Capital Expenditures</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Lot Modifications Expenditures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Growth Projects</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Acquisition-related Capital Expenditures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Rental Program</w:t>
            </w: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Rebranding Cost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23"/>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capital expenditures activity</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Expansion and development expenditures </w:t>
      </w:r>
      <w:r>
        <w:rPr>
          <w:rFonts w:ascii="Times New Roman" w:cs="Times New Roman" w:eastAsia="Times New Roman" w:hAnsi="Times New Roman"/>
          <w:sz w:val="18"/>
          <w:szCs w:val="18"/>
          <w:color w:val="auto"/>
        </w:rPr>
        <w:t>- consist primarily of construction costs such as roads, activities and amenities, and costs necessary to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 and RV site improvements, such as driveways, sidewalks and landscaping at our MH communities and RV resorts. Expenditures also include costs to rebuild after damage has been incurred at MH, RV or Marina properties, and research and development.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Recurring capital expenditures </w:t>
      </w:r>
      <w:r>
        <w:rPr>
          <w:rFonts w:ascii="Times New Roman" w:cs="Times New Roman" w:eastAsia="Times New Roman" w:hAnsi="Times New Roman"/>
          <w:sz w:val="18"/>
          <w:szCs w:val="18"/>
          <w:color w:val="auto"/>
        </w:rPr>
        <w:t>- relate to our continued commitment to the upkeep of our MH and RV properties and include items such as dredging, dock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repairs and improvements, and equipment maintenance and upgrades related to our marinas.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Lot modification capital expenditures </w:t>
      </w:r>
      <w:r>
        <w:rPr>
          <w:rFonts w:ascii="Times New Roman" w:cs="Times New Roman" w:eastAsia="Times New Roman" w:hAnsi="Times New Roman"/>
          <w:sz w:val="18"/>
          <w:szCs w:val="18"/>
          <w:color w:val="auto"/>
        </w:rPr>
        <w:t>- are incurred to modify the foundational structures required to set a new home after a previous home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Growth projects </w:t>
      </w:r>
      <w:r>
        <w:rPr>
          <w:rFonts w:ascii="Times New Roman" w:cs="Times New Roman" w:eastAsia="Times New Roman" w:hAnsi="Times New Roman"/>
          <w:sz w:val="18"/>
          <w:szCs w:val="18"/>
          <w:color w:val="auto"/>
        </w:rPr>
        <w:t>- consist of revenue generating or expense reducing activities at MH communities, RV resorts and Marinas. This includes, but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utility efficiency and renewable energy projects, site, slip or amenity upgrades such as the addition of a garage, shed or boat lift, and other special capital projects that substantiate an incremental rental increase.</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Acquisition-related capital expenditures </w:t>
      </w:r>
      <w:r>
        <w:rPr>
          <w:rFonts w:ascii="Times New Roman" w:cs="Times New Roman" w:eastAsia="Times New Roman" w:hAnsi="Times New Roman"/>
          <w:sz w:val="18"/>
          <w:szCs w:val="18"/>
          <w:color w:val="auto"/>
        </w:rPr>
        <w:t>- consist of capital improvements identified during due diligence that are necessary to bring our communities,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resorts and marinas up to our operating standards. These include items such as: upgrading clubhouses; landscaping; new street light systems; new mail delivery systems; pool renovation including larger decks, heaters and furniture; new maintenance facilities; lot modifications; and new signage.</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Rental program </w:t>
      </w:r>
      <w:r>
        <w:rPr>
          <w:rFonts w:ascii="Times New Roman" w:cs="Times New Roman" w:eastAsia="Times New Roman" w:hAnsi="Times New Roman"/>
          <w:sz w:val="18"/>
          <w:szCs w:val="18"/>
          <w:color w:val="auto"/>
        </w:rPr>
        <w:t>- investment in the acquisition of homes intended for the Rental Program and the purchase of vacation rental homes at our RV resorts.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for these investments depend upon the condition of the markets for repossessions and new home sales, rental homes and vacation rental homes.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Rebranding cost </w:t>
      </w:r>
      <w:r>
        <w:rPr>
          <w:rFonts w:ascii="Times New Roman" w:cs="Times New Roman" w:eastAsia="Times New Roman" w:hAnsi="Times New Roman"/>
          <w:sz w:val="18"/>
          <w:szCs w:val="18"/>
          <w:color w:val="auto"/>
        </w:rPr>
        <w:t>- includes new signage at our RV resorts and costs of building an RV mobile application and updated website.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activities are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0"/>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June 30, 2021</w:t>
            </w:r>
          </w:p>
        </w:tc>
      </w:tr>
      <w:tr>
        <w:trPr>
          <w:trHeight w:val="196"/>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496.7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470.7</w:t>
            </w: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for Investing Activities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(2,475.8)</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(865.5)</w:t>
            </w:r>
          </w:p>
        </w:tc>
      </w:tr>
      <w:tr>
        <w:trPr>
          <w:trHeight w:val="20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2,092.2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421.5</w:t>
            </w:r>
          </w:p>
        </w:tc>
      </w:tr>
      <w:tr>
        <w:trPr>
          <w:trHeight w:val="198"/>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increased by $106.5 million from $78.2 million as of December 31, 2021, to $184.7 million as of June 30, 2022.</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provided by operating activities increased by $26.0 million to $496.7 million for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$470.7 million for the six months ended June 30, 2021. The increase was driven by improved operating performance at our existing properties and the addition of recently acquired properties.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cash flows provided by operating activities from continuing operations may be adversely impacted by, among other things: (a) the market and economic conditions in our current markets generally, and specifically in the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(e) current volatility in economic conditions and the financial markets; and (f) the effects of the COVID-19 pandemic. See "Risk Factors" in Part I, Item 1A of our 2021 Annual Report.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used for investing activities increased by $1.6 billion to $2.5 billion for the six months ended June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$865.5 million for the six months ended June 30, 2021. The increase in Net cash used for investing activities was primarily driven by an increase in cash deployed to acquire Park Holidays and other new properties, capital expenditure activity, and issuance of notes and other receivables during the six months ended June 30, 2022 as compared to the corresponding period in 2021. Refer to the Consolidated Statements of Cash Flow for detail on the net cash used for investing activities during the six months ended June 30, 2022 and 2021. Refer to Note 3, "Real Estate Acquisitions and Dispositions," and Note 4, "Notes and Other Receivables," in our accompanying Consolidated Financial Statements for additional information on acquisitions and issuance of notes and other receivables.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provided by financing activities increased by $1.7 billion to $2.1 billion for the six months ended June 30, 2022,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$421.5 million for the six months ended June 30, 2021. The increase in Net cash provided by financing activities was primarily driven by a decrease in payments and an increase in borrowings under our Senior Credit Facility during the six months ended June 30, 2022 as compared to the corresponding period in 2021. Refer to the Consolidated Statements of Cash Flow for detail on the net cash provided by financing activities during the six months ended June 30, 2022 and 2021. Refer to Note 8, "Debt and Line of Credit," and Note 9, "Equity and Temporary Equity," in our accompanying Consolidated Financial Statements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and Debt Activity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Equity Offerings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we entered into the November 2021 Forward Sale Agreements in connection with an underwritten registered public offering of 4,025,000 shares of our common stock at a public offering price of $185.00. On April 15, 2022, we completed the physical settlement of the 4,025,000 shares of common stock and received the aggregate net proceeds of $705.4 million. We used the net proceeds to repay borrowings outstanding under our Senior Credit Facility, and for working capital and general corporate purposes.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the Sales Agreement, with certain sales agents and forward sellers pursuant to which we may sell, from time to time, up to an aggregate gross sales price of $1.25 billion of our common stock through the sales agents, acting as our sales agents or, if applicable, as forward sellers, or directly to the sales agents as principals for their own accounts. We simultaneously terminated our prior sales agreement upon entering into the Sales Agreement.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entered into forward sales agreements with respect to 891,103 shares of common stock under our at the market offering program for $158.0 million during the six months ended June 30, 2022. We also entered into forward sale agreements with respect to 1,820,109 shares of common stock under our at the market offering program for $356.5 million during the year ended December 31, 2021. During the three months ended June 30, 2022, we completed the physical settlement of 1,200,000 shares of common stock and received net proceeds of $229.5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2022, the Operating Partnership issued $600.0 million of senior unsecured 2032 Notes with an interest rate of 4.2 percent and a 10-year term, due April 15, 2032. The net proceeds from the offering were $592.3 million after deducting underwriters' discounts and estimated offering expenses. In connection with the 2032 Notes issuance, we settled four 10-year Treasury rate locks totaling $600.0 million and received a settlement payment of $35.3 million. The balance will be amortized as a reduction of interest expense on a straight-line basis over the 10-year term of the hedged transaction. This lowers the effective interest rate on the 2032 Notes from 4.2 percent to 3.6 percent.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2021, the Operating Partnership issued $450.0 million of senior unsecured 2028 Notes with an interest rate of 2.3 percent and a seven-year term, due November 1, 2028. The Operating Partnership also issued an additional $150.0 million of its 2031 Notes (as defined below). The net proceeds from both offerings were approximately $595.5 million after deducting underwriters' discounts and estimated offering expenses.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Operating Partnership issued $600.0 million of senior unsecured 2031 Notes with an interest rate of 2.7 percent and a ten-year term, due July 15, 2031. The net proceeds from the offering were approximately $592.4 million, after deducting underwriters' discounts and estimated offering expenses.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the 2028 Notes, the 2031 Notes and the 2032 Notes, were used to pay down borrowings under our Senior Credit Facility. The total outstanding balance of senior unsecured notes was $1.8 billion at June 30,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obligations of the Operating Partnership to pay principal, premiums, if any, and interest on the 2028 Notes, 2031 Notes and 2032 Notes are guaranteed on a senior basis by SUI. The irrevocable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2022, in connection with the closing of the Park Holidays acquisition, the Operating Partnership as borrower, and SUI, as guarantor, and certain lenders entered into the Credit Facility Amendment, which amended our Senior Credit Facility.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w:t>
      </w:r>
    </w:p>
    <w:p>
      <w:pPr>
        <w:jc w:val="both"/>
        <w:ind w:firstLine="8"/>
        <w:spacing w:after="0" w:line="253" w:lineRule="auto"/>
        <w:tabs>
          <w:tab w:leader="none" w:pos="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in an amount up to $3.05 billion and (b) a term loan facility of $1.15 billion, with the ability to draw funds from the combined facilities in U.S. dollars, Pounds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amendment, the Senior Credit Facility permitted aggregate borrowings of up to $2.0 billion, with an accordion feature that allowed for additional commitments of up to $1.0 billion, subject to the satisfaction of certain conditions. Prior to the amendment, $500.0 million of available borrowings under the Senior Credit Facility was scheduled to mature on October 11, 2024, with the remainder scheduled to mature on June 14, 2025. During the three months ended June 30, 2022 and 2021, we recognized losses on extinguishment of debt in our Consolidated Statements of Operations of $0.1 million related to the amendment of the Senior Credit Facility, and $0.2 million and $7.9 million related to the termination of our $750.0 million credit facility and the $1.8 billion credit facility between Safe Harbor and certain lenders, respectively.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Credit Facility bears interest at a floating rate based on Adjusted Term SOFR, the Adjusted Eurocurrency Rate, the Daily RFR, the Australian BBSY, the Daily SONIA Rate or the Canadian Dollar Offered Rate, as applicable, plus, in all cases, a margin, which can range from 0.725 percent to 1.6 percent, subject to certain adjustments. As of June 30, 2022, the margins based on our credit ratings were 0.85 percent on the revolving loan facility and 0.95 percent on the term loan facility.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lenders' option, the Senior Credit Facility will become immediately due and payable upon an event of default under the Credit Facility Amendment. We had $662.0 million of borrowings outstanding under the revolving loan and $1.1 billion of borrowings outstanding under the term loan on the Senior Credit Facility as of June 30, 2022. We had $1.0 billion of revolving borrowings on our prior Senior Credit Facility as of December 31, 2021. These balances are recorded in Unsecured debt on the Consolidated Balance Sheets.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$2.8 million and $2.2 million of outstanding letters of credit at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Senior Credit Facility, we are subject to various financial and other covenants. The most restrictive financial covenants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Credit Facility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As of June 30, 2022</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leverage ratio</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&lt;65.0%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31.8%</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Minimum fixed charge coverage ratio</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&gt;1.40</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4.22</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dividend payout ratio</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&lt;95.0%</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47.2%</w:t>
            </w:r>
          </w:p>
        </w:tc>
      </w:tr>
      <w:tr>
        <w:trPr>
          <w:trHeight w:val="19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Maximum secured leverage ratio</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&lt;40.0%</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13.1%</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are required to maintain the following covenants with respect to the senior unsecured notes payable: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As of June 30, 2022</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debt to total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40.3%</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Secured debt to total assets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≤40.0%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19.3%</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available for debt service to debt service</w:t>
            </w:r>
          </w:p>
        </w:tc>
        <w:tc>
          <w:tcPr>
            <w:tcW w:w="2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≥1.50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5.67</w:t>
            </w:r>
          </w:p>
        </w:tc>
      </w:tr>
      <w:tr>
        <w:trPr>
          <w:trHeight w:val="19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Unencumbered total asset value to total unsecured debt</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≥150.0%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344.3%</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were in compliance with the above covenants and do not anticipate that we will be unable to meet these covenants in the near term.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Loan Termination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terminated our commitment letter with Citigroup, pursuant to which, Citigroup (on behalf of its affiliates), previously committed to lend us up to £950.0 million, or approximately $1.2 billion converted at the March 31, 2022 exchange rate (the "Bridge Loan"). As of the date of termination, we did not have any borrowings outstanding under the Bridge Loan.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We do not enter into derivative instruments for speculative purposes.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2022, we entered into two treasury lock contracts with an aggregate notional value of $200.0 million to hedge interest rate risk associated with the future issuance of long-term fixed rate debt. The benchmark interest rate used is the on-the-run 10-year U.S. Treasury. We also entered into interest rate swap agreements to hedge variable rate borrowings of £400.0 million under the term loan on the Senior Credit Facility. The interest rate swaps lock in a total fixed rate, inclusive of spread, of 3.67 percent through the term loan maturity date of April 7,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 and Capital Requirements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meeting our long-term liquidity requirements, such as scheduled debt maturities, large property acquisitions, expansion and development of properties, other nonrecurring capital improvements and Operating Partnership unit redemptions through the long-term unsecured and secured indebtedness and the issuance of certain debt or equity securities subject to market conditions.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unrestricted cash on hand as of June 30, 2022, of $169.7 million. As of June 30, 2022, there was $2.3 billion of remaining capacity on the Senior Credit Facility. At June 30, 2022 we had a total of 472 unencumbered MH, RV and Marina properties.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indebtedness as maturities become due. See "Risk Factors" in Part I, Item 1A of our 2021 Annual Report. If we are unable to obtain additional debt or equity financing on acceptable terms, our business, results of operations and financial condition would be adversely impacted.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our net debt to enterprise value was 25.0 percent (assuming conversion of all common OP units, Series A-1 preferred OP units, Series A-3 preferred OP units, Series C preferred OP units, Series D preferred OP units, Series E preferred OP units, Series F preferred OP units, Series G preferred OP units, Series H preferred OP units, Series I preferred OP units and Series J preferred OP units to shares of common stock). Our debt has a weighted average interest rate of 3.4 percent and a weighted average years to maturity of 7.9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nonconsolidated affiliates, which are accounted for under the equity-method of accounting, have incurred indebtedness. We have not guaranteed the debt of our nonconsolidated affiliates in the arrangements referenced below, nor do we have any obligations to fund this debt should the nonconsolidated affiliates be unable to do so. Refer to Note 6, "Investments in Nonconsolidated Affiliates," in the accompanying Consolidated Financial Statements for additional information about these entities.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GTSC </w:t>
      </w:r>
      <w:r>
        <w:rPr>
          <w:rFonts w:ascii="Times New Roman" w:cs="Times New Roman" w:eastAsia="Times New Roman" w:hAnsi="Times New Roman"/>
          <w:sz w:val="18"/>
          <w:szCs w:val="18"/>
          <w:color w:val="auto"/>
        </w:rPr>
        <w:t>- During September 2019, GTSC entered into a warehouse line of credit with a maximum loan amount of $125.0 million. During September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2021 and December 2021, the maximum amount was increased to $180.0 million, $230.0 million and $255.0 million, respectively, with an option to increase to $275.0 million subject to the lender's consent. As of June 30, 2022, and December 31, 2021 the aggregate carrying amount of debt, including both our and our partner's share, incurred by GTSC was $267.7 million (of which our proportionate share is $107.1 million) and $243.1 million (of which our proportionate share is $97.2 million), respectively. The debt bears interest at a variable rate based on a Commercial Paper or adjusted Secured Overnight Financing Rate plus 1.65 percent per annum and matures on December 15, 2025.</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Sungenia JV </w:t>
      </w:r>
      <w:r>
        <w:rPr>
          <w:rFonts w:ascii="Times New Roman" w:cs="Times New Roman" w:eastAsia="Times New Roman" w:hAnsi="Times New Roman"/>
          <w:sz w:val="18"/>
          <w:szCs w:val="18"/>
          <w:color w:val="auto"/>
        </w:rPr>
        <w:t>- During May 2020, the Sungenia JV entered into a debt facility agreement with a maximum loan amount of $27.0 million Australian dollars,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$18.6 million converted at the June 30, 2022 exchange rate. As of June 30, 2022 and December 31, 2021, the aggregate carrying amount of debt, including both our and our partners' share, incurred by Sungenia JV was $6.0 million (of which our proportionate share is approximately $3.0 million), and $6.3 million (of which our proportionate share is $3.1 million), respectively. The debt bears interest at a variable rate based on the BBSY rate plus 2.05 percent per annum and is available for a minimum of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some of which are beyond our control. These risks, uncertainties and other factors may cause our actual results to be materially different from any future results expressed or implied by such forward-looking statements. In addition to the risks disclosed under "Risk Factors" in our 2021 Annual Report, and in our other filings with the SEC, from time to time, such risks and uncertainties include but are not limited to:</w:t>
      </w:r>
    </w:p>
    <w:p>
      <w:pPr>
        <w:spacing w:after="0" w:line="217" w:lineRule="exact"/>
        <w:rPr>
          <w:sz w:val="20"/>
          <w:szCs w:val="20"/>
          <w:color w:val="auto"/>
        </w:rPr>
      </w:pPr>
    </w:p>
    <w:p>
      <w:pPr>
        <w:ind w:left="660" w:hanging="328"/>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disease, including the COVID-19 pandemic, and related stay-at-home orders, quarantine policies and restrictions on travel, trade and business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inflation, deflation, and energy costs, the real estate industry and the markets within which we operate;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our ability to evaluate, finance, complete and integrate acquisitions, developments and expansions successfully;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refinancing demands;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refinance maturing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covenants contained in our debt facilities and senior unsecured notes;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including between the U.S. dollar and each of the Canadian dollar, the Australian dollar and the Pound sterling;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rental rates and occupancy levels;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 and disclosure controls and procedures;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and operating costs, including insurance premiums and real property taxes;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such as hurricanes, earthquakes, floods, droughts and wildfires;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capital markets and the market price of shares of our capital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real estate and zoning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including changes to laws governing the taxation of REITs;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judgments or settlements;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forces;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purchasers of manufactured homes and boats to obtain financing;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repossessions by manufactured home and boat lenders.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variable rate debt totaled $1.7 billion and $231.5 million as of June 30, 2022 and 2021, respectively. As of June 30, 2022, our variable debt bore interest at the Adjusted Term SOFR, the Adjusted Eurocurrency Rate, the Daily RFR, the Australian BBSY rate, the Daily SONIA Rate or the Canadian Dollar Offered Rate, and the Eurodollar rate or Prime rate plus a margin. As of June 30, 2021, our variable debt bore interest at the Adjusted Eurocurrency Rate, the Australian BBSY rate, and the Eurodollar rate or Prime rate plus a margin. If the above rate increased or decreased by 1.0 percent, our interest expense would have increased or decreased by $6.8 million and $5.8 million for the six months ended June 30, 2022 and 2021, respectively, based on the $1.4 billion and $1.2 billion average balances outstanding under our variable rate debt facilities,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UK and Canada, and our equity investment and joint venture in Australia, into U.S. dollars. Fluctuations in foreign currency exchange rates can therefore create volatility in our results of operations and may adversely affect our financial condition.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2022 and December 31, 2021, our shareholder's equity included $1.2 billion from our investments and operations in Canada, Australia and the United Kingdom and $663.6 million from our investments and operations in Canada and Australia, which collectively represented 15.4 percent and 9.9 percent of total shareholder's equity, respectively. Based on our sensitivity analysis, a 10.0 percent strengthening of the U.S. dollar against the Canadian dollar, Australian dollar and Pounds sterling would have caused a reduction of $115.9 million and $66.4 million to our total shareholder's equity at June 30, 2022 and December 31, 2021,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(pursuant to Rules 13a-15(e) or 15d-15(e) of the Exchange Act) at June 30, 2022. Based upon this evaluation, our CEO and CFO concluded that our disclosure controls and procedures were effective as of June 30, 2022.</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2022, we completed the acquisition of Park Holidays and are currently integrating Park Holidays into our operations, compliance program and internal control processes. Park Holidays constituted approximately 15 percent of our total assets as of June 30, 2022, including the goodwill and other intangible assets recorded as part of the purchase price allocation, and 8 percent of our revenues for the six months ended June 30, 2022. SEC regulations allow companies to exclude acquisitions from their assessment of internal control over financial reporting during the first year following an acquisition. We have excluded the acquired operations of Park Holidays from our assessment of our internal control over financial reporting for the six months ended June 30,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Arising in the Ordinary Course of Business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"Legal Proceedings" in Part 1 - Item 1 - Note 16, "Commitments and Contingencies," in our accompanying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June 30,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described in Part 1, Item 1A., "Risk Factors," in our 2021 Annual Report, which could materially affect our business, financial condition or future results. There have been no material changes to the disclosure on these matters as set forth in such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OP units have converted the following units during the three months ended June 30, 2022:</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3"/>
          </w:tcPr>
          <w:p>
            <w:pPr>
              <w:ind w:lef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7"/>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5"/>
                <w:szCs w:val="15"/>
                <w:b w:val="1"/>
                <w:bCs w:val="1"/>
                <w:color w:val="auto"/>
              </w:rPr>
              <w:t>June 30, 2022</w:t>
            </w:r>
          </w:p>
        </w:tc>
      </w:tr>
      <w:tr>
        <w:trPr>
          <w:trHeight w:val="146"/>
        </w:trPr>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200" w:type="dxa"/>
            <w:vAlign w:val="bottom"/>
          </w:tcPr>
          <w:p>
            <w:pPr>
              <w:spacing w:after="0"/>
              <w:rPr>
                <w:sz w:val="12"/>
                <w:szCs w:val="12"/>
                <w:color w:val="auto"/>
              </w:rPr>
            </w:pP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Series</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Conversion Rate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color w:val="auto"/>
                <w:vertAlign w:val="superscript"/>
              </w:rPr>
              <w:t>(1)</w:t>
            </w:r>
          </w:p>
        </w:tc>
      </w:tr>
      <w:tr>
        <w:trPr>
          <w:trHeight w:val="196"/>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2,700</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2,700</w:t>
            </w:r>
          </w:p>
        </w:tc>
      </w:tr>
    </w:tbl>
    <w:p>
      <w:pPr>
        <w:spacing w:after="0" w:line="42" w:lineRule="exact"/>
        <w:rPr>
          <w:sz w:val="20"/>
          <w:szCs w:val="20"/>
          <w:color w:val="auto"/>
        </w:rPr>
      </w:pPr>
    </w:p>
    <w:p>
      <w:pPr>
        <w:ind w:left="160" w:hanging="152"/>
        <w:spacing w:after="0"/>
        <w:tabs>
          <w:tab w:leader="none" w:pos="16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securities described above were issued in private placements in reliance on Section 4(a)(2) of the Securities Act, including Regulation D promulgated thereunder, based on certain investment representations made by the parties to whom the securities were issued. No underwriters were used in connection with any of such issuances.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common stock repurchases during the three months ended June 30,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Maximum number (or</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jc w:val="center"/>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8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approximate dollar value)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Average price paid per</w:t>
            </w:r>
          </w:p>
        </w:tc>
        <w:tc>
          <w:tcPr>
            <w:tcW w:w="18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purchased as part of</w:t>
            </w:r>
          </w:p>
        </w:tc>
        <w:tc>
          <w:tcPr>
            <w:tcW w:w="18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of shares that may yet be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5"/>
                <w:szCs w:val="15"/>
                <w:b w:val="1"/>
                <w:bCs w:val="1"/>
                <w:color w:val="auto"/>
              </w:rPr>
              <w:t>publicly announced plans</w:t>
            </w: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purchased under the plans</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6"/>
                <w:szCs w:val="16"/>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140" w:type="dxa"/>
            <w:vAlign w:val="bottom"/>
          </w:tcPr>
          <w:p>
            <w:pPr>
              <w:spacing w:after="0"/>
              <w:rPr>
                <w:sz w:val="16"/>
                <w:szCs w:val="16"/>
                <w:color w:val="auto"/>
              </w:rPr>
            </w:pPr>
          </w:p>
        </w:tc>
        <w:tc>
          <w:tcPr>
            <w:tcW w:w="166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0" w:type="dxa"/>
            <w:vAlign w:val="bottom"/>
          </w:tcPr>
          <w:p>
            <w:pPr>
              <w:spacing w:after="0"/>
              <w:rPr>
                <w:sz w:val="1"/>
                <w:szCs w:val="1"/>
                <w:color w:val="auto"/>
              </w:rPr>
            </w:pPr>
          </w:p>
        </w:tc>
      </w:tr>
      <w:tr>
        <w:trPr>
          <w:trHeight w:val="206"/>
        </w:trPr>
        <w:tc>
          <w:tcPr>
            <w:tcW w:w="3840" w:type="dxa"/>
            <w:vAlign w:val="bottom"/>
            <w:gridSpan w:val="2"/>
          </w:tcPr>
          <w:p>
            <w:pPr>
              <w:ind w:left="166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w:t>
            </w:r>
          </w:p>
        </w:tc>
        <w:tc>
          <w:tcPr>
            <w:tcW w:w="1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(b)</w:t>
            </w: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w:t>
            </w:r>
          </w:p>
        </w:tc>
        <w:tc>
          <w:tcPr>
            <w:tcW w:w="140" w:type="dxa"/>
            <w:vAlign w:val="bottom"/>
          </w:tcPr>
          <w:p>
            <w:pPr>
              <w:spacing w:after="0"/>
              <w:rPr>
                <w:sz w:val="17"/>
                <w:szCs w:val="17"/>
                <w:color w:val="auto"/>
              </w:rPr>
            </w:pPr>
          </w:p>
        </w:tc>
        <w:tc>
          <w:tcPr>
            <w:tcW w:w="16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(d)</w:t>
            </w:r>
          </w:p>
        </w:tc>
        <w:tc>
          <w:tcPr>
            <w:tcW w:w="0" w:type="dxa"/>
            <w:vAlign w:val="bottom"/>
          </w:tcPr>
          <w:p>
            <w:pPr>
              <w:spacing w:after="0"/>
              <w:rPr>
                <w:sz w:val="1"/>
                <w:szCs w:val="1"/>
                <w:color w:val="auto"/>
              </w:rPr>
            </w:pPr>
          </w:p>
        </w:tc>
      </w:tr>
      <w:tr>
        <w:trPr>
          <w:trHeight w:val="200"/>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 1, 2022 - April 30, 2022</w:t>
            </w:r>
          </w:p>
        </w:tc>
        <w:tc>
          <w:tcPr>
            <w:tcW w:w="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184.64</w:t>
            </w:r>
          </w:p>
        </w:tc>
        <w:tc>
          <w:tcPr>
            <w:tcW w:w="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May 1, 2022 - May 31, 2022</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156.72</w:t>
            </w:r>
          </w:p>
        </w:tc>
        <w:tc>
          <w:tcPr>
            <w:tcW w:w="80" w:type="dxa"/>
            <w:vAlign w:val="bottom"/>
          </w:tcPr>
          <w:p>
            <w:pPr>
              <w:spacing w:after="0"/>
              <w:rPr>
                <w:sz w:val="17"/>
                <w:szCs w:val="17"/>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1, 2022 - June 30, 2022</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159.36</w:t>
            </w:r>
          </w:p>
        </w:tc>
        <w:tc>
          <w:tcPr>
            <w:tcW w:w="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8,517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176.73</w:t>
            </w:r>
          </w:p>
        </w:tc>
        <w:tc>
          <w:tcPr>
            <w:tcW w:w="8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we withheld 8,517 shares from employees to satisfy estimated statutory income tax obligations related to vesting of restricted stock awards. The value of the common stock withheld was based on the closing price of our common stock on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7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120" w:type="dxa"/>
            <w:vAlign w:val="bottom"/>
            <w:tcBorders>
              <w:top w:val="single" w:sz="8" w:color="auto"/>
              <w:bottom w:val="single" w:sz="8" w:color="auto"/>
              <w:right w:val="single" w:sz="8" w:color="auto"/>
            </w:tcBorders>
            <w:gridSpan w:val="25"/>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56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880" w:type="dxa"/>
            <w:vAlign w:val="bottom"/>
            <w:tcBorders>
              <w:right w:val="single" w:sz="8" w:color="auto"/>
            </w:tcBorders>
            <w:gridSpan w:val="27"/>
            <w:shd w:val="clear" w:color="auto" w:fill="CCEEFF"/>
          </w:tcPr>
          <w:p>
            <w:pPr>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Sun Communities, Inc. Articles of Restatement</w:t>
              </w:r>
            </w:hyperlink>
          </w:p>
        </w:tc>
        <w:tc>
          <w:tcPr>
            <w:tcW w:w="256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r>
      <w:tr>
        <w:trPr>
          <w:trHeight w:val="151"/>
        </w:trPr>
        <w:tc>
          <w:tcPr>
            <w:tcW w:w="182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27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auto"/>
            </w:tcBorders>
            <w:shd w:val="clear" w:color="auto" w:fill="CCEEFF"/>
          </w:tcPr>
          <w:p>
            <w:pPr>
              <w:spacing w:after="0"/>
              <w:rPr>
                <w:sz w:val="13"/>
                <w:szCs w:val="13"/>
                <w:color w:val="auto"/>
              </w:rPr>
            </w:pPr>
          </w:p>
        </w:tc>
        <w:tc>
          <w:tcPr>
            <w:tcW w:w="2560" w:type="dxa"/>
            <w:vAlign w:val="bottom"/>
            <w:tcBorders>
              <w:top w:val="single" w:sz="8" w:color="CCEEFF"/>
              <w:right w:val="single" w:sz="8" w:color="auto"/>
            </w:tcBorders>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w w:val="97"/>
              </w:rPr>
              <w:t>Annual Report on Form 10-K filed on</w:t>
            </w:r>
          </w:p>
        </w:tc>
      </w:tr>
      <w:tr>
        <w:trPr>
          <w:trHeight w:val="234"/>
        </w:trPr>
        <w:tc>
          <w:tcPr>
            <w:tcW w:w="18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7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right w:val="single" w:sz="8" w:color="auto"/>
            </w:tcBorders>
            <w:shd w:val="clear" w:color="auto" w:fill="CCEEFF"/>
          </w:tcPr>
          <w:p>
            <w:pPr>
              <w:spacing w:after="0"/>
              <w:rPr>
                <w:sz w:val="20"/>
                <w:szCs w:val="20"/>
                <w:color w:val="auto"/>
              </w:rPr>
            </w:pPr>
          </w:p>
        </w:tc>
        <w:tc>
          <w:tcPr>
            <w:tcW w:w="25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22, 2018</w:t>
            </w: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6880" w:type="dxa"/>
            <w:vAlign w:val="bottom"/>
            <w:tcBorders>
              <w:right w:val="single" w:sz="8" w:color="auto"/>
            </w:tcBorders>
            <w:gridSpan w:val="27"/>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Third Amended and Restated Bylaws</w:t>
              </w:r>
            </w:hyperlink>
          </w:p>
        </w:tc>
        <w:tc>
          <w:tcPr>
            <w:tcW w:w="256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r>
      <w:tr>
        <w:trPr>
          <w:trHeight w:val="151"/>
        </w:trPr>
        <w:tc>
          <w:tcPr>
            <w:tcW w:w="1820" w:type="dxa"/>
            <w:vAlign w:val="bottom"/>
            <w:tcBorders>
              <w:left w:val="single" w:sz="8" w:color="auto"/>
              <w:right w:val="single" w:sz="8" w:color="auto"/>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w w:val="99"/>
              </w:rPr>
              <w:t>Current Report on Form 8-K filed on</w:t>
            </w: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12, 2017</w:t>
            </w: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6880" w:type="dxa"/>
            <w:vAlign w:val="bottom"/>
            <w:tcBorders>
              <w:right w:val="single" w:sz="8" w:color="auto"/>
            </w:tcBorders>
            <w:gridSpan w:val="27"/>
            <w:shd w:val="clear" w:color="auto" w:fill="CCEEFF"/>
          </w:tcPr>
          <w:p>
            <w:pPr>
              <w:spacing w:after="0" w:line="182"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Third Supplemental Indenture, dated as of April 12, 2022 by and among Sun Communities</w:t>
              </w:r>
            </w:hyperlink>
          </w:p>
        </w:tc>
        <w:tc>
          <w:tcPr>
            <w:tcW w:w="256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r>
      <w:tr>
        <w:trPr>
          <w:trHeight w:val="176"/>
        </w:trPr>
        <w:tc>
          <w:tcPr>
            <w:tcW w:w="1820" w:type="dxa"/>
            <w:vAlign w:val="bottom"/>
            <w:tcBorders>
              <w:top w:val="single" w:sz="8" w:color="CCEEFF"/>
              <w:left w:val="single" w:sz="8" w:color="auto"/>
              <w:right w:val="single" w:sz="8" w:color="auto"/>
            </w:tcBorders>
            <w:shd w:val="clear" w:color="auto" w:fill="CCEEFF"/>
          </w:tcPr>
          <w:p>
            <w:pPr>
              <w:spacing w:after="0"/>
              <w:rPr>
                <w:sz w:val="15"/>
                <w:szCs w:val="15"/>
                <w:color w:val="auto"/>
              </w:rPr>
            </w:pPr>
          </w:p>
        </w:tc>
        <w:tc>
          <w:tcPr>
            <w:tcW w:w="658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Operating Limited Partnership, Sun Communities, Inc., and UMB Bank, N.A. as trustee.</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auto"/>
            </w:tcBorders>
            <w:shd w:val="clear" w:color="auto" w:fill="CCEEFF"/>
          </w:tcPr>
          <w:p>
            <w:pPr>
              <w:spacing w:after="0"/>
              <w:rPr>
                <w:sz w:val="15"/>
                <w:szCs w:val="15"/>
                <w:color w:val="auto"/>
              </w:rPr>
            </w:pPr>
          </w:p>
        </w:tc>
        <w:tc>
          <w:tcPr>
            <w:tcW w:w="2560" w:type="dxa"/>
            <w:vAlign w:val="bottom"/>
            <w:tcBorders>
              <w:top w:val="single" w:sz="8" w:color="CCEEFF"/>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4"/>
              </w:rPr>
              <w:t>Current Report on Form 8-K filed on</w:t>
            </w:r>
          </w:p>
        </w:tc>
      </w:tr>
      <w:tr>
        <w:trPr>
          <w:trHeight w:val="189"/>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6"/>
                <w:szCs w:val="16"/>
                <w:color w:val="auto"/>
              </w:rPr>
            </w:pPr>
          </w:p>
        </w:tc>
        <w:tc>
          <w:tcPr>
            <w:tcW w:w="2700" w:type="dxa"/>
            <w:vAlign w:val="bottom"/>
            <w:tcBorders>
              <w:top w:val="single" w:sz="8" w:color="0000FF"/>
              <w:bottom w:val="single" w:sz="8" w:color="auto"/>
            </w:tcBorders>
            <w:shd w:val="clear" w:color="auto" w:fill="CCEEFF"/>
          </w:tcPr>
          <w:p>
            <w:pPr>
              <w:spacing w:after="0"/>
              <w:rPr>
                <w:sz w:val="16"/>
                <w:szCs w:val="16"/>
                <w:color w:val="auto"/>
              </w:rPr>
            </w:pPr>
          </w:p>
        </w:tc>
        <w:tc>
          <w:tcPr>
            <w:tcW w:w="60" w:type="dxa"/>
            <w:vAlign w:val="bottom"/>
            <w:tcBorders>
              <w:top w:val="single" w:sz="8" w:color="0000FF"/>
              <w:bottom w:val="single" w:sz="8" w:color="auto"/>
            </w:tcBorders>
            <w:shd w:val="clear" w:color="auto" w:fill="CCEEFF"/>
          </w:tcPr>
          <w:p>
            <w:pPr>
              <w:spacing w:after="0"/>
              <w:rPr>
                <w:sz w:val="16"/>
                <w:szCs w:val="16"/>
                <w:color w:val="auto"/>
              </w:rPr>
            </w:pPr>
          </w:p>
        </w:tc>
        <w:tc>
          <w:tcPr>
            <w:tcW w:w="640" w:type="dxa"/>
            <w:vAlign w:val="bottom"/>
            <w:tcBorders>
              <w:top w:val="single" w:sz="8" w:color="0000FF"/>
              <w:bottom w:val="single" w:sz="8" w:color="auto"/>
            </w:tcBorders>
            <w:shd w:val="clear" w:color="auto" w:fill="CCEEFF"/>
          </w:tcPr>
          <w:p>
            <w:pPr>
              <w:spacing w:after="0"/>
              <w:rPr>
                <w:sz w:val="16"/>
                <w:szCs w:val="16"/>
                <w:color w:val="auto"/>
              </w:rPr>
            </w:pPr>
          </w:p>
        </w:tc>
        <w:tc>
          <w:tcPr>
            <w:tcW w:w="140" w:type="dxa"/>
            <w:vAlign w:val="bottom"/>
            <w:tcBorders>
              <w:top w:val="single" w:sz="8" w:color="0000FF"/>
              <w:bottom w:val="single" w:sz="8" w:color="auto"/>
            </w:tcBorders>
            <w:shd w:val="clear" w:color="auto" w:fill="CCEEFF"/>
          </w:tcPr>
          <w:p>
            <w:pPr>
              <w:spacing w:after="0"/>
              <w:rPr>
                <w:sz w:val="16"/>
                <w:szCs w:val="16"/>
                <w:color w:val="auto"/>
              </w:rPr>
            </w:pPr>
          </w:p>
        </w:tc>
        <w:tc>
          <w:tcPr>
            <w:tcW w:w="1340" w:type="dxa"/>
            <w:vAlign w:val="bottom"/>
            <w:tcBorders>
              <w:top w:val="single" w:sz="8" w:color="0000FF"/>
              <w:bottom w:val="single" w:sz="8" w:color="auto"/>
            </w:tcBorders>
            <w:shd w:val="clear" w:color="auto" w:fill="CCEEFF"/>
          </w:tcPr>
          <w:p>
            <w:pPr>
              <w:spacing w:after="0"/>
              <w:rPr>
                <w:sz w:val="16"/>
                <w:szCs w:val="16"/>
                <w:color w:val="auto"/>
              </w:rPr>
            </w:pPr>
          </w:p>
        </w:tc>
        <w:tc>
          <w:tcPr>
            <w:tcW w:w="520" w:type="dxa"/>
            <w:vAlign w:val="bottom"/>
            <w:tcBorders>
              <w:top w:val="single" w:sz="8" w:color="0000FF"/>
              <w:bottom w:val="single" w:sz="8" w:color="auto"/>
            </w:tcBorders>
            <w:shd w:val="clear" w:color="auto" w:fill="CCEEFF"/>
          </w:tcPr>
          <w:p>
            <w:pPr>
              <w:spacing w:after="0"/>
              <w:rPr>
                <w:sz w:val="16"/>
                <w:szCs w:val="16"/>
                <w:color w:val="auto"/>
              </w:rPr>
            </w:pPr>
          </w:p>
        </w:tc>
        <w:tc>
          <w:tcPr>
            <w:tcW w:w="80" w:type="dxa"/>
            <w:vAlign w:val="bottom"/>
            <w:tcBorders>
              <w:top w:val="single" w:sz="8" w:color="0000FF"/>
              <w:bottom w:val="single" w:sz="8" w:color="auto"/>
            </w:tcBorders>
            <w:shd w:val="clear" w:color="auto" w:fill="CCEEFF"/>
          </w:tcPr>
          <w:p>
            <w:pPr>
              <w:spacing w:after="0"/>
              <w:rPr>
                <w:sz w:val="16"/>
                <w:szCs w:val="16"/>
                <w:color w:val="auto"/>
              </w:rPr>
            </w:pPr>
          </w:p>
        </w:tc>
        <w:tc>
          <w:tcPr>
            <w:tcW w:w="240" w:type="dxa"/>
            <w:vAlign w:val="bottom"/>
            <w:tcBorders>
              <w:top w:val="single" w:sz="8" w:color="0000FF"/>
              <w:bottom w:val="single" w:sz="8" w:color="auto"/>
            </w:tcBorders>
            <w:shd w:val="clear" w:color="auto" w:fill="CCEEFF"/>
          </w:tcPr>
          <w:p>
            <w:pPr>
              <w:spacing w:after="0"/>
              <w:rPr>
                <w:sz w:val="16"/>
                <w:szCs w:val="16"/>
                <w:color w:val="auto"/>
              </w:rPr>
            </w:pPr>
          </w:p>
        </w:tc>
        <w:tc>
          <w:tcPr>
            <w:tcW w:w="100" w:type="dxa"/>
            <w:vAlign w:val="bottom"/>
            <w:tcBorders>
              <w:top w:val="single" w:sz="8" w:color="0000FF"/>
              <w:bottom w:val="single" w:sz="8" w:color="auto"/>
            </w:tcBorders>
            <w:shd w:val="clear" w:color="auto" w:fill="CCEEFF"/>
          </w:tcPr>
          <w:p>
            <w:pPr>
              <w:spacing w:after="0"/>
              <w:rPr>
                <w:sz w:val="16"/>
                <w:szCs w:val="16"/>
                <w:color w:val="auto"/>
              </w:rPr>
            </w:pPr>
          </w:p>
        </w:tc>
        <w:tc>
          <w:tcPr>
            <w:tcW w:w="540" w:type="dxa"/>
            <w:vAlign w:val="bottom"/>
            <w:tcBorders>
              <w:top w:val="single" w:sz="8" w:color="0000FF"/>
              <w:bottom w:val="single" w:sz="8" w:color="auto"/>
            </w:tcBorders>
            <w:shd w:val="clear" w:color="auto" w:fill="CCEEFF"/>
          </w:tcPr>
          <w:p>
            <w:pPr>
              <w:spacing w:after="0"/>
              <w:rPr>
                <w:sz w:val="16"/>
                <w:szCs w:val="16"/>
                <w:color w:val="auto"/>
              </w:rPr>
            </w:pPr>
          </w:p>
        </w:tc>
        <w:tc>
          <w:tcPr>
            <w:tcW w:w="20" w:type="dxa"/>
            <w:vAlign w:val="bottom"/>
            <w:tcBorders>
              <w:top w:val="single" w:sz="8" w:color="0000FF"/>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6"/>
                <w:szCs w:val="16"/>
                <w:color w:val="auto"/>
              </w:rPr>
            </w:pPr>
          </w:p>
        </w:tc>
        <w:tc>
          <w:tcPr>
            <w:tcW w:w="2560" w:type="dxa"/>
            <w:vAlign w:val="bottom"/>
            <w:tcBorders>
              <w:top w:val="single" w:sz="8" w:color="CCEEFF"/>
              <w:bottom w:val="single" w:sz="8" w:color="auto"/>
              <w:right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April 12, 2022</w:t>
            </w: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6880" w:type="dxa"/>
            <w:vAlign w:val="bottom"/>
            <w:tcBorders>
              <w:right w:val="single" w:sz="8" w:color="auto"/>
            </w:tcBorders>
            <w:gridSpan w:val="27"/>
          </w:tcPr>
          <w:p>
            <w:pPr>
              <w:spacing w:after="0" w:line="182"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Global Note for 4.200% Notes due 2032</w:t>
              </w:r>
            </w:hyperlink>
          </w:p>
        </w:tc>
        <w:tc>
          <w:tcPr>
            <w:tcW w:w="256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r>
      <w:tr>
        <w:trPr>
          <w:trHeight w:val="151"/>
        </w:trPr>
        <w:tc>
          <w:tcPr>
            <w:tcW w:w="1820" w:type="dxa"/>
            <w:vAlign w:val="bottom"/>
            <w:tcBorders>
              <w:left w:val="single" w:sz="8" w:color="auto"/>
              <w:right w:val="single" w:sz="8" w:color="auto"/>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w w:val="99"/>
              </w:rPr>
              <w:t>Current Report on Form 8-K filed on</w:t>
            </w: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12, 2022</w:t>
            </w:r>
          </w:p>
        </w:tc>
      </w:tr>
      <w:tr>
        <w:trPr>
          <w:trHeight w:val="183"/>
        </w:trPr>
        <w:tc>
          <w:tcPr>
            <w:tcW w:w="1820" w:type="dxa"/>
            <w:vAlign w:val="bottom"/>
            <w:tcBorders>
              <w:left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6880" w:type="dxa"/>
            <w:vAlign w:val="bottom"/>
            <w:tcBorders>
              <w:right w:val="single" w:sz="8" w:color="auto"/>
            </w:tcBorders>
            <w:gridSpan w:val="27"/>
            <w:shd w:val="clear" w:color="auto" w:fill="CCEEFF"/>
          </w:tcPr>
          <w:p>
            <w:pPr>
              <w:spacing w:after="0" w:line="18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Amendment No. 1, dated April 7, 2022, to the Fourth Amended and Restated Credit</w:t>
              </w:r>
            </w:hyperlink>
          </w:p>
        </w:tc>
        <w:tc>
          <w:tcPr>
            <w:tcW w:w="256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r>
      <w:tr>
        <w:trPr>
          <w:trHeight w:val="155"/>
        </w:trPr>
        <w:tc>
          <w:tcPr>
            <w:tcW w:w="182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682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Agreement and Other Loan Documents, among Sun Communities Operating Limited</w:t>
              </w:r>
            </w:hyperlink>
          </w:p>
        </w:tc>
        <w:tc>
          <w:tcPr>
            <w:tcW w:w="60" w:type="dxa"/>
            <w:vAlign w:val="bottom"/>
            <w:tcBorders>
              <w:top w:val="single" w:sz="8" w:color="CCEEFF"/>
              <w:right w:val="single" w:sz="8" w:color="auto"/>
            </w:tcBorders>
            <w:shd w:val="clear" w:color="auto" w:fill="CCEEFF"/>
          </w:tcPr>
          <w:p>
            <w:pPr>
              <w:spacing w:after="0"/>
              <w:rPr>
                <w:sz w:val="13"/>
                <w:szCs w:val="13"/>
                <w:color w:val="auto"/>
              </w:rPr>
            </w:pPr>
          </w:p>
        </w:tc>
        <w:tc>
          <w:tcPr>
            <w:tcW w:w="2560" w:type="dxa"/>
            <w:vAlign w:val="bottom"/>
            <w:tcBorders>
              <w:top w:val="single" w:sz="8" w:color="CCEEFF"/>
              <w:right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4"/>
              </w:rPr>
              <w:t>Current Report on Form 8-K filed on</w:t>
            </w:r>
          </w:p>
        </w:tc>
      </w:tr>
      <w:tr>
        <w:trPr>
          <w:trHeight w:val="169"/>
        </w:trPr>
        <w:tc>
          <w:tcPr>
            <w:tcW w:w="1820" w:type="dxa"/>
            <w:vAlign w:val="bottom"/>
            <w:tcBorders>
              <w:top w:val="single" w:sz="8" w:color="CCEEFF"/>
              <w:left w:val="single" w:sz="8" w:color="auto"/>
              <w:bottom w:val="single" w:sz="8" w:color="CCEEFF"/>
              <w:right w:val="single" w:sz="8" w:color="auto"/>
            </w:tcBorders>
            <w:shd w:val="clear" w:color="auto" w:fill="CCEEFF"/>
          </w:tcPr>
          <w:p>
            <w:pPr>
              <w:spacing w:after="0"/>
              <w:rPr>
                <w:sz w:val="14"/>
                <w:szCs w:val="14"/>
                <w:color w:val="auto"/>
              </w:rPr>
            </w:pPr>
          </w:p>
        </w:tc>
        <w:tc>
          <w:tcPr>
            <w:tcW w:w="6560" w:type="dxa"/>
            <w:vAlign w:val="bottom"/>
            <w:tcBorders>
              <w:top w:val="single" w:sz="8" w:color="0000FF"/>
              <w:bottom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Partnership, as Borrower, Citibank, N.A., as Administrative Agent, Swing Line Lender</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right w:val="single" w:sz="8" w:color="auto"/>
            </w:tcBorders>
            <w:gridSpan w:val="2"/>
            <w:shd w:val="clear" w:color="auto" w:fill="CCEEFF"/>
          </w:tcPr>
          <w:p>
            <w:pPr>
              <w:spacing w:after="0"/>
              <w:rPr>
                <w:sz w:val="14"/>
                <w:szCs w:val="14"/>
                <w:color w:val="auto"/>
              </w:rPr>
            </w:pPr>
          </w:p>
        </w:tc>
        <w:tc>
          <w:tcPr>
            <w:tcW w:w="2560" w:type="dxa"/>
            <w:vAlign w:val="bottom"/>
            <w:tcBorders>
              <w:top w:val="single" w:sz="8" w:color="CCEEFF"/>
              <w:bottom w:val="single" w:sz="8" w:color="CCEEFF"/>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April 13, 2022</w:t>
            </w:r>
          </w:p>
        </w:tc>
      </w:tr>
      <w:tr>
        <w:trPr>
          <w:trHeight w:val="155"/>
        </w:trPr>
        <w:tc>
          <w:tcPr>
            <w:tcW w:w="1820" w:type="dxa"/>
            <w:vAlign w:val="bottom"/>
            <w:tcBorders>
              <w:left w:val="single" w:sz="8" w:color="auto"/>
              <w:bottom w:val="single" w:sz="8" w:color="CCEEFF"/>
              <w:right w:val="single" w:sz="8" w:color="auto"/>
            </w:tcBorders>
            <w:shd w:val="clear" w:color="auto" w:fill="CCEEFF"/>
          </w:tcPr>
          <w:p>
            <w:pPr>
              <w:spacing w:after="0"/>
              <w:rPr>
                <w:sz w:val="13"/>
                <w:szCs w:val="13"/>
                <w:color w:val="auto"/>
              </w:rPr>
            </w:pPr>
          </w:p>
        </w:tc>
        <w:tc>
          <w:tcPr>
            <w:tcW w:w="6740" w:type="dxa"/>
            <w:vAlign w:val="bottom"/>
            <w:tcBorders>
              <w:bottom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and L/C Issuer, Citisecurities Limited, as special administrative agent for the AUD RC</w:t>
              </w:r>
            </w:hyperlink>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auto"/>
            </w:tcBorders>
            <w:gridSpan w:val="2"/>
            <w:shd w:val="clear" w:color="auto" w:fill="CCEEFF"/>
          </w:tcPr>
          <w:p>
            <w:pPr>
              <w:spacing w:after="0"/>
              <w:rPr>
                <w:sz w:val="13"/>
                <w:szCs w:val="13"/>
                <w:color w:val="auto"/>
              </w:rPr>
            </w:pPr>
          </w:p>
        </w:tc>
        <w:tc>
          <w:tcPr>
            <w:tcW w:w="2560" w:type="dxa"/>
            <w:vAlign w:val="bottom"/>
            <w:tcBorders>
              <w:bottom w:val="single" w:sz="8" w:color="CCEEFF"/>
              <w:right w:val="single" w:sz="8" w:color="auto"/>
            </w:tcBorders>
            <w:shd w:val="clear" w:color="auto" w:fill="CCEEFF"/>
          </w:tcPr>
          <w:p>
            <w:pPr>
              <w:spacing w:after="0"/>
              <w:rPr>
                <w:sz w:val="13"/>
                <w:szCs w:val="13"/>
                <w:color w:val="auto"/>
              </w:rPr>
            </w:pPr>
          </w:p>
        </w:tc>
      </w:tr>
      <w:tr>
        <w:trPr>
          <w:trHeight w:val="155"/>
        </w:trPr>
        <w:tc>
          <w:tcPr>
            <w:tcW w:w="1820" w:type="dxa"/>
            <w:vAlign w:val="bottom"/>
            <w:tcBorders>
              <w:left w:val="single" w:sz="8" w:color="auto"/>
              <w:right w:val="single" w:sz="8" w:color="auto"/>
            </w:tcBorders>
            <w:shd w:val="clear" w:color="auto" w:fill="CCEEFF"/>
          </w:tcPr>
          <w:p>
            <w:pPr>
              <w:spacing w:after="0"/>
              <w:rPr>
                <w:sz w:val="13"/>
                <w:szCs w:val="13"/>
                <w:color w:val="auto"/>
              </w:rPr>
            </w:pPr>
          </w:p>
        </w:tc>
        <w:tc>
          <w:tcPr>
            <w:tcW w:w="6780" w:type="dxa"/>
            <w:vAlign w:val="bottom"/>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Lenders; with Citibank, N.A., Citizens Bank, N.A., BofA Securities, Inc., BMO Capital</w:t>
              </w:r>
            </w:hyperlink>
          </w:p>
        </w:tc>
        <w:tc>
          <w:tcPr>
            <w:tcW w:w="20" w:type="dxa"/>
            <w:vAlign w:val="bottom"/>
            <w:shd w:val="clear" w:color="auto" w:fill="CCEEFF"/>
          </w:tcPr>
          <w:p>
            <w:pPr>
              <w:spacing w:after="0"/>
              <w:rPr>
                <w:sz w:val="13"/>
                <w:szCs w:val="13"/>
                <w:color w:val="auto"/>
              </w:rPr>
            </w:pPr>
          </w:p>
        </w:tc>
        <w:tc>
          <w:tcPr>
            <w:tcW w:w="80" w:type="dxa"/>
            <w:vAlign w:val="bottom"/>
            <w:tcBorders>
              <w:right w:val="single" w:sz="8" w:color="auto"/>
            </w:tcBorders>
            <w:gridSpan w:val="2"/>
            <w:shd w:val="clear" w:color="auto" w:fill="CCEEFF"/>
          </w:tcPr>
          <w:p>
            <w:pPr>
              <w:spacing w:after="0"/>
              <w:rPr>
                <w:sz w:val="13"/>
                <w:szCs w:val="13"/>
                <w:color w:val="auto"/>
              </w:rPr>
            </w:pPr>
          </w:p>
        </w:tc>
        <w:tc>
          <w:tcPr>
            <w:tcW w:w="2560" w:type="dxa"/>
            <w:vAlign w:val="bottom"/>
            <w:tcBorders>
              <w:right w:val="single" w:sz="8" w:color="auto"/>
            </w:tcBorders>
            <w:shd w:val="clear" w:color="auto" w:fill="CCEEFF"/>
          </w:tcPr>
          <w:p>
            <w:pPr>
              <w:spacing w:after="0"/>
              <w:rPr>
                <w:sz w:val="13"/>
                <w:szCs w:val="13"/>
                <w:color w:val="auto"/>
              </w:rPr>
            </w:pPr>
          </w:p>
        </w:tc>
      </w:tr>
      <w:tr>
        <w:trPr>
          <w:trHeight w:val="169"/>
        </w:trPr>
        <w:tc>
          <w:tcPr>
            <w:tcW w:w="1820" w:type="dxa"/>
            <w:vAlign w:val="bottom"/>
            <w:tcBorders>
              <w:top w:val="single" w:sz="8" w:color="CCEEFF"/>
              <w:left w:val="single" w:sz="8" w:color="auto"/>
              <w:right w:val="single" w:sz="8" w:color="auto"/>
            </w:tcBorders>
            <w:shd w:val="clear" w:color="auto" w:fill="CCEEFF"/>
          </w:tcPr>
          <w:p>
            <w:pPr>
              <w:spacing w:after="0"/>
              <w:rPr>
                <w:sz w:val="14"/>
                <w:szCs w:val="14"/>
                <w:color w:val="auto"/>
              </w:rPr>
            </w:pPr>
          </w:p>
        </w:tc>
        <w:tc>
          <w:tcPr>
            <w:tcW w:w="6700" w:type="dxa"/>
            <w:vAlign w:val="bottom"/>
            <w:tcBorders>
              <w:top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Markets Corp., JPMorgan Chase Bank, N.A., RBC Capital Markets, Fifth Third Bank,</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right w:val="single" w:sz="8" w:color="auto"/>
            </w:tcBorders>
            <w:gridSpan w:val="2"/>
            <w:shd w:val="clear" w:color="auto" w:fill="CCEEFF"/>
          </w:tcPr>
          <w:p>
            <w:pPr>
              <w:spacing w:after="0"/>
              <w:rPr>
                <w:sz w:val="14"/>
                <w:szCs w:val="14"/>
                <w:color w:val="auto"/>
              </w:rPr>
            </w:pPr>
          </w:p>
        </w:tc>
        <w:tc>
          <w:tcPr>
            <w:tcW w:w="2560" w:type="dxa"/>
            <w:vAlign w:val="bottom"/>
            <w:tcBorders>
              <w:top w:val="single" w:sz="8" w:color="CCEEFF"/>
              <w:right w:val="single" w:sz="8" w:color="auto"/>
            </w:tcBorders>
            <w:shd w:val="clear" w:color="auto" w:fill="CCEEFF"/>
          </w:tcPr>
          <w:p>
            <w:pPr>
              <w:spacing w:after="0"/>
              <w:rPr>
                <w:sz w:val="14"/>
                <w:szCs w:val="14"/>
                <w:color w:val="auto"/>
              </w:rPr>
            </w:pPr>
          </w:p>
        </w:tc>
      </w:tr>
      <w:tr>
        <w:trPr>
          <w:trHeight w:val="155"/>
        </w:trPr>
        <w:tc>
          <w:tcPr>
            <w:tcW w:w="1820" w:type="dxa"/>
            <w:vAlign w:val="bottom"/>
            <w:tcBorders>
              <w:top w:val="single" w:sz="8" w:color="CCEEFF"/>
              <w:left w:val="single" w:sz="8" w:color="auto"/>
              <w:bottom w:val="single" w:sz="8" w:color="CCEEFF"/>
              <w:right w:val="single" w:sz="8" w:color="auto"/>
            </w:tcBorders>
            <w:shd w:val="clear" w:color="auto" w:fill="CCEEFF"/>
          </w:tcPr>
          <w:p>
            <w:pPr>
              <w:spacing w:after="0"/>
              <w:rPr>
                <w:sz w:val="13"/>
                <w:szCs w:val="13"/>
                <w:color w:val="auto"/>
              </w:rPr>
            </w:pPr>
          </w:p>
        </w:tc>
        <w:tc>
          <w:tcPr>
            <w:tcW w:w="6620" w:type="dxa"/>
            <w:vAlign w:val="bottom"/>
            <w:tcBorders>
              <w:top w:val="single" w:sz="8" w:color="0000FF"/>
              <w:bottom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National Association, Regions Bank, The Huntington National Bank, Truist Securities,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0000FF"/>
              <w:right w:val="single" w:sz="8" w:color="auto"/>
            </w:tcBorders>
            <w:gridSpan w:val="2"/>
            <w:shd w:val="clear" w:color="auto" w:fill="CCEEFF"/>
          </w:tcPr>
          <w:p>
            <w:pPr>
              <w:spacing w:after="0"/>
              <w:rPr>
                <w:sz w:val="13"/>
                <w:szCs w:val="13"/>
                <w:color w:val="auto"/>
              </w:rPr>
            </w:pPr>
          </w:p>
        </w:tc>
        <w:tc>
          <w:tcPr>
            <w:tcW w:w="256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r>
      <w:tr>
        <w:trPr>
          <w:trHeight w:val="155"/>
        </w:trPr>
        <w:tc>
          <w:tcPr>
            <w:tcW w:w="1820" w:type="dxa"/>
            <w:vAlign w:val="bottom"/>
            <w:tcBorders>
              <w:left w:val="single" w:sz="8" w:color="auto"/>
              <w:right w:val="single" w:sz="8" w:color="auto"/>
            </w:tcBorders>
            <w:shd w:val="clear" w:color="auto" w:fill="CCEEFF"/>
          </w:tcPr>
          <w:p>
            <w:pPr>
              <w:spacing w:after="0"/>
              <w:rPr>
                <w:sz w:val="13"/>
                <w:szCs w:val="13"/>
                <w:color w:val="auto"/>
              </w:rPr>
            </w:pPr>
          </w:p>
        </w:tc>
        <w:tc>
          <w:tcPr>
            <w:tcW w:w="6880" w:type="dxa"/>
            <w:vAlign w:val="bottom"/>
            <w:tcBorders>
              <w:right w:val="single" w:sz="8" w:color="auto"/>
            </w:tcBorders>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Inc., U.S. Bank National Association, Wells Fargo Bank, National Association, and</w:t>
              </w:r>
            </w:hyperlink>
          </w:p>
        </w:tc>
        <w:tc>
          <w:tcPr>
            <w:tcW w:w="2560" w:type="dxa"/>
            <w:vAlign w:val="bottom"/>
            <w:tcBorders>
              <w:right w:val="single" w:sz="8" w:color="auto"/>
            </w:tcBorders>
            <w:shd w:val="clear" w:color="auto" w:fill="CCEEFF"/>
          </w:tcPr>
          <w:p>
            <w:pPr>
              <w:spacing w:after="0"/>
              <w:rPr>
                <w:sz w:val="13"/>
                <w:szCs w:val="13"/>
                <w:color w:val="auto"/>
              </w:rPr>
            </w:pPr>
          </w:p>
        </w:tc>
      </w:tr>
      <w:tr>
        <w:trPr>
          <w:trHeight w:val="169"/>
        </w:trPr>
        <w:tc>
          <w:tcPr>
            <w:tcW w:w="1820" w:type="dxa"/>
            <w:vAlign w:val="bottom"/>
            <w:tcBorders>
              <w:top w:val="single" w:sz="8" w:color="CCEEFF"/>
              <w:left w:val="single" w:sz="8" w:color="auto"/>
              <w:bottom w:val="single" w:sz="8" w:color="CCEEFF"/>
              <w:right w:val="single" w:sz="8" w:color="auto"/>
            </w:tcBorders>
            <w:shd w:val="clear" w:color="auto" w:fill="CCEEFF"/>
          </w:tcPr>
          <w:p>
            <w:pPr>
              <w:spacing w:after="0"/>
              <w:rPr>
                <w:sz w:val="14"/>
                <w:szCs w:val="14"/>
                <w:color w:val="auto"/>
              </w:rPr>
            </w:pPr>
          </w:p>
        </w:tc>
        <w:tc>
          <w:tcPr>
            <w:tcW w:w="6660" w:type="dxa"/>
            <w:vAlign w:val="bottom"/>
            <w:tcBorders>
              <w:top w:val="single" w:sz="8" w:color="0000FF"/>
              <w:bottom w:val="single" w:sz="8" w:color="0000FF"/>
            </w:tcBorders>
            <w:gridSpan w:val="18"/>
            <w:shd w:val="clear" w:color="auto" w:fill="CCEEFF"/>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Sumitomo Mitsui Banking Corporation, as Joint Lead Arrangers, Citibank, N.A., Citizens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right w:val="single" w:sz="8" w:color="auto"/>
            </w:tcBorders>
            <w:gridSpan w:val="2"/>
            <w:shd w:val="clear" w:color="auto" w:fill="CCEEFF"/>
          </w:tcPr>
          <w:p>
            <w:pPr>
              <w:spacing w:after="0"/>
              <w:rPr>
                <w:sz w:val="14"/>
                <w:szCs w:val="14"/>
                <w:color w:val="auto"/>
              </w:rPr>
            </w:pPr>
          </w:p>
        </w:tc>
        <w:tc>
          <w:tcPr>
            <w:tcW w:w="256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r>
      <w:tr>
        <w:trPr>
          <w:trHeight w:val="155"/>
        </w:trPr>
        <w:tc>
          <w:tcPr>
            <w:tcW w:w="1820" w:type="dxa"/>
            <w:vAlign w:val="bottom"/>
            <w:tcBorders>
              <w:left w:val="single" w:sz="8" w:color="auto"/>
              <w:right w:val="single" w:sz="8" w:color="auto"/>
            </w:tcBorders>
            <w:shd w:val="clear" w:color="auto" w:fill="CCEEFF"/>
          </w:tcPr>
          <w:p>
            <w:pPr>
              <w:spacing w:after="0"/>
              <w:rPr>
                <w:sz w:val="13"/>
                <w:szCs w:val="13"/>
                <w:color w:val="auto"/>
              </w:rPr>
            </w:pPr>
          </w:p>
        </w:tc>
        <w:tc>
          <w:tcPr>
            <w:tcW w:w="6760" w:type="dxa"/>
            <w:vAlign w:val="bottom"/>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Bank, N.A., BofA Securities, Inc., BMO Capital Markets Corp., JPMorgan Chase Bank,</w:t>
              </w:r>
            </w:hyperlink>
          </w:p>
        </w:tc>
        <w:tc>
          <w:tcPr>
            <w:tcW w:w="40" w:type="dxa"/>
            <w:vAlign w:val="bottom"/>
            <w:gridSpan w:val="2"/>
            <w:shd w:val="clear" w:color="auto" w:fill="CCEEFF"/>
          </w:tcPr>
          <w:p>
            <w:pPr>
              <w:spacing w:after="0"/>
              <w:rPr>
                <w:sz w:val="13"/>
                <w:szCs w:val="13"/>
                <w:color w:val="auto"/>
              </w:rPr>
            </w:pPr>
          </w:p>
        </w:tc>
        <w:tc>
          <w:tcPr>
            <w:tcW w:w="80" w:type="dxa"/>
            <w:vAlign w:val="bottom"/>
            <w:tcBorders>
              <w:right w:val="single" w:sz="8" w:color="auto"/>
            </w:tcBorders>
            <w:gridSpan w:val="2"/>
            <w:shd w:val="clear" w:color="auto" w:fill="CCEEFF"/>
          </w:tcPr>
          <w:p>
            <w:pPr>
              <w:spacing w:after="0"/>
              <w:rPr>
                <w:sz w:val="13"/>
                <w:szCs w:val="13"/>
                <w:color w:val="auto"/>
              </w:rPr>
            </w:pPr>
          </w:p>
        </w:tc>
        <w:tc>
          <w:tcPr>
            <w:tcW w:w="2560" w:type="dxa"/>
            <w:vAlign w:val="bottom"/>
            <w:tcBorders>
              <w:right w:val="single" w:sz="8" w:color="auto"/>
            </w:tcBorders>
            <w:shd w:val="clear" w:color="auto" w:fill="CCEEFF"/>
          </w:tcPr>
          <w:p>
            <w:pPr>
              <w:spacing w:after="0"/>
              <w:rPr>
                <w:sz w:val="13"/>
                <w:szCs w:val="13"/>
                <w:color w:val="auto"/>
              </w:rPr>
            </w:pPr>
          </w:p>
        </w:tc>
      </w:tr>
      <w:tr>
        <w:trPr>
          <w:trHeight w:val="155"/>
        </w:trPr>
        <w:tc>
          <w:tcPr>
            <w:tcW w:w="1820" w:type="dxa"/>
            <w:vAlign w:val="bottom"/>
            <w:tcBorders>
              <w:top w:val="single" w:sz="8" w:color="CCEEFF"/>
              <w:left w:val="single" w:sz="8" w:color="auto"/>
              <w:bottom w:val="single" w:sz="8" w:color="CCEEFF"/>
              <w:right w:val="single" w:sz="8" w:color="auto"/>
            </w:tcBorders>
            <w:shd w:val="clear" w:color="auto" w:fill="CCEEFF"/>
          </w:tcPr>
          <w:p>
            <w:pPr>
              <w:spacing w:after="0"/>
              <w:rPr>
                <w:sz w:val="13"/>
                <w:szCs w:val="13"/>
                <w:color w:val="auto"/>
              </w:rPr>
            </w:pPr>
          </w:p>
        </w:tc>
        <w:tc>
          <w:tcPr>
            <w:tcW w:w="6720" w:type="dxa"/>
            <w:vAlign w:val="bottom"/>
            <w:tcBorders>
              <w:top w:val="single" w:sz="8" w:color="0000FF"/>
              <w:bottom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N.A., RBC Capital Markets and Fifth Third Bank, National Association, as Joint</w:t>
              </w:r>
            </w:hyperlink>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80" w:type="dxa"/>
            <w:vAlign w:val="bottom"/>
            <w:tcBorders>
              <w:top w:val="single" w:sz="8" w:color="CCEEFF"/>
              <w:bottom w:val="single" w:sz="8" w:color="CCEEFF"/>
              <w:right w:val="single" w:sz="8" w:color="auto"/>
            </w:tcBorders>
            <w:gridSpan w:val="2"/>
            <w:shd w:val="clear" w:color="auto" w:fill="CCEEFF"/>
          </w:tcPr>
          <w:p>
            <w:pPr>
              <w:spacing w:after="0"/>
              <w:rPr>
                <w:sz w:val="13"/>
                <w:szCs w:val="13"/>
                <w:color w:val="auto"/>
              </w:rPr>
            </w:pPr>
          </w:p>
        </w:tc>
        <w:tc>
          <w:tcPr>
            <w:tcW w:w="256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r>
      <w:tr>
        <w:trPr>
          <w:trHeight w:val="169"/>
        </w:trPr>
        <w:tc>
          <w:tcPr>
            <w:tcW w:w="1820" w:type="dxa"/>
            <w:vAlign w:val="bottom"/>
            <w:tcBorders>
              <w:left w:val="single" w:sz="8" w:color="auto"/>
              <w:right w:val="single" w:sz="8" w:color="auto"/>
            </w:tcBorders>
            <w:shd w:val="clear" w:color="auto" w:fill="CCEEFF"/>
          </w:tcPr>
          <w:p>
            <w:pPr>
              <w:spacing w:after="0"/>
              <w:rPr>
                <w:sz w:val="14"/>
                <w:szCs w:val="14"/>
                <w:color w:val="auto"/>
              </w:rPr>
            </w:pPr>
          </w:p>
        </w:tc>
        <w:tc>
          <w:tcPr>
            <w:tcW w:w="6800" w:type="dxa"/>
            <w:vAlign w:val="bottom"/>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Bookrunners, BofA Securities, Inc., Citibank, N.A., and Sumitomo Mitsui Banking</w:t>
              </w:r>
            </w:hyperlink>
          </w:p>
        </w:tc>
        <w:tc>
          <w:tcPr>
            <w:tcW w:w="80" w:type="dxa"/>
            <w:vAlign w:val="bottom"/>
            <w:tcBorders>
              <w:right w:val="single" w:sz="8" w:color="auto"/>
            </w:tcBorders>
            <w:gridSpan w:val="2"/>
            <w:shd w:val="clear" w:color="auto" w:fill="CCEEFF"/>
          </w:tcPr>
          <w:p>
            <w:pPr>
              <w:spacing w:after="0"/>
              <w:rPr>
                <w:sz w:val="14"/>
                <w:szCs w:val="14"/>
                <w:color w:val="auto"/>
              </w:rPr>
            </w:pPr>
          </w:p>
        </w:tc>
        <w:tc>
          <w:tcPr>
            <w:tcW w:w="2560" w:type="dxa"/>
            <w:vAlign w:val="bottom"/>
            <w:tcBorders>
              <w:right w:val="single" w:sz="8" w:color="auto"/>
            </w:tcBorders>
            <w:shd w:val="clear" w:color="auto" w:fill="CCEEFF"/>
          </w:tcPr>
          <w:p>
            <w:pPr>
              <w:spacing w:after="0"/>
              <w:rPr>
                <w:sz w:val="14"/>
                <w:szCs w:val="14"/>
                <w:color w:val="auto"/>
              </w:rPr>
            </w:pPr>
          </w:p>
        </w:tc>
      </w:tr>
      <w:tr>
        <w:trPr>
          <w:trHeight w:val="155"/>
        </w:trPr>
        <w:tc>
          <w:tcPr>
            <w:tcW w:w="1820" w:type="dxa"/>
            <w:vAlign w:val="bottom"/>
            <w:tcBorders>
              <w:top w:val="single" w:sz="8" w:color="CCEEFF"/>
              <w:left w:val="single" w:sz="8" w:color="auto"/>
              <w:bottom w:val="single" w:sz="8" w:color="CCEEFF"/>
              <w:right w:val="single" w:sz="8" w:color="auto"/>
            </w:tcBorders>
            <w:shd w:val="clear" w:color="auto" w:fill="CCEEFF"/>
          </w:tcPr>
          <w:p>
            <w:pPr>
              <w:spacing w:after="0"/>
              <w:rPr>
                <w:sz w:val="13"/>
                <w:szCs w:val="13"/>
                <w:color w:val="auto"/>
              </w:rPr>
            </w:pPr>
          </w:p>
        </w:tc>
        <w:tc>
          <w:tcPr>
            <w:tcW w:w="6600" w:type="dxa"/>
            <w:vAlign w:val="bottom"/>
            <w:tcBorders>
              <w:top w:val="single" w:sz="8" w:color="0000FF"/>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Corporation, as Co-Sustainability Structuring Agents, and Bank of America N.A.,</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right w:val="single" w:sz="8" w:color="auto"/>
            </w:tcBorders>
            <w:gridSpan w:val="8"/>
            <w:shd w:val="clear" w:color="auto" w:fill="CCEEFF"/>
          </w:tcPr>
          <w:p>
            <w:pPr>
              <w:spacing w:after="0"/>
              <w:rPr>
                <w:sz w:val="13"/>
                <w:szCs w:val="13"/>
                <w:color w:val="auto"/>
              </w:rPr>
            </w:pPr>
          </w:p>
        </w:tc>
        <w:tc>
          <w:tcPr>
            <w:tcW w:w="256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r>
      <w:tr>
        <w:trPr>
          <w:trHeight w:val="155"/>
        </w:trPr>
        <w:tc>
          <w:tcPr>
            <w:tcW w:w="1820" w:type="dxa"/>
            <w:vAlign w:val="bottom"/>
            <w:tcBorders>
              <w:left w:val="single" w:sz="8" w:color="auto"/>
              <w:right w:val="single" w:sz="8" w:color="auto"/>
            </w:tcBorders>
            <w:shd w:val="clear" w:color="auto" w:fill="CCEEFF"/>
          </w:tcPr>
          <w:p>
            <w:pPr>
              <w:spacing w:after="0"/>
              <w:rPr>
                <w:sz w:val="13"/>
                <w:szCs w:val="13"/>
                <w:color w:val="auto"/>
              </w:rPr>
            </w:pPr>
          </w:p>
        </w:tc>
        <w:tc>
          <w:tcPr>
            <w:tcW w:w="6680" w:type="dxa"/>
            <w:vAlign w:val="bottom"/>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JPMorgan Chase Bank, N.A., Bank of Montreal, Citizens Bank, N.A., Royal Bank of</w:t>
              </w:r>
            </w:hyperlink>
          </w:p>
        </w:tc>
        <w:tc>
          <w:tcPr>
            <w:tcW w:w="200" w:type="dxa"/>
            <w:vAlign w:val="bottom"/>
            <w:tcBorders>
              <w:right w:val="single" w:sz="8" w:color="auto"/>
            </w:tcBorders>
            <w:gridSpan w:val="8"/>
            <w:shd w:val="clear" w:color="auto" w:fill="CCEEFF"/>
          </w:tcPr>
          <w:p>
            <w:pPr>
              <w:spacing w:after="0"/>
              <w:rPr>
                <w:sz w:val="13"/>
                <w:szCs w:val="13"/>
                <w:color w:val="auto"/>
              </w:rPr>
            </w:pPr>
          </w:p>
        </w:tc>
        <w:tc>
          <w:tcPr>
            <w:tcW w:w="2560" w:type="dxa"/>
            <w:vAlign w:val="bottom"/>
            <w:tcBorders>
              <w:right w:val="single" w:sz="8" w:color="auto"/>
            </w:tcBorders>
            <w:shd w:val="clear" w:color="auto" w:fill="CCEEFF"/>
          </w:tcPr>
          <w:p>
            <w:pPr>
              <w:spacing w:after="0"/>
              <w:rPr>
                <w:sz w:val="13"/>
                <w:szCs w:val="13"/>
                <w:color w:val="auto"/>
              </w:rPr>
            </w:pPr>
          </w:p>
        </w:tc>
      </w:tr>
      <w:tr>
        <w:trPr>
          <w:trHeight w:val="210"/>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8"/>
                <w:szCs w:val="18"/>
                <w:color w:val="auto"/>
              </w:rPr>
            </w:pPr>
          </w:p>
        </w:tc>
        <w:tc>
          <w:tcPr>
            <w:tcW w:w="6640" w:type="dxa"/>
            <w:vAlign w:val="bottom"/>
            <w:tcBorders>
              <w:top w:val="single" w:sz="8" w:color="0000FF"/>
              <w:bottom w:val="single" w:sz="8" w:color="auto"/>
            </w:tcBorders>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Canada and Fifth Third Bank, National Association, as Co-Syndication Agents.</w:t>
              </w:r>
            </w:hyperlink>
          </w:p>
        </w:tc>
        <w:tc>
          <w:tcPr>
            <w:tcW w:w="240" w:type="dxa"/>
            <w:vAlign w:val="bottom"/>
            <w:tcBorders>
              <w:top w:val="single" w:sz="8" w:color="CCEEFF"/>
              <w:bottom w:val="single" w:sz="8" w:color="auto"/>
              <w:right w:val="single" w:sz="8" w:color="auto"/>
            </w:tcBorders>
            <w:gridSpan w:val="10"/>
            <w:shd w:val="clear" w:color="auto" w:fill="CCEEFF"/>
          </w:tcPr>
          <w:p>
            <w:pPr>
              <w:spacing w:after="0"/>
              <w:rPr>
                <w:sz w:val="18"/>
                <w:szCs w:val="18"/>
                <w:color w:val="auto"/>
              </w:rPr>
            </w:pPr>
          </w:p>
        </w:tc>
        <w:tc>
          <w:tcPr>
            <w:tcW w:w="2560" w:type="dxa"/>
            <w:vAlign w:val="bottom"/>
            <w:tcBorders>
              <w:top w:val="single" w:sz="8" w:color="CCEEFF"/>
              <w:bottom w:val="single" w:sz="8" w:color="auto"/>
              <w:right w:val="single" w:sz="8" w:color="auto"/>
            </w:tcBorders>
            <w:shd w:val="clear" w:color="auto" w:fill="CCEEFF"/>
          </w:tcPr>
          <w:p>
            <w:pPr>
              <w:spacing w:after="0"/>
              <w:rPr>
                <w:sz w:val="18"/>
                <w:szCs w:val="18"/>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10.2</w:t>
            </w:r>
          </w:p>
        </w:tc>
        <w:tc>
          <w:tcPr>
            <w:tcW w:w="6880" w:type="dxa"/>
            <w:vAlign w:val="bottom"/>
            <w:tcBorders>
              <w:right w:val="single" w:sz="8" w:color="auto"/>
            </w:tcBorders>
            <w:gridSpan w:val="27"/>
          </w:tcPr>
          <w:p>
            <w:pPr>
              <w:spacing w:after="0" w:line="18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Employment Agreement dated April 8, 2022 among Sun Communities, Inc., Sun</w:t>
              </w:r>
            </w:hyperlink>
          </w:p>
        </w:tc>
        <w:tc>
          <w:tcPr>
            <w:tcW w:w="256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r>
      <w:tr>
        <w:trPr>
          <w:trHeight w:val="155"/>
        </w:trPr>
        <w:tc>
          <w:tcPr>
            <w:tcW w:w="1820" w:type="dxa"/>
            <w:vAlign w:val="bottom"/>
            <w:tcBorders>
              <w:left w:val="single" w:sz="8" w:color="auto"/>
              <w:right w:val="single" w:sz="8" w:color="auto"/>
            </w:tcBorders>
          </w:tcPr>
          <w:p>
            <w:pPr>
              <w:spacing w:after="0"/>
              <w:rPr>
                <w:sz w:val="13"/>
                <w:szCs w:val="13"/>
                <w:color w:val="auto"/>
              </w:rPr>
            </w:pPr>
          </w:p>
        </w:tc>
        <w:tc>
          <w:tcPr>
            <w:tcW w:w="58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Communities Operating Limited Partnership and Karen J. Dearing#</w:t>
              </w:r>
            </w:hyperlink>
          </w:p>
        </w:tc>
        <w:tc>
          <w:tcPr>
            <w:tcW w:w="5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20" w:type="dxa"/>
            <w:vAlign w:val="bottom"/>
            <w:tcBorders>
              <w:right w:val="single" w:sz="8" w:color="auto"/>
            </w:tcBorders>
            <w:gridSpan w:val="15"/>
          </w:tcPr>
          <w:p>
            <w:pPr>
              <w:spacing w:after="0"/>
              <w:rPr>
                <w:sz w:val="13"/>
                <w:szCs w:val="13"/>
                <w:color w:val="auto"/>
              </w:rPr>
            </w:pPr>
          </w:p>
        </w:tc>
        <w:tc>
          <w:tcPr>
            <w:tcW w:w="2560" w:type="dxa"/>
            <w:vAlign w:val="bottom"/>
            <w:tcBorders>
              <w:right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94"/>
              </w:rPr>
              <w:t>Current Report on Form 8-K filed on</w:t>
            </w:r>
          </w:p>
        </w:tc>
      </w:tr>
      <w:tr>
        <w:trPr>
          <w:trHeight w:val="210"/>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top w:val="single" w:sz="8" w:color="0000FF"/>
              <w:bottom w:val="single" w:sz="8" w:color="auto"/>
            </w:tcBorders>
          </w:tcPr>
          <w:p>
            <w:pPr>
              <w:spacing w:after="0"/>
              <w:rPr>
                <w:sz w:val="18"/>
                <w:szCs w:val="18"/>
                <w:color w:val="auto"/>
              </w:rPr>
            </w:pPr>
          </w:p>
        </w:tc>
        <w:tc>
          <w:tcPr>
            <w:tcW w:w="60" w:type="dxa"/>
            <w:vAlign w:val="bottom"/>
            <w:tcBorders>
              <w:top w:val="single" w:sz="8" w:color="0000FF"/>
              <w:bottom w:val="single" w:sz="8" w:color="auto"/>
            </w:tcBorders>
          </w:tcPr>
          <w:p>
            <w:pPr>
              <w:spacing w:after="0"/>
              <w:rPr>
                <w:sz w:val="18"/>
                <w:szCs w:val="18"/>
                <w:color w:val="auto"/>
              </w:rPr>
            </w:pPr>
          </w:p>
        </w:tc>
        <w:tc>
          <w:tcPr>
            <w:tcW w:w="640" w:type="dxa"/>
            <w:vAlign w:val="bottom"/>
            <w:tcBorders>
              <w:top w:val="single" w:sz="8" w:color="0000FF"/>
              <w:bottom w:val="single" w:sz="8" w:color="auto"/>
            </w:tcBorders>
          </w:tcPr>
          <w:p>
            <w:pPr>
              <w:spacing w:after="0"/>
              <w:rPr>
                <w:sz w:val="18"/>
                <w:szCs w:val="18"/>
                <w:color w:val="auto"/>
              </w:rPr>
            </w:pPr>
          </w:p>
        </w:tc>
        <w:tc>
          <w:tcPr>
            <w:tcW w:w="140" w:type="dxa"/>
            <w:vAlign w:val="bottom"/>
            <w:tcBorders>
              <w:top w:val="single" w:sz="8" w:color="0000FF"/>
              <w:bottom w:val="single" w:sz="8" w:color="auto"/>
            </w:tcBorders>
          </w:tcPr>
          <w:p>
            <w:pPr>
              <w:spacing w:after="0"/>
              <w:rPr>
                <w:sz w:val="18"/>
                <w:szCs w:val="18"/>
                <w:color w:val="auto"/>
              </w:rPr>
            </w:pPr>
          </w:p>
        </w:tc>
        <w:tc>
          <w:tcPr>
            <w:tcW w:w="1340" w:type="dxa"/>
            <w:vAlign w:val="bottom"/>
            <w:tcBorders>
              <w:top w:val="single" w:sz="8" w:color="0000FF"/>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13, 2022</w:t>
            </w: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6880" w:type="dxa"/>
            <w:vAlign w:val="bottom"/>
            <w:tcBorders>
              <w:right w:val="single" w:sz="8" w:color="auto"/>
            </w:tcBorders>
            <w:gridSpan w:val="27"/>
            <w:shd w:val="clear" w:color="auto" w:fill="CCEEFF"/>
          </w:tcPr>
          <w:p>
            <w:pPr>
              <w:spacing w:after="0" w:line="18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Employment Agreement dated April 8, 2022 among Sun Communities, Inc., Sun</w:t>
              </w:r>
            </w:hyperlink>
          </w:p>
        </w:tc>
        <w:tc>
          <w:tcPr>
            <w:tcW w:w="2560" w:type="dxa"/>
            <w:vAlign w:val="bottom"/>
            <w:tcBorders>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r>
      <w:tr>
        <w:trPr>
          <w:trHeight w:val="156"/>
        </w:trPr>
        <w:tc>
          <w:tcPr>
            <w:tcW w:w="182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582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Communities Operating Limited Partnership and Fernando Castro-Caratini#</w:t>
              </w:r>
            </w:hyperlink>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420" w:type="dxa"/>
            <w:vAlign w:val="bottom"/>
            <w:tcBorders>
              <w:top w:val="single" w:sz="8" w:color="CCEEFF"/>
              <w:right w:val="single" w:sz="8" w:color="auto"/>
            </w:tcBorders>
            <w:gridSpan w:val="15"/>
            <w:shd w:val="clear" w:color="auto" w:fill="CCEEFF"/>
          </w:tcPr>
          <w:p>
            <w:pPr>
              <w:spacing w:after="0"/>
              <w:rPr>
                <w:sz w:val="13"/>
                <w:szCs w:val="13"/>
                <w:color w:val="auto"/>
              </w:rPr>
            </w:pPr>
          </w:p>
        </w:tc>
        <w:tc>
          <w:tcPr>
            <w:tcW w:w="2560" w:type="dxa"/>
            <w:vAlign w:val="bottom"/>
            <w:tcBorders>
              <w:top w:val="single" w:sz="8" w:color="CCEEFF"/>
              <w:right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4"/>
              </w:rPr>
              <w:t>Current Report on Form 8-K filed on</w:t>
            </w:r>
          </w:p>
        </w:tc>
      </w:tr>
      <w:tr>
        <w:trPr>
          <w:trHeight w:val="209"/>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8"/>
                <w:szCs w:val="18"/>
                <w:color w:val="auto"/>
              </w:rPr>
            </w:pPr>
          </w:p>
        </w:tc>
        <w:tc>
          <w:tcPr>
            <w:tcW w:w="2700" w:type="dxa"/>
            <w:vAlign w:val="bottom"/>
            <w:tcBorders>
              <w:top w:val="single" w:sz="8" w:color="0000FF"/>
              <w:bottom w:val="single" w:sz="8" w:color="auto"/>
            </w:tcBorders>
            <w:shd w:val="clear" w:color="auto" w:fill="CCEEFF"/>
          </w:tcPr>
          <w:p>
            <w:pPr>
              <w:spacing w:after="0"/>
              <w:rPr>
                <w:sz w:val="18"/>
                <w:szCs w:val="18"/>
                <w:color w:val="auto"/>
              </w:rPr>
            </w:pPr>
          </w:p>
        </w:tc>
        <w:tc>
          <w:tcPr>
            <w:tcW w:w="60" w:type="dxa"/>
            <w:vAlign w:val="bottom"/>
            <w:tcBorders>
              <w:top w:val="single" w:sz="8" w:color="0000FF"/>
              <w:bottom w:val="single" w:sz="8" w:color="auto"/>
            </w:tcBorders>
            <w:shd w:val="clear" w:color="auto" w:fill="CCEEFF"/>
          </w:tcPr>
          <w:p>
            <w:pPr>
              <w:spacing w:after="0"/>
              <w:rPr>
                <w:sz w:val="18"/>
                <w:szCs w:val="18"/>
                <w:color w:val="auto"/>
              </w:rPr>
            </w:pPr>
          </w:p>
        </w:tc>
        <w:tc>
          <w:tcPr>
            <w:tcW w:w="640" w:type="dxa"/>
            <w:vAlign w:val="bottom"/>
            <w:tcBorders>
              <w:top w:val="single" w:sz="8" w:color="0000FF"/>
              <w:bottom w:val="single" w:sz="8" w:color="auto"/>
            </w:tcBorders>
            <w:shd w:val="clear" w:color="auto" w:fill="CCEEFF"/>
          </w:tcPr>
          <w:p>
            <w:pPr>
              <w:spacing w:after="0"/>
              <w:rPr>
                <w:sz w:val="18"/>
                <w:szCs w:val="18"/>
                <w:color w:val="auto"/>
              </w:rPr>
            </w:pPr>
          </w:p>
        </w:tc>
        <w:tc>
          <w:tcPr>
            <w:tcW w:w="140" w:type="dxa"/>
            <w:vAlign w:val="bottom"/>
            <w:tcBorders>
              <w:top w:val="single" w:sz="8" w:color="0000FF"/>
              <w:bottom w:val="single" w:sz="8" w:color="auto"/>
            </w:tcBorders>
            <w:shd w:val="clear" w:color="auto" w:fill="CCEEFF"/>
          </w:tcPr>
          <w:p>
            <w:pPr>
              <w:spacing w:after="0"/>
              <w:rPr>
                <w:sz w:val="18"/>
                <w:szCs w:val="18"/>
                <w:color w:val="auto"/>
              </w:rPr>
            </w:pPr>
          </w:p>
        </w:tc>
        <w:tc>
          <w:tcPr>
            <w:tcW w:w="1340" w:type="dxa"/>
            <w:vAlign w:val="bottom"/>
            <w:tcBorders>
              <w:top w:val="single" w:sz="8" w:color="0000FF"/>
              <w:bottom w:val="single" w:sz="8" w:color="auto"/>
            </w:tcBorders>
            <w:shd w:val="clear" w:color="auto" w:fill="CCEEFF"/>
          </w:tcPr>
          <w:p>
            <w:pPr>
              <w:spacing w:after="0"/>
              <w:rPr>
                <w:sz w:val="18"/>
                <w:szCs w:val="18"/>
                <w:color w:val="auto"/>
              </w:rPr>
            </w:pPr>
          </w:p>
        </w:tc>
        <w:tc>
          <w:tcPr>
            <w:tcW w:w="520" w:type="dxa"/>
            <w:vAlign w:val="bottom"/>
            <w:tcBorders>
              <w:top w:val="single" w:sz="8" w:color="0000FF"/>
              <w:bottom w:val="single" w:sz="8" w:color="auto"/>
            </w:tcBorders>
            <w:shd w:val="clear" w:color="auto" w:fill="CCEEFF"/>
          </w:tcPr>
          <w:p>
            <w:pPr>
              <w:spacing w:after="0"/>
              <w:rPr>
                <w:sz w:val="18"/>
                <w:szCs w:val="18"/>
                <w:color w:val="auto"/>
              </w:rPr>
            </w:pPr>
          </w:p>
        </w:tc>
        <w:tc>
          <w:tcPr>
            <w:tcW w:w="80" w:type="dxa"/>
            <w:vAlign w:val="bottom"/>
            <w:tcBorders>
              <w:top w:val="single" w:sz="8" w:color="0000FF"/>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54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8"/>
                <w:szCs w:val="18"/>
                <w:color w:val="auto"/>
              </w:rPr>
            </w:pPr>
          </w:p>
        </w:tc>
        <w:tc>
          <w:tcPr>
            <w:tcW w:w="25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13, 2022</w:t>
            </w: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6880" w:type="dxa"/>
            <w:vAlign w:val="bottom"/>
            <w:tcBorders>
              <w:right w:val="single" w:sz="8" w:color="auto"/>
            </w:tcBorders>
            <w:gridSpan w:val="27"/>
          </w:tcPr>
          <w:p>
            <w:pPr>
              <w:spacing w:after="0" w:line="18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UK Sub-Plan under the Sun Communities, Inc. 2015 Equity Incentive Plan</w:t>
              </w:r>
            </w:hyperlink>
          </w:p>
        </w:tc>
        <w:tc>
          <w:tcPr>
            <w:tcW w:w="256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r>
      <w:tr>
        <w:trPr>
          <w:trHeight w:val="151"/>
        </w:trPr>
        <w:tc>
          <w:tcPr>
            <w:tcW w:w="1820" w:type="dxa"/>
            <w:vAlign w:val="bottom"/>
            <w:tcBorders>
              <w:left w:val="single" w:sz="8" w:color="auto"/>
              <w:right w:val="single" w:sz="8" w:color="auto"/>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w w:val="99"/>
              </w:rPr>
              <w:t>Current Report on Form 8-K filed on</w:t>
            </w: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13, 2022</w:t>
            </w: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22.1</w:t>
            </w:r>
          </w:p>
        </w:tc>
        <w:tc>
          <w:tcPr>
            <w:tcW w:w="6880" w:type="dxa"/>
            <w:vAlign w:val="bottom"/>
            <w:tcBorders>
              <w:bottom w:val="single" w:sz="8" w:color="auto"/>
              <w:right w:val="single" w:sz="8" w:color="auto"/>
            </w:tcBorders>
            <w:gridSpan w:val="2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List of issuers of guaranteed securities</w:t>
            </w:r>
          </w:p>
        </w:tc>
        <w:tc>
          <w:tcPr>
            <w:tcW w:w="2560" w:type="dxa"/>
            <w:vAlign w:val="bottom"/>
            <w:tcBorders>
              <w:bottom w:val="single" w:sz="8" w:color="auto"/>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Filed herewith</w:t>
            </w: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636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Securities Exchange Act Rules 13a-</w:t>
            </w:r>
          </w:p>
        </w:tc>
        <w:tc>
          <w:tcPr>
            <w:tcW w:w="520" w:type="dxa"/>
            <w:vAlign w:val="bottom"/>
            <w:tcBorders>
              <w:right w:val="single" w:sz="8" w:color="auto"/>
            </w:tcBorders>
            <w:gridSpan w:val="17"/>
          </w:tcPr>
          <w:p>
            <w:pPr>
              <w:spacing w:after="0"/>
              <w:rPr>
                <w:sz w:val="15"/>
                <w:szCs w:val="15"/>
                <w:color w:val="auto"/>
              </w:rPr>
            </w:pPr>
          </w:p>
        </w:tc>
        <w:tc>
          <w:tcPr>
            <w:tcW w:w="256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880" w:type="dxa"/>
            <w:vAlign w:val="bottom"/>
            <w:tcBorders>
              <w:right w:val="single" w:sz="8" w:color="auto"/>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560" w:type="dxa"/>
            <w:vAlign w:val="bottom"/>
            <w:tcBorders>
              <w:right w:val="single" w:sz="8" w:color="auto"/>
            </w:tcBorders>
          </w:tcPr>
          <w:p>
            <w:pPr>
              <w:spacing w:after="0"/>
              <w:rPr>
                <w:sz w:val="13"/>
                <w:szCs w:val="13"/>
                <w:color w:val="auto"/>
              </w:rPr>
            </w:pPr>
          </w:p>
        </w:tc>
      </w:tr>
      <w:tr>
        <w:trPr>
          <w:trHeight w:val="34"/>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34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bl>
    <w:p>
      <w:pPr>
        <w:spacing w:after="0" w:line="9" w:lineRule="exact"/>
        <w:rPr>
          <w:sz w:val="20"/>
          <w:szCs w:val="20"/>
          <w:color w:val="auto"/>
        </w:rPr>
      </w:pPr>
    </w:p>
    <w:p>
      <w:pPr>
        <w:jc w:val="both"/>
        <w:ind w:left="360" w:right="40" w:hanging="334"/>
        <w:spacing w:after="0" w:line="266" w:lineRule="auto"/>
        <w:tabs>
          <w:tab w:leader="none" w:pos="3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1" w:right="319"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60" w:type="dxa"/>
            <w:vAlign w:val="bottom"/>
            <w:tcBorders>
              <w:top w:val="single" w:sz="8" w:color="auto"/>
              <w:bottom w:val="single" w:sz="8" w:color="auto"/>
            </w:tcBorders>
          </w:tcPr>
          <w:p>
            <w:pPr>
              <w:spacing w:after="0"/>
              <w:rPr>
                <w:sz w:val="21"/>
                <w:szCs w:val="21"/>
                <w:color w:val="auto"/>
              </w:rPr>
            </w:pPr>
          </w:p>
        </w:tc>
        <w:tc>
          <w:tcPr>
            <w:tcW w:w="4240" w:type="dxa"/>
            <w:vAlign w:val="bottom"/>
            <w:tcBorders>
              <w:top w:val="single" w:sz="8" w:color="auto"/>
              <w:bottom w:val="single" w:sz="8" w:color="auto"/>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4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Method of Filing</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6600" w:type="dxa"/>
            <w:vAlign w:val="bottom"/>
            <w:tcBorders>
              <w:right w:val="single" w:sz="8" w:color="auto"/>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w:t>
            </w:r>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8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600" w:type="dxa"/>
            <w:vAlign w:val="bottom"/>
            <w:tcBorders>
              <w:bottom w:val="single" w:sz="8" w:color="auto"/>
              <w:right w:val="single" w:sz="8" w:color="auto"/>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8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6600" w:type="dxa"/>
            <w:vAlign w:val="bottom"/>
            <w:tcBorders>
              <w:right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w:t>
            </w:r>
          </w:p>
        </w:tc>
        <w:tc>
          <w:tcPr>
            <w:tcW w:w="28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600" w:type="dxa"/>
            <w:vAlign w:val="bottom"/>
            <w:tcBorders>
              <w:top w:val="single" w:sz="8" w:color="0000FF"/>
              <w:right w:val="single" w:sz="8" w:color="auto"/>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top w:val="single" w:sz="8" w:color="0000FF"/>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660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instance document does not</w:t>
            </w:r>
          </w:p>
        </w:tc>
        <w:tc>
          <w:tcPr>
            <w:tcW w:w="0" w:type="dxa"/>
            <w:vAlign w:val="bottom"/>
          </w:tcPr>
          <w:p>
            <w:pPr>
              <w:spacing w:after="0"/>
              <w:rPr>
                <w:sz w:val="1"/>
                <w:szCs w:val="1"/>
                <w:color w:val="auto"/>
              </w:rPr>
            </w:pPr>
          </w:p>
        </w:tc>
      </w:tr>
      <w:tr>
        <w:trPr>
          <w:trHeight w:val="36"/>
        </w:trPr>
        <w:tc>
          <w:tcPr>
            <w:tcW w:w="1820" w:type="dxa"/>
            <w:vAlign w:val="bottom"/>
            <w:tcBorders>
              <w:left w:val="single" w:sz="8" w:color="auto"/>
              <w:right w:val="single" w:sz="8" w:color="auto"/>
            </w:tcBorders>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tcBorders>
              <w:right w:val="single" w:sz="8" w:color="auto"/>
            </w:tcBorders>
            <w:shd w:val="clear" w:color="auto" w:fill="CCEEFF"/>
          </w:tcPr>
          <w:p>
            <w:pPr>
              <w:spacing w:after="0"/>
              <w:rPr>
                <w:sz w:val="3"/>
                <w:szCs w:val="3"/>
                <w:color w:val="auto"/>
              </w:rPr>
            </w:pPr>
          </w:p>
        </w:tc>
        <w:tc>
          <w:tcPr>
            <w:tcW w:w="284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right w:val="single" w:sz="8" w:color="auto"/>
            </w:tcBorders>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84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because its XBRL tags are embedded</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28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94"/>
        </w:trPr>
        <w:tc>
          <w:tcPr>
            <w:tcW w:w="182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360" w:type="dxa"/>
            <w:vAlign w:val="bottom"/>
            <w:tcBorders>
              <w:bottom w:val="single" w:sz="8" w:color="auto"/>
            </w:tcBorders>
            <w:shd w:val="clear" w:color="auto" w:fill="CCEEFF"/>
          </w:tcPr>
          <w:p>
            <w:pPr>
              <w:spacing w:after="0"/>
              <w:rPr>
                <w:sz w:val="8"/>
                <w:szCs w:val="8"/>
                <w:color w:val="auto"/>
              </w:rPr>
            </w:pPr>
          </w:p>
        </w:tc>
        <w:tc>
          <w:tcPr>
            <w:tcW w:w="394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right w:val="single" w:sz="8" w:color="auto"/>
            </w:tcBorders>
            <w:shd w:val="clear" w:color="auto" w:fill="CCEEFF"/>
          </w:tcPr>
          <w:p>
            <w:pPr>
              <w:spacing w:after="0"/>
              <w:rPr>
                <w:sz w:val="8"/>
                <w:szCs w:val="8"/>
                <w:color w:val="auto"/>
              </w:rPr>
            </w:pPr>
          </w:p>
        </w:tc>
        <w:tc>
          <w:tcPr>
            <w:tcW w:w="284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66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6600" w:type="dxa"/>
            <w:vAlign w:val="bottom"/>
            <w:tcBorders>
              <w:bottom w:val="single" w:sz="8" w:color="auto"/>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66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6600" w:type="dxa"/>
            <w:vAlign w:val="bottom"/>
            <w:tcBorders>
              <w:bottom w:val="single" w:sz="8" w:color="auto"/>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66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6600" w:type="dxa"/>
            <w:vAlign w:val="bottom"/>
            <w:tcBorders>
              <w:right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w:t>
            </w:r>
          </w:p>
        </w:tc>
        <w:tc>
          <w:tcPr>
            <w:tcW w:w="284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600" w:type="dxa"/>
            <w:vAlign w:val="bottom"/>
            <w:tcBorders>
              <w:bottom w:val="single" w:sz="8" w:color="auto"/>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28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1" w:right="31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20"/>
        <w:spacing w:after="0"/>
        <w:tabs>
          <w:tab w:leader="none" w:pos="4200" w:val="left"/>
          <w:tab w:leader="none" w:pos="4660" w:val="left"/>
        </w:tabs>
        <w:rPr>
          <w:sz w:val="20"/>
          <w:szCs w:val="20"/>
          <w:color w:val="auto"/>
        </w:rPr>
      </w:pPr>
      <w:r>
        <w:rPr>
          <w:rFonts w:ascii="Times New Roman" w:cs="Times New Roman" w:eastAsia="Times New Roman" w:hAnsi="Times New Roman"/>
          <w:sz w:val="18"/>
          <w:szCs w:val="18"/>
          <w:color w:val="auto"/>
        </w:rPr>
        <w:t>Dated: July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36175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Fernando Castro-Caratini, Chief Financial Officer and Secretary</w:t>
      </w:r>
    </w:p>
    <w:p>
      <w:pPr>
        <w:ind w:left="468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36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of Guaranteed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26, 2022, the debt instruments indicated below are fully and unconditionally guaranteed by Sun Communities,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 Senior Notes due 2028</w:t>
            </w:r>
          </w:p>
        </w:tc>
        <w:tc>
          <w:tcPr>
            <w:tcW w:w="8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 Senior Notes due 2031</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 Senior Notes due 2032</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bl>
    <w:p>
      <w:pPr>
        <w:sectPr>
          <w:pgSz w:w="11900" w:h="16838" w:orient="portrait"/>
          <w:cols w:equalWidth="0" w:num="1">
            <w:col w:w="11240"/>
          </w:cols>
          <w:pgMar w:left="320" w:top="140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hanging="323"/>
        <w:spacing w:after="0" w:line="282" w:lineRule="auto"/>
        <w:tabs>
          <w:tab w:leader="none" w:pos="114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15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420"/>
        <w:spacing w:after="0"/>
        <w:tabs>
          <w:tab w:leader="none" w:pos="4800" w:val="left"/>
        </w:tabs>
        <w:rPr>
          <w:sz w:val="20"/>
          <w:szCs w:val="20"/>
          <w:color w:val="auto"/>
        </w:rPr>
      </w:pPr>
      <w:r>
        <w:rPr>
          <w:rFonts w:ascii="Times New Roman" w:cs="Times New Roman" w:eastAsia="Times New Roman" w:hAnsi="Times New Roman"/>
          <w:sz w:val="18"/>
          <w:szCs w:val="18"/>
          <w:color w:val="auto"/>
        </w:rPr>
        <w:t>Dated: July 26, 2022</w:t>
      </w:r>
      <w:r>
        <w:rPr>
          <w:sz w:val="20"/>
          <w:szCs w:val="20"/>
          <w:color w:val="auto"/>
        </w:rPr>
        <w:tab/>
      </w:r>
      <w:r>
        <w:rPr>
          <w:rFonts w:ascii="Times New Roman" w:cs="Times New Roman" w:eastAsia="Times New Roman" w:hAnsi="Times New Roman"/>
          <w:sz w:val="17"/>
          <w:szCs w:val="17"/>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17145</wp:posOffset>
            </wp:positionV>
            <wp:extent cx="36436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643630" cy="8890"/>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Gary A. Shiffman, Chief Executive Officer</w:t>
      </w:r>
    </w:p>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Fernando Castro-Caratini, certify that:</w:t>
      </w:r>
    </w:p>
    <w:p>
      <w:pPr>
        <w:spacing w:after="0" w:line="252"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14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15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300" w:val="left"/>
        </w:tabs>
        <w:rPr>
          <w:sz w:val="20"/>
          <w:szCs w:val="20"/>
          <w:color w:val="auto"/>
        </w:rPr>
      </w:pPr>
      <w:r>
        <w:rPr>
          <w:rFonts w:ascii="Times New Roman" w:cs="Times New Roman" w:eastAsia="Times New Roman" w:hAnsi="Times New Roman"/>
          <w:sz w:val="18"/>
          <w:szCs w:val="18"/>
          <w:color w:val="auto"/>
        </w:rPr>
        <w:t>Dated: July 26, 2022</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583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p>
      <w:pPr>
        <w:sectPr>
          <w:pgSz w:w="11900" w:h="16838" w:orient="portrait"/>
          <w:cols w:equalWidth="0" w:num="1">
            <w:col w:w="11240"/>
          </w:cols>
          <w:pgMar w:left="320" w:top="76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(Adopted Under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officers, Gary A. Shiffman and Fernando Castro-Caratini, hereby certify that to the best of their knowledge: (a) this Quarterly Report on Form 10-Q of Sun Communities, Inc., for the period ended June 30, 2022,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Gary A. Shiffman</w:t>
            </w:r>
          </w:p>
        </w:tc>
        <w:tc>
          <w:tcPr>
            <w:tcW w:w="2560" w:type="dxa"/>
            <w:vAlign w:val="bottom"/>
            <w:gridSpan w:val="3"/>
          </w:tcPr>
          <w:p>
            <w:pPr>
              <w:jc w:val="center"/>
              <w:ind w:left="1490"/>
              <w:spacing w:after="0"/>
              <w:rPr>
                <w:sz w:val="20"/>
                <w:szCs w:val="20"/>
                <w:color w:val="auto"/>
              </w:rPr>
            </w:pPr>
            <w:r>
              <w:rPr>
                <w:rFonts w:ascii="Times New Roman" w:cs="Times New Roman" w:eastAsia="Times New Roman" w:hAnsi="Times New Roman"/>
                <w:sz w:val="18"/>
                <w:szCs w:val="18"/>
                <w:color w:val="auto"/>
              </w:rPr>
              <w:t>July 26, 2022</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A. Shiffman,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Fernando Castro-Caratini</w:t>
            </w:r>
          </w:p>
        </w:tc>
        <w:tc>
          <w:tcPr>
            <w:tcW w:w="2560" w:type="dxa"/>
            <w:vAlign w:val="bottom"/>
            <w:gridSpan w:val="3"/>
          </w:tcPr>
          <w:p>
            <w:pPr>
              <w:jc w:val="center"/>
              <w:ind w:left="1490"/>
              <w:spacing w:after="0"/>
              <w:rPr>
                <w:sz w:val="20"/>
                <w:szCs w:val="20"/>
                <w:color w:val="auto"/>
              </w:rPr>
            </w:pPr>
            <w:r>
              <w:rPr>
                <w:rFonts w:ascii="Times New Roman" w:cs="Times New Roman" w:eastAsia="Times New Roman" w:hAnsi="Times New Roman"/>
                <w:sz w:val="18"/>
                <w:szCs w:val="18"/>
                <w:color w:val="auto"/>
              </w:rPr>
              <w:t>July 26, 2022</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91" Type="http://schemas.openxmlformats.org/officeDocument/2006/relationships/hyperlink" Target="http://www.sec.gov/Archives/edgar/data/912593/000091259318000049/exhibit31-suncommunitiesin.htm" TargetMode="External"/><Relationship Id="rId92" Type="http://schemas.openxmlformats.org/officeDocument/2006/relationships/hyperlink" Target="http://www.sec.gov/Archives/edgar/data/912593/000091259317000078/exhibit31-thirdamendedandr.htm" TargetMode="External"/><Relationship Id="rId93" Type="http://schemas.openxmlformats.org/officeDocument/2006/relationships/hyperlink" Target="https://www.sec.gov/ix?doc=/Archives/edgar/data/912593/000119312522102982/d325229d8k.htm" TargetMode="External"/><Relationship Id="rId94" Type="http://schemas.openxmlformats.org/officeDocument/2006/relationships/hyperlink" Target="https://www.sec.gov/Archives/edgar/data/912593/000119312522102982/0001193125-22-102982-index.htm" TargetMode="External"/><Relationship Id="rId95" Type="http://schemas.openxmlformats.org/officeDocument/2006/relationships/hyperlink" Target="https://www.sec.gov/Archives/edgar/data/912593/000119312522104282/0001193125-22-104282-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2022-07-26T12:31:00Z</dcterms:created>
  <dcterms:modified xsi:type="dcterms:W3CDTF">2022-07-26T12:31:00Z</dcterms:modified>
</cp:coreProperties>
</file>