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August 24,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p>
      <w:pPr>
        <w:pStyle w:val="TextBody"/>
        <w:bidi w:val="0"/>
        <w:spacing w:before="0" w:after="0"/>
        <w:jc w:val="center"/>
        <w:rPr/>
      </w:pPr>
      <w:r>
        <w:rPr/>
        <w:drawing>
          <wp:inline distT="0" distB="0" distL="0" distR="0">
            <wp:extent cx="21907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747" w:type="dxa"/>
        <w:jc w:val="center"/>
        <w:tblInd w:w="0" w:type="dxa"/>
        <w:tblLayout w:type="fixed"/>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697"/>
        <w:gridCol w:w="697"/>
        <w:gridCol w:w="705"/>
        <w:gridCol w:w="884"/>
        <w:gridCol w:w="884"/>
        <w:gridCol w:w="1261"/>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1-12616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38-2730780</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27777 Franklin Rd.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Michigan</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48034</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(248) 208-2500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Appointment of Robert A. Garechana as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24, 2026, Sun Communities, Inc. (the “Company”) appointed Robert A. Garechana as the Company’s new Chief Financial Officer, Executive Vice President, and Treasurer. Mr. Garechana’s appointment will be effective on September 8, 2026 (the “Start Date”). The Company and Mr. Garechana entered into an employment agreement dated August 24, 2026 (the “Garechana Agreement”) under which Mr. Garechana will serve as the Company’s Chief Financial Officer, Executive Vice President, and Treasurer beginning on the Start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Garechana, age 47, has served since 2025 as Executive Vice President and Chief Investment Officer of Equity Residential (NYSE: EQR), a multifamily REIT. He previously served as Equity Residential’s Chief Financial Officer and as a member of its executive and investment committees from September 2018 to 2025, and as Treasurer from 2008 to 2018. Mr. Garechana received a B.B.A. from The University of Texas at Austin and was a member of the Nareit CFO Council. In addition, he served on the Board of Directors of Upwardly Global, a non-profit organization where he served on the Operating Committee as Treasurer.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term of the Garechana Agreement will be for five years beginning on the Start Date and is automatically renewable thereafter for successive one-year terms unless either party timely terminates the agreement. If there is a change of control, the term will end on the later of the original expiration date of the term and the second anniversary of the change of control. Mr. Garechana’s annual base salary is $625,000. In addition to his base salary, Mr. Garechana is eligible to receive an annual cash bonus at a target amount of 150% of his base salary and the earned amount for each year will be determined by the Compensation Committee of the Company’s Board of Directors, based on individual goals and objectives for Mr. Garechana, the Company’s performance or other relevant criteria. Incentive compensation paid or payable to Mr. Garechana may be subject to the Company’s Executive Compensation Recovery (Clawback) Policy in accordance with its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the Start Date Mr. Garechana will receive a grant of restricted shares of the Company’s common stock with a target grant date value of $2,500,000, 30% of which will be subject to time vesting and vest annually over three years, and 70% of which will be subject to performance vesting after three years based on the same performance criteria applicable to annual restricted stock grants to the Company’s other executive officers earlier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Mr. Garechana is terminated by the Company without cause or resigns for good reason (each as defined in the Garechana Agreement) or if he dies or becomes disabled, (i) he will receive severance payments equal to 1.5 times the sum of his then-current base salary and then-current target bonus amount (or, in the case of death or disability, 1.5 times his then-current base salary, less the value of certain previously paid disability benefits); (ii) all his time-vesting equity awards granted by the Company will become fully vested; (iii) the acceleration, forfeiture, or vesting of all his performance-vesting equity awards granted by the Company will be governed by the terms of the applicable award agreement; and (iv) the Company may be obligated to pay his healthcare premiums for up to 18 months. If the Company elects not to renew any term of the Garechana Agreement, (a) he will receive a pro-rated annual bonus for the year of termination; (b) he will receive severance payments equal to one times the sum of his then-current base salary and then-current target bonus amount; (c) all his time-vesting equity awards granted by the Company will become fully vested; and (d) the acceleration, forfeiture, or vesting of all his performance-vesting equity awards granted by the Company will be governed by the terms of the applicable award agreement. Mr. Garechana’s receipt of the payments and benefits described in this paragraph is subject to his execution of a release and compliance with his non-competition and confidentiality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there is a change in control (as defined in the Garechana Agreement) of the Company and within 60 days before or 24 months after the date of the change in control either the Company or its successor terminate the Garechana Agreement without cause or Mr. Garechana terminates his employment for good reason, (i) he will receive a change in control payment equal to two times the sum of his then-current base salary and then-current target bonus amount; (ii) all his time-vesting equity awards granted by the Company will become fully vested; (iii) the performance-based vesting conditions applicable to his performance-vesting equity awards granted by the Company shall be deemed met at the greater of the target or actual level of performance and vest in accordance with such deemed level of performance; and (iv) the Company may be obligated to pay his healthcare premiums for up to 24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non-competition provisions of the Garechana Agreement generally preclude Mr. Garechana, for a period of up to 18 months following his employment, from engaging, directly or indirectly, in the same business as the Company anywhere in the U.S. or in other countries in which the Company recently has actively conducted business; provided that such period is 12 months in the event of termination due to non-renewal of the Garechana Agreement by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Garechana does not have any family relationships with any of the Company’s directors or executive officers and is not a party to any transactions listed in Item 404(a) of Regulation S-K. Further, no arrangement or understanding exists between Mr. Garechana or any other person pursuant to which Mr. Garechana was selected as Chief Financial Officer, Executive Vice President, and Treasurer.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Transition of Fernando Castro-Caratini to Advisory Role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Mr. Garechana’s appointment as the Company’s Chief Financial Officer, Executive Vice President, and Treasurer on the Start Date, he will succeed Fernando Castro-Caratini in each of those offices. Mr. Castro-Caratini will transition to an advisory role with the Company through October 31, 2026. The Company will pay Mr. Castro-Caratini certain severance payments and benefits in accordance with the terms of his employment agreement.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Garechana Agreement does not purport to be complete and is subject to, and qualified in its entirety by, the full text of such agreement, a copy of which is attached hereto as Exhibit 10.1, and the terms of which are incorporated by reference herein.</w:t>
      </w:r>
    </w:p>
    <w:p>
      <w:pPr>
        <w:pStyle w:val="TextBody"/>
        <w:bidi w:val="0"/>
        <w:spacing w:before="0" w:after="0"/>
        <w:jc w:val="left"/>
        <w:rPr/>
      </w:pPr>
      <w:r>
        <w:rPr/>
      </w:r>
    </w:p>
    <w:tbl>
      <w:tblPr>
        <w:tblW w:w="3223" w:type="dxa"/>
        <w:jc w:val="left"/>
        <w:tblInd w:w="0" w:type="dxa"/>
        <w:tblLayout w:type="fixed"/>
        <w:tblCellMar>
          <w:top w:w="28" w:type="dxa"/>
          <w:left w:w="28" w:type="dxa"/>
          <w:bottom w:w="28" w:type="dxa"/>
          <w:right w:w="28" w:type="dxa"/>
        </w:tblCellMar>
      </w:tblPr>
      <w:tblGrid>
        <w:gridCol w:w="331"/>
        <w:gridCol w:w="290"/>
        <w:gridCol w:w="293"/>
        <w:gridCol w:w="675"/>
        <w:gridCol w:w="675"/>
        <w:gridCol w:w="959"/>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25, 2026, the Company issued a press release regarding Mr. Garechana’s appointment and succession of Mr. Castro-Caratini, a copy of which is attached hereto as Exhibit 99.1 to this Current Report and is incorporated herein by reference solely for purposes of this Item 7.01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including Exhibit 99.1 attached hereto, contains various "forward-looking statements" within the meaning of the Securities Act of 1933, as amended (the "Securities Act"), and the Securities Exchange Act of 1934, as amended (the "Exchange Act"), and the Company intends that such forward-looking statements will be subject to the safe harbors created thereby. For this purpose, any statements contained in or incorporated by reference into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 looking statements contain these words. These forward-looking statements reflect the Company’s current views with respect to future events and financial performance, but involve known and unknown risks, uncertainties and other factors, both general and specific to the matters discussed in or incorporated herein, some of which are beyond the Company’s control. These risks, uncertainties and other factors may cause the Company’s actual results to be materially different from any future results expressed or implied by such forward-looking statements. Details of potential risks that may affect the Company are described in the Company’s periodic reports filed with the U.S. Securities and Exchange Commission, including in the “Risk Factors” section of the Company's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these forward-looking statements, which speak only as of the date the statement was made. The Company undertakes no obligation to publicly update or revise any forward-looking statements included or incorporated by reference into this document, whether as a result of new information, future events, changes in the Company's expectations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believes that the expectations reflected in the forward-looking statements are reasonable, the Company cannot guarantee future results, levels of activity, performance or achievements. All written and oral forward-looking statements attributable to the Company or persons acting on the Company's behalf are qualified in their entirety by these cautionary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2"/>
        <w:gridCol w:w="2653"/>
        <w:gridCol w:w="2653"/>
        <w:gridCol w:w="2679"/>
        <w:gridCol w:w="389"/>
        <w:gridCol w:w="365"/>
        <w:gridCol w:w="52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798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2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Method of Filing</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mploymentagreement-robert.htm">
              <w:r>
                <w:rPr>
                  <w:rStyle w:val="InternetLink"/>
                  <w:rFonts w:ascii="Times New Roman;serif" w:hAnsi="Times New Roman;serif"/>
                  <w:b w:val="false"/>
                  <w:color w:val="0000FF"/>
                  <w:sz w:val="20"/>
                </w:rPr>
                <w:t>Employment Agreement dated August 24, 2026, among Sun Communities, Inc., Sun Communities Operating Limited Partnership and Robert A. Garechana</w:t>
              </w:r>
            </w:hyperlink>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obertagarechanaappointe.htm">
              <w:r>
                <w:rPr>
                  <w:rStyle w:val="InternetLink"/>
                  <w:rFonts w:ascii="Times New Roman;serif" w:hAnsi="Times New Roman;serif"/>
                  <w:b w:val="false"/>
                  <w:color w:val="0000FF"/>
                  <w:sz w:val="20"/>
                </w:rPr>
                <w:t>Press Release issued by Sun Communities, Inc. dated August 25, 2026</w:t>
              </w:r>
            </w:hyperlink>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417" w:before="0" w:after="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665" w:type="dxa"/>
        <w:jc w:val="center"/>
        <w:tblInd w:w="0" w:type="dxa"/>
        <w:tblLayout w:type="fixed"/>
        <w:tblCellMar>
          <w:top w:w="28" w:type="dxa"/>
          <w:left w:w="28" w:type="dxa"/>
          <w:bottom w:w="28" w:type="dxa"/>
          <w:right w:w="28" w:type="dxa"/>
        </w:tblCellMar>
      </w:tblPr>
      <w:tblGrid>
        <w:gridCol w:w="743"/>
        <w:gridCol w:w="653"/>
        <w:gridCol w:w="659"/>
        <w:gridCol w:w="109"/>
        <w:gridCol w:w="109"/>
        <w:gridCol w:w="109"/>
        <w:gridCol w:w="373"/>
        <w:gridCol w:w="373"/>
        <w:gridCol w:w="373"/>
        <w:gridCol w:w="1798"/>
        <w:gridCol w:w="1798"/>
        <w:gridCol w:w="2568"/>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INC.</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Da</w:t>
            </w:r>
            <w:r>
              <w:rPr>
                <w:rFonts w:ascii="Times New Roman;serif" w:hAnsi="Times New Roman;serif"/>
                <w:b w:val="false"/>
                <w:color w:val="000000"/>
                <w:sz w:val="20"/>
                <w:shd w:fill="FFFFFF" w:val="clear"/>
              </w:rPr>
              <w:t>ted: August 25</w:t>
            </w:r>
            <w:r>
              <w:rPr>
                <w:rFonts w:ascii="Times New Roman;serif" w:hAnsi="Times New Roman;serif"/>
                <w:b w:val="false"/>
                <w:color w:val="000000"/>
                <w:sz w:val="20"/>
              </w:rP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Ileana McAlary</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Ileana McAlary, General Counsel, Executive Vice President,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right"/>
        <w:rPr>
          <w:rFonts w:ascii="Times New Roman;serif" w:hAnsi="Times New Roman;serif"/>
          <w:b w:val="false"/>
          <w:color w:val="000000"/>
          <w:sz w:val="18"/>
        </w:rPr>
      </w:pPr>
      <w:r>
        <w:rPr>
          <w:rFonts w:ascii="Times New Roman;serif" w:hAnsi="Times New Roman;serif"/>
          <w:b w:val="false"/>
          <w:color w:val="000000"/>
          <w:sz w:val="18"/>
        </w:rPr>
        <w:t>EXECUTION COPY</w:t>
      </w:r>
    </w:p>
    <w:p>
      <w:pPr>
        <w:pStyle w:val="TextBody"/>
        <w:bidi w:val="0"/>
        <w:spacing w:lineRule="auto" w:line="300" w:before="79" w:after="283"/>
        <w:jc w:val="center"/>
        <w:rPr>
          <w:rFonts w:ascii="Times New Roman;serif" w:hAnsi="Times New Roman;serif"/>
          <w:b/>
          <w:color w:val="000000"/>
          <w:sz w:val="24"/>
          <w:u w:val="single"/>
        </w:rPr>
      </w:pPr>
      <w:r>
        <w:rPr>
          <w:rFonts w:ascii="Times New Roman;serif" w:hAnsi="Times New Roman;serif"/>
          <w:b/>
          <w:color w:val="000000"/>
          <w:sz w:val="24"/>
          <w:u w:val="single"/>
        </w:rPr>
        <w:t>EMPLOYMENT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 xml:space="preserve">AGREEMENT (this </w:t>
      </w:r>
      <w:r>
        <w:rPr>
          <w:color w:val="000000"/>
        </w:rPr>
        <w:t>“</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on August 24, 2026 (the “</w:t>
      </w:r>
      <w:r>
        <w:rPr>
          <w:rFonts w:ascii="Times New Roman;serif" w:hAnsi="Times New Roman;serif"/>
          <w:b w:val="false"/>
          <w:color w:val="000000"/>
          <w:sz w:val="24"/>
          <w:u w:val="single"/>
        </w:rPr>
        <w:t>Execution Date</w:t>
      </w:r>
      <w:r>
        <w:rPr>
          <w:color w:val="000000"/>
        </w:rPr>
        <w:t>”</w:t>
      </w:r>
      <w:r>
        <w:rPr>
          <w:rFonts w:ascii="Times New Roman;serif" w:hAnsi="Times New Roman;serif"/>
          <w:b w:val="false"/>
          <w:color w:val="000000"/>
          <w:sz w:val="24"/>
        </w:rPr>
        <w:t>), to be effective as of September 8, 2026 (the “Effective Date”), by and among SUN COMMUNITIES, INC., a Maryland corporation (the “</w:t>
      </w:r>
      <w:r>
        <w:rPr>
          <w:rFonts w:ascii="Times New Roman;serif" w:hAnsi="Times New Roman;serif"/>
          <w:b w:val="false"/>
          <w:color w:val="000000"/>
          <w:sz w:val="24"/>
          <w:u w:val="single"/>
        </w:rPr>
        <w:t>REIT</w:t>
      </w:r>
      <w:r>
        <w:rPr>
          <w:color w:val="000000"/>
        </w:rPr>
        <w:t>”</w:t>
      </w:r>
      <w:r>
        <w:rPr>
          <w:rFonts w:ascii="Times New Roman;serif" w:hAnsi="Times New Roman;serif"/>
          <w:b w:val="false"/>
          <w:color w:val="000000"/>
          <w:sz w:val="24"/>
        </w:rPr>
        <w:t>), SUN COMMUNITIES OPERATING LIMITED PARTNERSHIP, a Michigan limited partnership (“</w:t>
      </w:r>
      <w:r>
        <w:rPr>
          <w:rFonts w:ascii="Times New Roman;serif" w:hAnsi="Times New Roman;serif"/>
          <w:b w:val="false"/>
          <w:color w:val="000000"/>
          <w:sz w:val="24"/>
          <w:u w:val="single"/>
        </w:rPr>
        <w:t>SCOLP</w:t>
      </w:r>
      <w:r>
        <w:rPr>
          <w:color w:val="000000"/>
        </w:rPr>
        <w:t>”</w:t>
      </w:r>
      <w:r>
        <w:rPr>
          <w:rFonts w:ascii="Times New Roman;serif" w:hAnsi="Times New Roman;serif"/>
          <w:b w:val="false"/>
          <w:color w:val="000000"/>
          <w:sz w:val="24"/>
        </w:rPr>
        <w:t>), and ROBERT A. GARECHANA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used herein,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shall refer to the REIT and SCOLP together.</w:t>
      </w:r>
    </w:p>
    <w:p>
      <w:pPr>
        <w:pStyle w:val="TextBody"/>
        <w:bidi w:val="0"/>
        <w:spacing w:lineRule="auto" w:line="288" w:before="240" w:after="283"/>
        <w:jc w:val="left"/>
        <w:rPr/>
      </w:pPr>
      <w:r>
        <w:rPr>
          <w:rFonts w:ascii="Times New Roman;serif" w:hAnsi="Times New Roman;serif"/>
          <w:b/>
          <w:color w:val="000000"/>
          <w:sz w:val="24"/>
        </w:rPr>
        <w:t>W I</w:t>
      </w:r>
      <w:r>
        <w:rPr>
          <w:color w:val="000000"/>
        </w:rPr>
        <w:t xml:space="preserve"> </w:t>
      </w:r>
      <w:r>
        <w:rPr>
          <w:rFonts w:ascii="Times New Roman;serif" w:hAnsi="Times New Roman;serif"/>
          <w:b/>
          <w:color w:val="000000"/>
          <w:sz w:val="24"/>
        </w:rPr>
        <w:t>T N</w:t>
      </w:r>
      <w:r>
        <w:rPr>
          <w:color w:val="000000"/>
        </w:rPr>
        <w:t xml:space="preserve"> </w:t>
      </w:r>
      <w:r>
        <w:rPr>
          <w:rFonts w:ascii="Times New Roman;serif" w:hAnsi="Times New Roman;serif"/>
          <w:b/>
          <w:color w:val="000000"/>
          <w:sz w:val="24"/>
        </w:rPr>
        <w:t>E S S E</w:t>
      </w:r>
      <w:r>
        <w:rPr>
          <w:color w:val="000000"/>
        </w:rPr>
        <w:t xml:space="preserve"> </w:t>
      </w:r>
      <w:r>
        <w:rPr>
          <w:rFonts w:ascii="Times New Roman;serif" w:hAnsi="Times New Roman;serif"/>
          <w:b/>
          <w:color w:val="000000"/>
          <w:sz w:val="24"/>
        </w:rPr>
        <w:t>T H:</w:t>
      </w:r>
    </w:p>
    <w:p>
      <w:pPr>
        <w:pStyle w:val="TextBody"/>
        <w:bidi w:val="0"/>
        <w:spacing w:lineRule="auto" w:line="520" w:before="240" w:after="283"/>
        <w:jc w:val="left"/>
        <w:rPr/>
      </w:pPr>
      <w:r>
        <w:rPr>
          <w:rFonts w:ascii="Times New Roman;serif" w:hAnsi="Times New Roman;serif"/>
          <w:b w:val="false"/>
          <w:color w:val="000000"/>
          <w:sz w:val="24"/>
        </w:rPr>
        <w:t>WHEREAS, SCOLP operates the business of the REIT; WHEREAS,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partner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SCOLP;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desires to employ the Executive, and the Executive desires to be employed by the Company, on the terms and subject to the conditions set forth below.</w:t>
      </w:r>
    </w:p>
    <w:p>
      <w:pPr>
        <w:pStyle w:val="TextBody"/>
        <w:bidi w:val="0"/>
        <w:spacing w:before="0" w:after="0"/>
        <w:ind w:left="0" w:right="0" w:firstLine="360"/>
        <w:jc w:val="left"/>
        <w:rPr/>
      </w:pPr>
      <w:r>
        <w:rPr/>
      </w:r>
    </w:p>
    <w:p>
      <w:pPr>
        <w:pStyle w:val="TextBody"/>
        <w:bidi w:val="0"/>
        <w:spacing w:lineRule="auto" w:line="288" w:before="0" w:after="0"/>
        <w:ind w:left="0" w:right="0" w:firstLine="719"/>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promises contained in this Agreement and other good and valuable consideration, the receipt and adequacy of which are hereby acknowledged, the parties agree as follows:</w:t>
      </w:r>
    </w:p>
    <w:p>
      <w:pPr>
        <w:pStyle w:val="TextBody"/>
        <w:bidi w:val="0"/>
        <w:spacing w:lineRule="auto" w:line="288" w:before="240" w:after="283"/>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(a)The Company agrees to employ the Executive and the Executive accepts the employment, on the terms and subject to the conditions set forth below. During the Term (as defined below), the Executive shall serve as the Chief Financial Officer, Executive Vice President, and Treasurer of the REIT, and shall do and perform diligently all such services, acts and things as are customarily done and performed by such officers of companies in a similar business and of a similar size to the REIT, together with such other duties as may reasonably be requested from time to time by the REIT’s Chief Executive Officer or the Board of Directors of the REIT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xml:space="preserve">), which duties shall be consistent with the Executive’s positions as set forth above. The Executive shall perform his duties from the Company’s headquarters in the Detroit, Michigan metropolitan area and is expected to be physically present at the Company’s headquarters on a full-time basis as of the Start Date (as defined below) (except for required business travel, holidays, vacation and other approved leaves consistent with this Agreement). </w:t>
      </w:r>
    </w:p>
    <w:p>
      <w:pPr>
        <w:pStyle w:val="TextBody"/>
        <w:bidi w:val="0"/>
        <w:spacing w:before="0" w:after="0"/>
        <w:jc w:val="left"/>
        <w:rPr/>
      </w:pPr>
      <w:r>
        <w:rPr/>
      </w:r>
    </w:p>
    <w:p>
      <w:pPr>
        <w:pStyle w:val="TextBody"/>
        <w:bidi w:val="0"/>
        <w:spacing w:lineRule="auto" w:line="288" w:before="79" w:after="283"/>
        <w:ind w:left="0" w:right="0" w:firstLine="720"/>
        <w:jc w:val="both"/>
        <w:rPr/>
      </w:pPr>
      <w:r>
        <w:rPr>
          <w:rFonts w:ascii="Times New Roman;serif" w:hAnsi="Times New Roman;serif"/>
          <w:b w:val="false"/>
          <w:color w:val="000000"/>
          <w:sz w:val="24"/>
        </w:rPr>
        <w:t>(b)For</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entitled</w:t>
      </w:r>
      <w:r>
        <w:rPr>
          <w:color w:val="000000"/>
        </w:rPr>
        <w:t xml:space="preserve"> </w:t>
      </w:r>
      <w:r>
        <w:rPr>
          <w:rFonts w:ascii="Times New Roman;serif" w:hAnsi="Times New Roman;serif"/>
          <w:b w:val="false"/>
          <w:color w:val="000000"/>
          <w:sz w:val="24"/>
        </w:rPr>
        <w:t>to the full protection of the applicable indemnification provisions of the Articles of Incorporation and Bylaws of the REIT, any indemnification agreement between the Company and the Executive, as they may be amended from time to time, and applicable law.</w:t>
      </w:r>
    </w:p>
    <w:p>
      <w:pPr>
        <w:pStyle w:val="TextBody"/>
        <w:bidi w:val="0"/>
        <w:spacing w:lineRule="auto" w:line="288" w:before="240" w:after="283"/>
        <w:ind w:left="0" w:right="0" w:firstLine="719"/>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Term of Employment</w:t>
      </w:r>
      <w:r>
        <w:rPr>
          <w:rFonts w:ascii="Times New Roman;serif" w:hAnsi="Times New Roman;serif"/>
          <w:b w:val="false"/>
          <w:color w:val="000000"/>
          <w:sz w:val="24"/>
        </w:rPr>
        <w:t xml:space="preserve">. Subject to the provisions for termination provided below, the term of the Executive’s employment under this Agreement shall commence on September 8, 2026 (the “Start Date”) and shall continue through the fifth (5th) anniversary of the Start Date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provided, however, that following the expiration of the Initial Term, the term of this Agreement shall be automatically extended for successive terms of one (1) year each thereafter (each a “</w:t>
      </w:r>
      <w:r>
        <w:rPr>
          <w:rFonts w:ascii="Times New Roman;serif" w:hAnsi="Times New Roman;serif"/>
          <w:b w:val="false"/>
          <w:color w:val="000000"/>
          <w:sz w:val="24"/>
          <w:u w:val="single"/>
        </w:rPr>
        <w:t>Renewal Term</w:t>
      </w:r>
      <w:r>
        <w:rPr>
          <w:color w:val="000000"/>
        </w:rPr>
        <w:t>”</w:t>
      </w:r>
      <w:r>
        <w:rPr>
          <w:rFonts w:ascii="Times New Roman;serif" w:hAnsi="Times New Roman;serif"/>
          <w:b w:val="false"/>
          <w:color w:val="000000"/>
          <w:sz w:val="24"/>
        </w:rPr>
        <w:t>), unless either party notifies the other party in writing of its desire to terminate this Agreement at least ninety (90) days before the end of the Initial Term or the Renewal Term then in effect. If, during the Term (as defined below) a Change in Control (as defined below) occurs, the Term shall be automatically extended, without regard to any prior notice of non-renewal, to the later of (i) the original expiration date of the Term and (ii) the twenty-four (24) month anniversary of the Change in Control. The Initial Term and each Renewal Term are collectively referred to as the “</w:t>
      </w:r>
      <w:r>
        <w:rPr>
          <w:rFonts w:ascii="Times New Roman;serif" w:hAnsi="Times New Roman;serif"/>
          <w:b w:val="false"/>
          <w:color w:val="000000"/>
          <w:sz w:val="24"/>
          <w:u w:val="single"/>
        </w:rPr>
        <w:t>Term</w:t>
      </w:r>
      <w:r>
        <w:rPr>
          <w:rFonts w:ascii="Times New Roman;serif" w:hAnsi="Times New Roman;serif"/>
          <w:b w:val="false"/>
          <w:color w:val="000000"/>
          <w:sz w:val="24"/>
        </w:rPr>
        <w:t>.” Nothing in this Agreement changes the at-will nature of the Executive’s employment, and the Executive understands that his employment may be terminated, at any time, with or without cause, at the option of the Executive or the Company.</w:t>
      </w:r>
    </w:p>
    <w:p>
      <w:pPr>
        <w:pStyle w:val="TextBody"/>
        <w:bidi w:val="0"/>
        <w:spacing w:lineRule="auto" w:line="288" w:before="241" w:after="283"/>
        <w:ind w:left="0" w:right="0" w:firstLine="719"/>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Devotion to the Company’s Business</w:t>
      </w:r>
      <w:r>
        <w:rPr>
          <w:rFonts w:ascii="Times New Roman;serif" w:hAnsi="Times New Roman;serif"/>
          <w:b w:val="false"/>
          <w:color w:val="000000"/>
          <w:sz w:val="24"/>
        </w:rPr>
        <w:t>. The Executive shall devote his best efforts, knowledge, skill, and his entire productive time, ability and attention to the business of the Company during the term of this Agreement; provided, however, the Executive’s expenditure of reasonable</w:t>
      </w:r>
      <w:r>
        <w:rPr>
          <w:color w:val="000000"/>
        </w:rPr>
        <w:t xml:space="preserve"> </w:t>
      </w:r>
      <w:r>
        <w:rPr>
          <w:rFonts w:ascii="Times New Roman;serif" w:hAnsi="Times New Roman;serif"/>
          <w:b w:val="false"/>
          <w:color w:val="000000"/>
          <w:sz w:val="24"/>
        </w:rPr>
        <w:t>amounts</w:t>
      </w:r>
      <w:r>
        <w:rPr>
          <w:color w:val="000000"/>
        </w:rPr>
        <w:t xml:space="preserve"> </w:t>
      </w:r>
      <w:r>
        <w:rPr>
          <w:rFonts w:ascii="Times New Roman;serif" w:hAnsi="Times New Roman;serif"/>
          <w:b w:val="false"/>
          <w:color w:val="000000"/>
          <w:sz w:val="24"/>
        </w:rPr>
        <w:t>of 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various</w:t>
      </w:r>
      <w:r>
        <w:rPr>
          <w:color w:val="000000"/>
        </w:rPr>
        <w:t xml:space="preserve"> </w:t>
      </w:r>
      <w:r>
        <w:rPr>
          <w:rFonts w:ascii="Times New Roman;serif" w:hAnsi="Times New Roman;serif"/>
          <w:b w:val="false"/>
          <w:color w:val="000000"/>
          <w:sz w:val="24"/>
        </w:rPr>
        <w:t>charitable and</w:t>
      </w:r>
      <w:r>
        <w:rPr>
          <w:color w:val="000000"/>
        </w:rPr>
        <w:t xml:space="preserve"> </w:t>
      </w:r>
      <w:r>
        <w:rPr>
          <w:rFonts w:ascii="Times New Roman;serif" w:hAnsi="Times New Roman;serif"/>
          <w:b w:val="false"/>
          <w:color w:val="000000"/>
          <w:sz w:val="24"/>
        </w:rPr>
        <w:t>other community</w:t>
      </w:r>
      <w:r>
        <w:rPr>
          <w:color w:val="000000"/>
        </w:rPr>
        <w:t xml:space="preserve"> </w:t>
      </w:r>
      <w:r>
        <w:rPr>
          <w:rFonts w:ascii="Times New Roman;serif" w:hAnsi="Times New Roman;serif"/>
          <w:b w:val="false"/>
          <w:color w:val="000000"/>
          <w:sz w:val="24"/>
        </w:rPr>
        <w:t>activities, unpaid</w:t>
      </w:r>
      <w:r>
        <w:rPr>
          <w:color w:val="000000"/>
        </w:rPr>
        <w:t xml:space="preserve"> </w:t>
      </w:r>
      <w:r>
        <w:rPr>
          <w:rFonts w:ascii="Times New Roman;serif" w:hAnsi="Times New Roman;serif"/>
          <w:b w:val="false"/>
          <w:color w:val="000000"/>
          <w:sz w:val="24"/>
        </w:rPr>
        <w:t>industry groups or associations, or to the Executive’s own personal investments and projects, shall not be deemed a breach of this</w:t>
      </w:r>
      <w:r>
        <w:rPr>
          <w:color w:val="000000"/>
        </w:rPr>
        <w:t xml:space="preserve"> </w:t>
      </w:r>
      <w:r>
        <w:rPr>
          <w:rFonts w:ascii="Times New Roman;serif" w:hAnsi="Times New Roman;serif"/>
          <w:b w:val="false"/>
          <w:color w:val="000000"/>
          <w:sz w:val="24"/>
        </w:rPr>
        <w:t>Agreement so long as the amount of time so devoted does not materially impair,</w:t>
      </w:r>
      <w:r>
        <w:rPr>
          <w:color w:val="000000"/>
        </w:rPr>
        <w:t xml:space="preserve"> </w:t>
      </w:r>
      <w:r>
        <w:rPr>
          <w:rFonts w:ascii="Times New Roman;serif" w:hAnsi="Times New Roman;serif"/>
          <w:b w:val="false"/>
          <w:color w:val="000000"/>
          <w:sz w:val="24"/>
        </w:rPr>
        <w:t>detract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adversely</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 Executive shall be permitted to serve on such boards of directors of such entities as are approved by the Board or a committee of the Board from time to time.</w:t>
      </w:r>
    </w:p>
    <w:p>
      <w:pPr>
        <w:pStyle w:val="TextBody"/>
        <w:bidi w:val="0"/>
        <w:spacing w:lineRule="auto" w:line="288" w:before="241" w:after="283"/>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Compensation</w:t>
      </w:r>
      <w:r>
        <w:rPr>
          <w:rFonts w:ascii="Times New Roman;serif" w:hAnsi="Times New Roman;serif"/>
          <w:b w:val="false"/>
          <w:color w:val="000000"/>
          <w:sz w:val="24"/>
        </w:rPr>
        <w:t>. As compensation for the services to be performed hereunder,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during his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an annual</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$625,000</w:t>
      </w:r>
      <w:r>
        <w:rPr>
          <w:color w:val="000000"/>
        </w:rPr>
        <w:t xml:space="preserve"> </w:t>
      </w:r>
      <w:r>
        <w:rPr>
          <w:rFonts w:ascii="Times New Roman;serif" w:hAnsi="Times New Roman;serif"/>
          <w:b w:val="false"/>
          <w:color w:val="000000"/>
          <w:sz w:val="24"/>
        </w:rPr>
        <w:t>(such annual</w:t>
      </w:r>
      <w:r>
        <w:rPr>
          <w:color w:val="000000"/>
        </w:rPr>
        <w:t xml:space="preserve"> </w:t>
      </w:r>
      <w:r>
        <w:rPr>
          <w:rFonts w:ascii="Times New Roman;serif" w:hAnsi="Times New Roman;serif"/>
          <w:b w:val="false"/>
          <w:color w:val="000000"/>
          <w:sz w:val="24"/>
        </w:rPr>
        <w:t>base salary,</w:t>
      </w:r>
      <w:r>
        <w:rPr>
          <w:color w:val="000000"/>
        </w:rPr>
        <w:t xml:space="preserve"> </w:t>
      </w:r>
      <w:r>
        <w:rPr>
          <w:rFonts w:ascii="Times New Roman;serif" w:hAnsi="Times New Roman;serif"/>
          <w:b w:val="false"/>
          <w:color w:val="000000"/>
          <w:sz w:val="24"/>
        </w:rPr>
        <w:t>as it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increased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 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u w:val="single"/>
        </w:rPr>
        <w:t>Base</w:t>
      </w:r>
      <w:r>
        <w:rPr>
          <w:color w:val="000000"/>
          <w:u w:val="single"/>
        </w:rPr>
        <w:t xml:space="preserve"> </w:t>
      </w:r>
      <w:r>
        <w:rPr>
          <w:rFonts w:ascii="Times New Roman;serif" w:hAnsi="Times New Roman;serif"/>
          <w:b w:val="false"/>
          <w:color w:val="000000"/>
          <w:sz w:val="24"/>
          <w:u w:val="single"/>
        </w:rPr>
        <w:t>Salary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reviewed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least</w:t>
      </w:r>
      <w:r>
        <w:rPr>
          <w:color w:val="000000"/>
        </w:rPr>
        <w:t xml:space="preserve"> </w:t>
      </w:r>
      <w:r>
        <w:rPr>
          <w:rFonts w:ascii="Times New Roman;serif" w:hAnsi="Times New Roman;serif"/>
          <w:b w:val="false"/>
          <w:color w:val="000000"/>
          <w:sz w:val="24"/>
        </w:rPr>
        <w:t>annually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Compensation</w:t>
      </w:r>
      <w:r>
        <w:rPr>
          <w:color w:val="000000"/>
          <w:u w:val="single"/>
        </w:rPr>
        <w:t xml:space="preserv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pursuant to its normal performance review policies for senior executives. The Compensation Committee may, but shall not be required to, increase (but not decrease, unless the Executive otherwise agrees in writing) the Executive’s Base Salary at any time for any reason. The Base Salary shall be payable in accordance with the Company’s usual pay practices (including tax withholding), but in no event less frequently than monthly.</w:t>
      </w:r>
    </w:p>
    <w:p>
      <w:pPr>
        <w:pStyle w:val="TextBody"/>
        <w:bidi w:val="0"/>
        <w:spacing w:lineRule="auto" w:line="300" w:before="79"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w:t>
      </w:r>
      <w:r>
        <w:rPr>
          <w:color w:val="000000"/>
          <w:u w:val="single"/>
        </w:rPr>
        <w:t xml:space="preserve"> </w:t>
      </w:r>
      <w:r>
        <w:rPr>
          <w:rFonts w:ascii="Times New Roman;serif" w:hAnsi="Times New Roman;serif"/>
          <w:b w:val="false"/>
          <w:color w:val="000000"/>
          <w:sz w:val="24"/>
          <w:u w:val="single"/>
        </w:rPr>
        <w:t>Bonus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each calendar</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 Term, the Executive will be</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u w:val="single"/>
        </w:rPr>
        <w:t>Bonus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bonus 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program applicable</w:t>
      </w:r>
      <w:r>
        <w:rPr>
          <w:color w:val="000000"/>
        </w:rPr>
        <w:t xml:space="preserve"> </w:t>
      </w:r>
      <w:r>
        <w:rPr>
          <w:rFonts w:ascii="Times New Roman;serif" w:hAnsi="Times New Roman;serif"/>
          <w:b w:val="false"/>
          <w:color w:val="000000"/>
          <w:sz w:val="24"/>
        </w:rPr>
        <w:t>to senior executives, targeted at 150% of the</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 paid 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u w:val="single"/>
        </w:rPr>
        <w:t>Target</w:t>
      </w:r>
      <w:r>
        <w:rPr>
          <w:color w:val="000000"/>
          <w:u w:val="single"/>
        </w:rPr>
        <w:t xml:space="preserve"> </w:t>
      </w:r>
      <w:r>
        <w:rPr>
          <w:rFonts w:ascii="Times New Roman;serif" w:hAnsi="Times New Roman;serif"/>
          <w:b w:val="false"/>
          <w:color w:val="000000"/>
          <w:sz w:val="24"/>
          <w:u w:val="single"/>
        </w:rPr>
        <w:t>Bonus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actual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for any year shall be determined by the Compensation Committee. In determining the Bonus 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discretion</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such criteria as it deems relevant or necessary in its discretion, including, without limitation, whether the Executive fulfills any individual goals and objectives for such year set by the Board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industry</w:t>
      </w:r>
      <w:r>
        <w:rPr>
          <w:color w:val="000000"/>
        </w:rPr>
        <w:t xml:space="preserve"> </w:t>
      </w:r>
      <w:r>
        <w:rPr>
          <w:rFonts w:ascii="Times New Roman;serif" w:hAnsi="Times New Roman;serif"/>
          <w:b w:val="false"/>
          <w:color w:val="000000"/>
          <w:sz w:val="24"/>
        </w:rPr>
        <w:t>factors.</w:t>
      </w:r>
      <w:r>
        <w:rPr>
          <w:color w:val="000000"/>
        </w:rPr>
        <w:t xml:space="preserve"> </w:t>
      </w:r>
      <w:r>
        <w:rPr>
          <w:rFonts w:ascii="Times New Roman;serif" w:hAnsi="Times New Roman;serif"/>
          <w:b w:val="false"/>
          <w:color w:val="000000"/>
          <w:sz w:val="24"/>
        </w:rPr>
        <w:t xml:space="preserve">Any such individual and the Company’s goals and objectives may be, but need not be, set forth in a written plan approved by the Compensation Committee before or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00" w:before="79" w:after="283"/>
        <w:jc w:val="both"/>
        <w:rPr/>
      </w:pPr>
      <w:r>
        <w:rPr>
          <w:rFonts w:ascii="Times New Roman;serif" w:hAnsi="Times New Roman;serif"/>
          <w:b w:val="false"/>
          <w:color w:val="000000"/>
          <w:sz w:val="24"/>
        </w:rPr>
        <w:t>applicable year, after consultation with the Executive. Notwithstanding the foregoing, the Bonus with respect to 2026 shall be prorated for the Base Salary paid in 2026. The payment of any Bonus, to the extent any Bonus becomes payable, will be made promptly in the calendar year following that to which the payment relates, on the date on which annual bonuses are paid generally to the Company’s senior executives, but in no event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the calendar year following the calendar year with respect to which such Bonus relates.</w:t>
      </w:r>
    </w:p>
    <w:p>
      <w:pPr>
        <w:pStyle w:val="TextBody"/>
        <w:bidi w:val="0"/>
        <w:spacing w:lineRule="auto" w:line="288" w:before="79"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Sign-On Equity Award</w:t>
      </w:r>
      <w:r>
        <w:rPr>
          <w:rFonts w:ascii="Times New Roman;serif" w:hAnsi="Times New Roman;serif"/>
          <w:b w:val="false"/>
          <w:color w:val="000000"/>
          <w:sz w:val="24"/>
        </w:rPr>
        <w:t>. On the Start Date, the REIT shall grant to the Executive a restricted stock grant for shares of the REIT’s common stock with a grant date value of $2,500,000 (the “</w:t>
      </w:r>
      <w:r>
        <w:rPr>
          <w:rFonts w:ascii="Times New Roman;serif" w:hAnsi="Times New Roman;serif"/>
          <w:b w:val="false"/>
          <w:color w:val="000000"/>
          <w:sz w:val="24"/>
          <w:u w:val="single"/>
        </w:rPr>
        <w:t>Sign-On Award</w:t>
      </w:r>
      <w:r>
        <w:rPr>
          <w:color w:val="000000"/>
        </w:rPr>
        <w:t>”</w:t>
      </w:r>
      <w:r>
        <w:rPr>
          <w:rFonts w:ascii="Times New Roman;serif" w:hAnsi="Times New Roman;serif"/>
          <w:b w:val="false"/>
          <w:color w:val="000000"/>
          <w:sz w:val="24"/>
        </w:rPr>
        <w:t>). 30% of the Sign-On Award’s dollar-denominated value shall be comprised of time-vesting restricted shares and 70% of the Sign-On Award’s dollar-denominated value shall be comprised of performance vesting units. The shares granted under the Sign-On Award shall vest based on the same terms and performance period used for 2026 grants made to the Company’s other executive officers under the Sun Communities, Inc. 2015 Equity Incentive Plan, as amended (the “</w:t>
      </w:r>
      <w:r>
        <w:rPr>
          <w:rFonts w:ascii="Times New Roman;serif" w:hAnsi="Times New Roman;serif"/>
          <w:b w:val="false"/>
          <w:color w:val="000000"/>
          <w:sz w:val="24"/>
          <w:u w:val="single"/>
        </w:rPr>
        <w:t>2015 Incentive Plan</w:t>
      </w:r>
      <w:r>
        <w:rPr>
          <w:rFonts w:ascii="Times New Roman;serif" w:hAnsi="Times New Roman;serif"/>
          <w:b w:val="false"/>
          <w:color w:val="000000"/>
          <w:sz w:val="24"/>
        </w:rPr>
        <w:t>,” and together with any successor equity incentive plans of the Company, the “</w:t>
      </w:r>
      <w:r>
        <w:rPr>
          <w:rFonts w:ascii="Times New Roman;serif" w:hAnsi="Times New Roman;serif"/>
          <w:b w:val="false"/>
          <w:color w:val="000000"/>
          <w:sz w:val="24"/>
          <w:u w:val="single"/>
        </w:rPr>
        <w:t>Incentive Plans</w:t>
      </w:r>
      <w:r>
        <w:rPr>
          <w:color w:val="000000"/>
        </w:rPr>
        <w:t>”</w:t>
      </w:r>
      <w:r>
        <w:rPr>
          <w:rFonts w:ascii="Times New Roman;serif" w:hAnsi="Times New Roman;serif"/>
          <w:b w:val="false"/>
          <w:color w:val="000000"/>
          <w:sz w:val="24"/>
        </w:rPr>
        <w:t>). The terms and conditions of the Sign-On Award will be set forth in a separate award agreement in a form prescribed by the REIT consistent with the terms of this Agreement and the REIT’s prior form award agreements granted to other senior executives of the Company in 2026. Except as otherwise provided in this Agreement, the Sign-On Award shall be governed in all respects by the terms and conditions of the Incentive Plans. Notwithstanding the foregoing, in the event of any conflict or inconsistency between the award agreement or the Incentive Plans, on the one hand, and Sections 7 or 9 of this Agreement, on the other hand, Sections 7 and 9 of this Agreement shall control, and no entire-agreement, integration or similar provision of the award agreement or the Incentive Plans shall be deemed to supersede, amend, limit or waive Sections 7 or 9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Annual Equity Award</w:t>
      </w:r>
      <w:r>
        <w:rPr>
          <w:rFonts w:ascii="Times New Roman;serif" w:hAnsi="Times New Roman;serif"/>
          <w:b w:val="false"/>
          <w:color w:val="000000"/>
          <w:sz w:val="24"/>
        </w:rPr>
        <w:t>. The Executive will be eligible to receive annual equity awards in amounts commensurate with the Executive’s position as Chief Financial Officer</w:t>
      </w:r>
      <w:r>
        <w:rPr>
          <w:color w:val="000000"/>
        </w:rPr>
        <w:t xml:space="preserve"> </w:t>
      </w:r>
      <w:r>
        <w:rPr>
          <w:rFonts w:ascii="Times New Roman;serif" w:hAnsi="Times New Roman;serif"/>
          <w:b w:val="false"/>
          <w:color w:val="000000"/>
          <w:sz w:val="24"/>
        </w:rPr>
        <w:t>of the REIT and otherwise on terms no less favorable</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senior</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 the</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agreed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the Executive and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Relocation Bonus.</w:t>
      </w:r>
      <w:r>
        <w:rPr>
          <w:color w:val="000000"/>
        </w:rPr>
        <w:t xml:space="preserve"> </w:t>
      </w:r>
      <w:r>
        <w:rPr>
          <w:rFonts w:ascii="Times New Roman;serif" w:hAnsi="Times New Roman;serif"/>
          <w:b w:val="false"/>
          <w:color w:val="000000"/>
          <w:sz w:val="24"/>
        </w:rPr>
        <w:t xml:space="preserve">Promptly after the Start Date and in all events no later than December 31, 2026, the Executive shall relocate his principal place of residence to a location in the greater Detroit metro area within a reasonable commuting distance of the Company’s headquarters (the “Relocation”). In furtherance of the Relocation, the Company shall pay to the Executive a one-time bonus of $100,000 (the “Relocation Bonus”) that is intended to cover the Executive’s expenses associated with the Relocation, which shall be paid on the first payroll date following the Start Date and shall be subject to withholding for applicable taxes. If the Company terminates the Executive’s employment for Cause or if the Executive resigns without Good Reason, in either case, prior to the first anniversary of the Start Date, then (i) the Executive shall be required to repay a pro-rata portion of the Relocation Bonus on an after-tax basis to the Company within 30 days following the Executive’s termination date (calculated by multiplying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Relocation Bonus by a fraction, the numerator of which is the number of days during the period commencing on (but excluding) the date of such termination of employment and ending on (and including) the first anniversary of the Start Date, and the denominator of which is 365), and (ii) the Company shall have a right to offset, to the extent permitted under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any such reimbursement against any sums it might otherwise owe to the Executive in any such event.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Disability</w:t>
      </w:r>
      <w:r>
        <w:rPr>
          <w:rFonts w:ascii="Times New Roman;serif" w:hAnsi="Times New Roman;serif"/>
          <w:b w:val="false"/>
          <w:color w:val="000000"/>
          <w:sz w:val="24"/>
        </w:rPr>
        <w:t>. During any period that the Executive fails to perform his duties hereunder as a result of incapacity due to physical or mental illness and is eligible to receive benefits under any Company-sponsored disability benefit plans or programs (the “</w:t>
      </w:r>
      <w:r>
        <w:rPr>
          <w:rFonts w:ascii="Times New Roman;serif" w:hAnsi="Times New Roman;serif"/>
          <w:b w:val="false"/>
          <w:color w:val="000000"/>
          <w:sz w:val="24"/>
          <w:u w:val="single"/>
        </w:rPr>
        <w:t>Disability Period</w:t>
      </w:r>
      <w:r>
        <w:rPr>
          <w:color w:val="000000"/>
        </w:rPr>
        <w:t>”</w:t>
      </w:r>
      <w:r>
        <w:rPr>
          <w:rFonts w:ascii="Times New Roman;serif" w:hAnsi="Times New Roman;serif"/>
          <w:b w:val="false"/>
          <w:color w:val="000000"/>
          <w:sz w:val="24"/>
        </w:rPr>
        <w:t>), the Executive shall be entitled to receive any amount that the Executive is eligible to receive under any Company-sponsored disability benefit plans or programs (the</w:t>
      </w:r>
      <w:r>
        <w:rPr>
          <w:color w:val="000000"/>
        </w:rPr>
        <w:t xml:space="preserve"> “</w:t>
      </w:r>
      <w:r>
        <w:rPr>
          <w:rFonts w:ascii="Times New Roman;serif" w:hAnsi="Times New Roman;serif"/>
          <w:b w:val="false"/>
          <w:color w:val="000000"/>
          <w:sz w:val="24"/>
          <w:u w:val="single"/>
        </w:rPr>
        <w:t>Program</w:t>
      </w:r>
      <w:r>
        <w:rPr>
          <w:color w:val="000000"/>
          <w:u w:val="single"/>
        </w:rPr>
        <w:t xml:space="preserve"> </w:t>
      </w:r>
      <w:r>
        <w:rPr>
          <w:rFonts w:ascii="Times New Roman;serif" w:hAnsi="Times New Roman;serif"/>
          <w:b w:val="false"/>
          <w:color w:val="000000"/>
          <w:sz w:val="24"/>
          <w:u w:val="single"/>
        </w:rPr>
        <w:t>Benefits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Disability</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his employment is terminated by the Company pursuant to Section 6(a)(iii) below, the Company shall pay to the Executive, for each applicable payroll period, the difference, if any, between the Program Benefits received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for such payroll period 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benefits at the rate in effect for such period. Any payments to the Executive under the preceding sentences shall be paid in accordance with the Company’s regular payroll practices. In addition, if, during the Disability Period, the date on which the Company otherwise pays Bonuses to active senior executives of the Company for a fiscal year occurs, the Executive will receive a payment equal to the Executive’s Target Bonus for such fiscal year (without duplication of any Bonus for the same period of service).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Clawback</w:t>
      </w:r>
      <w:r>
        <w:rPr>
          <w:rFonts w:ascii="Times New Roman;serif" w:hAnsi="Times New Roman;serif"/>
          <w:b w:val="false"/>
          <w:color w:val="000000"/>
          <w:sz w:val="24"/>
        </w:rPr>
        <w:t>. Notwithstanding anything to the contrary herein, the Executive acknowledges and agrees that the Bonus and any other incentive compensation paid or payable to the Executive hereunder is subject to the Sun Communities, Inc. Executive Compensation Recovery (Clawback) Policy (the “</w:t>
      </w:r>
      <w:r>
        <w:rPr>
          <w:rFonts w:ascii="Times New Roman;serif" w:hAnsi="Times New Roman;serif"/>
          <w:b w:val="false"/>
          <w:color w:val="000000"/>
          <w:sz w:val="24"/>
          <w:u w:val="single"/>
        </w:rPr>
        <w:t>Clawback Policy</w:t>
      </w:r>
      <w:r>
        <w:rPr>
          <w:color w:val="000000"/>
        </w:rPr>
        <w:t>”</w:t>
      </w:r>
      <w:r>
        <w:rPr>
          <w:rFonts w:ascii="Times New Roman;serif" w:hAnsi="Times New Roman;serif"/>
          <w:b w:val="false"/>
          <w:color w:val="000000"/>
          <w:sz w:val="24"/>
        </w:rPr>
        <w:t>), and any similar or successor clawback or compensation recovery policy that may be in effect from time to time to the extent required by applicable law. The Executive acknowledges and confirms that he (i) has received and reviewed a copy of the Clawback Policy, (ii) is, and will continue to be, subject to the Clawback Policy, and that the Clawback Policy will apply both during and after his employment with the Company. Further, the Executive agrees to abide by the 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Clawback</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returning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Erroneously Awarded</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Clawback</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 required by, and in a manner permitted by, the Clawback Policy.</w:t>
      </w:r>
    </w:p>
    <w:p>
      <w:pPr>
        <w:pStyle w:val="TextBody"/>
        <w:bidi w:val="0"/>
        <w:spacing w:lineRule="auto" w:line="288" w:before="241" w:after="24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Benefits</w:t>
      </w:r>
      <w:r>
        <w:rPr>
          <w:rFonts w:ascii="Times New Roman;serif" w:hAnsi="Times New Roman;serif"/>
          <w:b w:val="false"/>
          <w:color w:val="000000"/>
          <w:sz w:val="24"/>
        </w:rPr>
        <w:t>.</w:t>
      </w:r>
    </w:p>
    <w:p>
      <w:pPr>
        <w:pStyle w:val="TextBody"/>
        <w:bidi w:val="0"/>
        <w:spacing w:lineRule="auto" w:line="288"/>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The Executive shall be eligible for life, medical, dental, optometry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hospitalization</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himself,</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spouse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 xml:space="preserve">family members commensurate with similarly situated executive employees of the Company and in accordance with plan documents and the Company’s policies and procedures. The Executive must satisfy all plan requirements in order to enroll or continue in any insurance benefit plans. At the discretion of the Compensation Committee, the Executive may also be entitled to participate in any other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benefit plan that is generally available to senior executives of the Company, in accordance with, and subject to, the terms and conditions of such plan.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Savings Plans</w:t>
      </w:r>
      <w:r>
        <w:rPr>
          <w:rFonts w:ascii="Times New Roman;serif" w:hAnsi="Times New Roman;serif"/>
          <w:b w:val="false"/>
          <w:color w:val="000000"/>
          <w:sz w:val="24"/>
        </w:rPr>
        <w:t>. The Executive, at his election, may participate, during his employment</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retirement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401(k)</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savings</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 generally available from time to time to other executive employees of the Company</w:t>
      </w:r>
      <w:r>
        <w:rPr>
          <w:color w:val="000000"/>
        </w:rPr>
        <w:t xml:space="preserve"> </w:t>
      </w:r>
      <w:r>
        <w:rPr>
          <w:rFonts w:ascii="Times New Roman;serif" w:hAnsi="Times New Roman;serif"/>
          <w:b w:val="false"/>
          <w:color w:val="000000"/>
          <w:sz w:val="24"/>
        </w:rPr>
        <w:t>and for which the</w:t>
      </w:r>
      <w:r>
        <w:rPr>
          <w:color w:val="000000"/>
        </w:rPr>
        <w:t xml:space="preserve"> </w:t>
      </w:r>
      <w:r>
        <w:rPr>
          <w:rFonts w:ascii="Times New Roman;serif" w:hAnsi="Times New Roman;serif"/>
          <w:b w:val="false"/>
          <w:color w:val="000000"/>
          <w:sz w:val="24"/>
        </w:rPr>
        <w:t>Executive qualifies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plans (and nothing in this Agreement shall or shall be deemed to in any way affect the Executive’s right and benefits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herein), in accordance with, and subject to, the terms and conditions of such plan. Nothing contained in this Agreement shall be construed to create any obligation on the part of the Company to establish any such plan or to maintain the existence of any such plan which may be in effect from time to time.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Annual Paid Vacation</w:t>
      </w:r>
      <w:r>
        <w:rPr>
          <w:rFonts w:ascii="Times New Roman;serif" w:hAnsi="Times New Roman;serif"/>
          <w:b w:val="false"/>
          <w:color w:val="000000"/>
          <w:sz w:val="24"/>
        </w:rPr>
        <w:t>. The Executive shall be entitled to four (4) weeks’ paid vacation time each year, pro-rated for partial years, which may be used for any purpose including vacation, sick or personal time. The Executive shall not take more than fourteen (14) consecutive calendar days of vacation without the prior approval of the REIT’s Chief Executive Officer. Unless otherwise approved by the REIT’s Chief Executive Officer in writing, vacation time does not roll over from one year to the next. Unused vacation time shall not be paid out at the end of the year or upon termination of employment for any reason.</w:t>
      </w:r>
    </w:p>
    <w:p>
      <w:pPr>
        <w:pStyle w:val="TextBody"/>
        <w:bidi w:val="0"/>
        <w:spacing w:lineRule="auto" w:line="288" w:before="241"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Reimbursement of Expenses</w:t>
      </w:r>
      <w:r>
        <w:rPr>
          <w:rFonts w:ascii="Times New Roman;serif" w:hAnsi="Times New Roman;serif"/>
          <w:b w:val="false"/>
          <w:color w:val="000000"/>
          <w:sz w:val="24"/>
        </w:rPr>
        <w:t>. During the term of this Agreement, the Company shall reimburse the Executive for reasonable and properly documented out-of-pocket business and/or entertainment expenses incurred by the Executive in connection with his duties under this Agreement in accordance with the Company’s policies and procedures.</w:t>
      </w:r>
    </w:p>
    <w:p>
      <w:pPr>
        <w:pStyle w:val="TextBody"/>
        <w:bidi w:val="0"/>
        <w:spacing w:lineRule="auto" w:line="288" w:before="240" w:after="283"/>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Termination</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Employment</w:t>
      </w:r>
      <w:r>
        <w:rPr>
          <w:rFonts w:ascii="Times New Roman;serif" w:hAnsi="Times New Roman;serif"/>
          <w:b w:val="false"/>
          <w:color w:val="000000"/>
          <w:sz w:val="24"/>
        </w:rPr>
        <w:t>.</w:t>
      </w:r>
    </w:p>
    <w:p>
      <w:pPr>
        <w:pStyle w:val="TextBody"/>
        <w:bidi w:val="0"/>
        <w:spacing w:lineRule="auto" w:line="288" w:before="240" w:after="283"/>
        <w:ind w:left="0" w:right="0" w:hanging="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terminated:</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(i)by</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Reason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 below)</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less than sixty (60) days written notice;</w:t>
      </w:r>
    </w:p>
    <w:p>
      <w:pPr>
        <w:pStyle w:val="TextBody"/>
        <w:bidi w:val="0"/>
        <w:spacing w:lineRule="auto" w:line="288" w:before="240" w:after="283"/>
        <w:ind w:left="0" w:right="0" w:hanging="720"/>
        <w:jc w:val="both"/>
        <w:rPr/>
      </w:pPr>
      <w:r>
        <w:rPr>
          <w:rFonts w:ascii="Times New Roman;serif" w:hAnsi="Times New Roman;serif"/>
          <w:b w:val="false"/>
          <w:color w:val="000000"/>
          <w:sz w:val="24"/>
        </w:rPr>
        <w:t>(ii)by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at any time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Cause, without prior notice;</w:t>
      </w:r>
    </w:p>
    <w:p>
      <w:pPr>
        <w:pStyle w:val="TextBody"/>
        <w:bidi w:val="0"/>
        <w:spacing w:lineRule="auto" w:line="288" w:before="240" w:after="283"/>
        <w:ind w:left="0" w:right="0" w:hanging="720"/>
        <w:jc w:val="both"/>
        <w:rPr/>
      </w:pPr>
      <w:r>
        <w:rPr>
          <w:rFonts w:ascii="Times New Roman;serif" w:hAnsi="Times New Roman;serif"/>
          <w:b w:val="false"/>
          <w:color w:val="000000"/>
          <w:sz w:val="24"/>
        </w:rPr>
        <w:t>(iii)by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permanent</w:t>
      </w:r>
      <w:r>
        <w:rPr>
          <w:color w:val="000000"/>
        </w:rPr>
        <w:t xml:space="preserve"> </w:t>
      </w:r>
      <w:r>
        <w:rPr>
          <w:rFonts w:ascii="Times New Roman;serif" w:hAnsi="Times New Roman;serif"/>
          <w:b w:val="false"/>
          <w:color w:val="000000"/>
          <w:sz w:val="24"/>
        </w:rPr>
        <w:t>disability”</w:t>
      </w:r>
      <w:r>
        <w:rPr>
          <w:color w:val="000000"/>
        </w:rPr>
        <w:t xml:space="preserve"> </w:t>
      </w:r>
      <w:r>
        <w:rPr>
          <w:rFonts w:ascii="Times New Roman;serif" w:hAnsi="Times New Roman;serif"/>
          <w:b w:val="false"/>
          <w:color w:val="000000"/>
          <w:sz w:val="24"/>
        </w:rPr>
        <w:t>(as defined</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less</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thirty (30) days</w:t>
      </w:r>
      <w:r>
        <w:rPr>
          <w:color w:val="000000"/>
        </w:rPr>
        <w:t xml:space="preserve"> </w:t>
      </w:r>
      <w:r>
        <w:rPr>
          <w:rFonts w:ascii="Times New Roman;serif" w:hAnsi="Times New Roman;serif"/>
          <w:b w:val="false"/>
          <w:color w:val="000000"/>
          <w:sz w:val="24"/>
        </w:rPr>
        <w:t>written notice;</w:t>
      </w:r>
    </w:p>
    <w:p>
      <w:pPr>
        <w:pStyle w:val="TextBody"/>
        <w:bidi w:val="0"/>
        <w:spacing w:lineRule="auto" w:line="288" w:before="240" w:after="283"/>
        <w:ind w:left="0" w:right="0" w:hanging="720"/>
        <w:jc w:val="both"/>
        <w:rPr/>
      </w:pPr>
      <w:r>
        <w:rPr>
          <w:rFonts w:ascii="Times New Roman;serif" w:hAnsi="Times New Roman;serif"/>
          <w:b w:val="false"/>
          <w:color w:val="000000"/>
          <w:sz w:val="24"/>
        </w:rPr>
        <w:t>(iv)upon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death;</w:t>
      </w:r>
      <w:r>
        <w:rPr>
          <w:color w:val="000000"/>
        </w:rPr>
        <w:t xml:space="preserve"> </w:t>
      </w:r>
      <w:r>
        <w:rPr>
          <w:rFonts w:ascii="Times New Roman;serif" w:hAnsi="Times New Roman;serif"/>
          <w:b w:val="false"/>
          <w:color w:val="000000"/>
          <w:sz w:val="24"/>
        </w:rPr>
        <w:t>and</w:t>
      </w:r>
    </w:p>
    <w:p>
      <w:pPr>
        <w:pStyle w:val="TextBody"/>
        <w:bidi w:val="0"/>
        <w:spacing w:lineRule="auto" w:line="288" w:before="240" w:after="283"/>
        <w:ind w:left="0" w:right="0" w:hanging="720"/>
        <w:jc w:val="both"/>
        <w:rPr/>
      </w:pPr>
      <w:r>
        <w:rPr>
          <w:rFonts w:ascii="Times New Roman;serif" w:hAnsi="Times New Roman;serif"/>
          <w:b w:val="false"/>
          <w:color w:val="000000"/>
          <w:sz w:val="24"/>
        </w:rPr>
        <w:t>(v)by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Reason.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(b)Any termination of the Executive’s employment by the Company or by the Executive under this Section 6 (other than pursuant to Section 6(a)(iv) (Death))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communicated by a written notice to the other party hereto, indicating the specific termination provision in this Agreement relied upon, setting forth in reasonable detail any facts and circumstances claimed to provide a basis for termination of the Executive’s employment under the provision so indicated, and specifying an effective date of termination, which notice shall be delivered within the applicable time periods set forth in Sections 6(a)(i) or (iii) (the “</w:t>
      </w:r>
      <w:r>
        <w:rPr>
          <w:rFonts w:ascii="Times New Roman;serif" w:hAnsi="Times New Roman;serif"/>
          <w:b w:val="false"/>
          <w:color w:val="000000"/>
          <w:sz w:val="24"/>
          <w:u w:val="single"/>
        </w:rPr>
        <w:t>Notice Period</w:t>
      </w:r>
      <w:r>
        <w:rPr>
          <w:color w:val="000000"/>
        </w:rPr>
        <w:t>”</w:t>
      </w:r>
      <w:r>
        <w:rPr>
          <w:rFonts w:ascii="Times New Roman;serif" w:hAnsi="Times New Roman;serif"/>
          <w:b w:val="false"/>
          <w:color w:val="000000"/>
          <w:sz w:val="24"/>
        </w:rPr>
        <w:t>); provided that the Company may earlier terminate the Executive’s employment during such Notice Period and pay to the Executive all Base Salary, benefits and other rights due to the Executive under this Agreement during such Notice Period (as if the Executive continued employment) instead of employing the Executive during such Notice Period and any amounts calculated pursuant to Sections 7(a)(iii) and 9(a)(iii) shall assume that the effective date of termination occurred on the last day of the full notice period.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(c)For purposes hereof,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(i) a material breach of this Agreement by the Executive that remains uncured for a period of twenty (20) days after the Executive’s</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 failure or refusal, in any material manner, to perform all lawful services required of him 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refusal</w:t>
      </w:r>
      <w:r>
        <w:rPr>
          <w:color w:val="000000"/>
        </w:rPr>
        <w:t xml:space="preserve"> </w:t>
      </w:r>
      <w:r>
        <w:rPr>
          <w:rFonts w:ascii="Times New Roman;serif" w:hAnsi="Times New Roman;serif"/>
          <w:b w:val="false"/>
          <w:color w:val="000000"/>
          <w:sz w:val="24"/>
        </w:rPr>
        <w:t>continues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than thirty</w:t>
      </w:r>
      <w:r>
        <w:rPr>
          <w:color w:val="000000"/>
        </w:rPr>
        <w:t xml:space="preserve"> </w:t>
      </w:r>
      <w:r>
        <w:rPr>
          <w:rFonts w:ascii="Times New Roman;serif" w:hAnsi="Times New Roman;serif"/>
          <w:b w:val="false"/>
          <w:color w:val="000000"/>
          <w:sz w:val="24"/>
        </w:rPr>
        <w:t>(30)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 the Executive’s receipt of written notice of such deficiency; (iii) the Executive’s commission of fraud, embezzlement or theft, or a crime involving dishonesty or fraud, in any case, whether or not involving the Company, that in the reasonable good faith judgment of the Company, renders the Executive’s continued employment materially harmful to the Company’s reputation or business; (iv) the Executive’s misappropriation of material Company assets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(v)</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conviction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entry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plea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guilty or no contest by the Executive with respect to any felony that adversely affects the Company’s reputation or business in any material respect; (vi) any material violation by the Executive of the Company’s (or any of its subsidiaries’) code of conduct or other material written policy pursuant to which the Executive would be subject to immediate dismissal; or (vii) any act of personal dishonesty by the Executive that involves personal profit in a material amount in connection with his employment by the Company. Cause shall be reasonably determined by the Company in good faith.</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4"/>
        </w:rPr>
        <w:t>Any act, or failure to act, by the Executive shall be conclusively presumed to have been done in good faith and in the best interests of the Company and its Affiliates if it was based upon: (i) authority given pursuant to a resolution duly adopted by the Board (or, if the REIT is not the ultimate parent entity of the Company and is not publicly traded, the board of directors or equivalent governing body of the Company’s ultimate parent (the “</w:t>
      </w:r>
      <w:r>
        <w:rPr>
          <w:rFonts w:ascii="Times New Roman;serif" w:hAnsi="Times New Roman;serif"/>
          <w:b w:val="false"/>
          <w:color w:val="000000"/>
          <w:sz w:val="24"/>
          <w:u w:val="single"/>
        </w:rPr>
        <w:t>Applicable Board</w:t>
      </w:r>
      <w:r>
        <w:rPr>
          <w:color w:val="000000"/>
        </w:rPr>
        <w:t>”</w:t>
      </w:r>
      <w:r>
        <w:rPr>
          <w:rFonts w:ascii="Times New Roman;serif" w:hAnsi="Times New Roman;serif"/>
          <w:b w:val="false"/>
          <w:color w:val="000000"/>
          <w:sz w:val="24"/>
        </w:rPr>
        <w:t xml:space="preserve">)); (ii) the instructions of the Chief Executive Officer or a senior officer of the Company and its Affiliates; or (iii) the advice of counsel for the Company and its Affiliates. Furthermore, following a Change in Control (as defined below), the Executive’s termination shall not be deemed to be for Cause unless the Applicable Board has: (A) called a meeting for such purpose after providing reasonable notice to the Executive; (B) given the Executive an opportunity, together with the Executive’s counsel, to be heard before the Applicable Board; and (C) adopted a resolution by the affirmative vote of not less than a majority of the entire membership of the Applicable Board finding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that, in its good faith opinion, the Executive is guilty of conduct constituting Cause. A copy of such resolution shall be delivered to the Executive.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(d)For purposes hereof, the Executive’s “</w:t>
      </w:r>
      <w:r>
        <w:rPr>
          <w:rFonts w:ascii="Times New Roman;serif" w:hAnsi="Times New Roman;serif"/>
          <w:b w:val="false"/>
          <w:color w:val="000000"/>
          <w:sz w:val="24"/>
          <w:u w:val="single"/>
        </w:rPr>
        <w:t>permanent disability</w:t>
      </w:r>
      <w:r>
        <w:rPr>
          <w:color w:val="000000"/>
        </w:rPr>
        <w:t xml:space="preserve">” </w:t>
      </w:r>
      <w:r>
        <w:rPr>
          <w:rFonts w:ascii="Times New Roman;serif" w:hAnsi="Times New Roman;serif"/>
          <w:b w:val="false"/>
          <w:color w:val="000000"/>
          <w:sz w:val="24"/>
        </w:rPr>
        <w:t>shall be deemed to have occurred if the Executive is unable to engage in any substantial gainful activity by reason of any medically determinable physical or mental impairment that can 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death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last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continuous</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less than twelve (12) months, as determined by a physician selected by the Company or its insurers and reasonably acceptable to the Executive or the Executive’s legal representatives.</w:t>
      </w:r>
    </w:p>
    <w:p>
      <w:pPr>
        <w:pStyle w:val="TextBody"/>
        <w:bidi w:val="0"/>
        <w:spacing w:lineRule="auto" w:line="288" w:before="241" w:after="240"/>
        <w:ind w:left="0" w:right="0" w:firstLine="720"/>
        <w:jc w:val="both"/>
        <w:rPr/>
      </w:pPr>
      <w:r>
        <w:rPr>
          <w:rFonts w:ascii="Times New Roman;serif" w:hAnsi="Times New Roman;serif"/>
          <w:b w:val="false"/>
          <w:color w:val="000000"/>
          <w:sz w:val="24"/>
        </w:rPr>
        <w:t>(e)For purposes hereof,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mean: (i) a material breach of this Agreement by the Company; (ii) a material diminution of, or material reduction or adverse alteration of, the Executive’s duties, authority or responsibilities without the consent of the Executive, or the Company’s assignment of duties, responsibilities or reporting requirements that are materially inconsistent with his positions or that materially expand his duties, responsibilities, or reporting requirements beyond the scope of the Executive’s role without the consent of the Executive; (iii) any requirement by the Company that the Executive relocate the Executive’s primary work location to a headquarters location outside of the Detroit, Michigan metropolitan area; (iv) a material reduction in the Executive’s Base Salary or Target Bonus; or (v) upon a Change in Control, the failure of the Company or any successor to expressly assume this Agreement pursuant to Section 16(b). Written notice of an event constituting Good Reason must be provided to the Company by the Executive within ninety (90) days of its occurrence. The Company will have thirty (30) days to cure such occurrence, and the Executive may not terminate this Agreement due to Good Reason more than thirty (30) days following the last day of such cure period (and only if the Company has failed to cure).</w:t>
      </w:r>
    </w:p>
    <w:p>
      <w:pPr>
        <w:pStyle w:val="TextBody"/>
        <w:bidi w:val="0"/>
        <w:spacing w:lineRule="auto" w:line="288" w:before="79" w:after="283"/>
        <w:ind w:left="0" w:right="0" w:firstLine="719"/>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Compensation Upon Termination or Disability</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Without Cause or For Good Reason</w:t>
      </w:r>
      <w:r>
        <w:rPr>
          <w:rFonts w:ascii="Times New Roman;serif" w:hAnsi="Times New Roman;serif"/>
          <w:b w:val="false"/>
          <w:color w:val="000000"/>
          <w:sz w:val="24"/>
        </w:rPr>
        <w:t>. If the Company terminates the Executive’s employment under this Agreement without Cause pursuant to Section 6(a)(i) or</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terminates</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Reason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6(a)(v), in each case not within the sixty (60) days prior to or twenty-four (24) months following a Change in Control:</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(i)the Executive shall be entitled to receive a lump sum in cash as soon as reasonably practicable (and no later than thirty (30) days after the effective date of such termination) equal to the sum of the following amounts: (A) Base Salary through the effective date of such termination to the extent not theretofore paid, (B) any business expenses that are reimbursable pursuant to Section 5(d) but have not been reimbursed by the Company as of the date of termination, and (C) any Bonus accrued by the Company and earned by the Executive but unpaid as of the termination date (the sum of the amounts described in subclauses (A), (B) and (C), the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 xml:space="preserve">); provided, that notwithstanding the foregoing, if the Executive has made an irrevocable election under any deferred compensation arrangement subject to Section 409A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Code to defer any portion of the Base Salary or the Bonus described in clause (A) or (C), then for all purposes of this Section 7, such deferral election, and the terms of the applicable arrangement shall apply to the same portion of the amount described in such clause (A) or (C), and such portion shall not be considered as part of the “Accrued Obligations” but shall instead be an “Other Benefit” (as defined below);</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 he</w:t>
      </w:r>
      <w:r>
        <w:rPr>
          <w:color w:val="000000"/>
        </w:rPr>
        <w:t xml:space="preserve"> </w:t>
      </w:r>
      <w:r>
        <w:rPr>
          <w:rFonts w:ascii="Times New Roman;serif" w:hAnsi="Times New Roman;serif"/>
          <w:b w:val="false"/>
          <w:color w:val="000000"/>
          <w:sz w:val="24"/>
        </w:rPr>
        <w:t>is entitled under this Agreement through the effective date of such termination and any other vested benefits under the Company’s employee compensation and benefit plans (the “</w:t>
      </w:r>
      <w:r>
        <w:rPr>
          <w:rFonts w:ascii="Times New Roman;serif" w:hAnsi="Times New Roman;serif"/>
          <w:b w:val="false"/>
          <w:color w:val="000000"/>
          <w:sz w:val="24"/>
          <w:u w:val="single"/>
        </w:rPr>
        <w:t>Other Benefits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(iii)the Executive shall be entitled to receive a pro-rated Bonus for the fiscal year in which the date of termination occurs equal to the actual Bonus the Executive otherwise would have earned for the year in which the date of termination occurs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a fraction, the numerator of which is the number of days in the current fiscal year through the date of termination, and the denominator of which is 365, which Bonus shall be paid by the 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on the date on which the Company otherwise pays Bonuses to senior executives of the Company for such fiscal year;</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(iv)the Executive shall be entitled to receive an amount equal to one and one-half (1.5) times the sum of (A) the Executive’s then-current Base Salary and (B) the Executive’s then-current Target Bonus (in each case disregarding any reduction giving rise to a claim for Good Reason),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eighteen (18) equal</w:t>
      </w:r>
      <w:r>
        <w:rPr>
          <w:color w:val="000000"/>
        </w:rPr>
        <w:t xml:space="preserve"> </w:t>
      </w:r>
      <w:r>
        <w:rPr>
          <w:rFonts w:ascii="Times New Roman;serif" w:hAnsi="Times New Roman;serif"/>
          <w:b w:val="false"/>
          <w:color w:val="000000"/>
          <w:sz w:val="24"/>
        </w:rPr>
        <w:t>monthly</w:t>
      </w:r>
      <w:r>
        <w:rPr>
          <w:color w:val="000000"/>
        </w:rPr>
        <w:t xml:space="preserve"> </w:t>
      </w:r>
      <w:r>
        <w:rPr>
          <w:rFonts w:ascii="Times New Roman;serif" w:hAnsi="Times New Roman;serif"/>
          <w:b w:val="false"/>
          <w:color w:val="000000"/>
          <w:sz w:val="24"/>
        </w:rPr>
        <w:t>installments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 Company’s normal payroll policy;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(v)all of the Executive’s equity awards subject to time-based vesting 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Incentive</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become fully vested;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(vi)the</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forfeiture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equity awards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performance-based</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Incentive</w:t>
      </w:r>
      <w:r>
        <w:rPr>
          <w:color w:val="000000"/>
        </w:rPr>
        <w:t xml:space="preserve"> </w:t>
      </w:r>
      <w:r>
        <w:rPr>
          <w:rFonts w:ascii="Times New Roman;serif" w:hAnsi="Times New Roman;serif"/>
          <w:b w:val="false"/>
          <w:color w:val="000000"/>
          <w:sz w:val="24"/>
        </w:rPr>
        <w:t>Plans shall be governed by the applicable award agreement;</w:t>
      </w:r>
    </w:p>
    <w:p>
      <w:pPr>
        <w:pStyle w:val="TextBody"/>
        <w:bidi w:val="0"/>
        <w:spacing w:lineRule="auto" w:line="288" w:before="79"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(vii)any stock options granted under the Incentive Plans shall be immediately exercisable and may be exercised by the Executive until the first anniversary of the termination date; and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(viii)if the Executive elects continuation coverage under the Consolidated Omnibus Budget Reconciliation Act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pay all premiums for such COBRA coverage on the Executive’s behalf until the earlier of (A) eighteen (18) months following the termination date or (B) the commencement of comparable coverage from another employer (the “</w:t>
      </w:r>
      <w:r>
        <w:rPr>
          <w:rFonts w:ascii="Times New Roman;serif" w:hAnsi="Times New Roman;serif"/>
          <w:b w:val="false"/>
          <w:color w:val="000000"/>
          <w:sz w:val="24"/>
          <w:u w:val="single"/>
        </w:rPr>
        <w:t>Continued Health Benefits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The Company’s obligation to pay or provide the payments and benefits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7(a)(iii) through (viii)</w:t>
      </w:r>
      <w:r>
        <w:rPr>
          <w:color w:val="000000"/>
        </w:rPr>
        <w:t xml:space="preserve"> </w:t>
      </w:r>
      <w:r>
        <w:rPr>
          <w:rFonts w:ascii="Times New Roman;serif" w:hAnsi="Times New Roman;serif"/>
          <w:b w:val="false"/>
          <w:color w:val="000000"/>
          <w:sz w:val="24"/>
        </w:rPr>
        <w:t>is subject to</w:t>
      </w:r>
      <w:r>
        <w:rPr>
          <w:color w:val="000000"/>
        </w:rPr>
        <w:t xml:space="preserve"> </w:t>
      </w:r>
      <w:r>
        <w:rPr>
          <w:rFonts w:ascii="Times New Roman;serif" w:hAnsi="Times New Roman;serif"/>
          <w:b w:val="false"/>
          <w:color w:val="000000"/>
          <w:sz w:val="24"/>
        </w:rPr>
        <w:t xml:space="preserve">the Executive’s continued compliance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restrictive covenants and confidentiality obligations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Sections</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11</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the Executive’s execution, delivery to the Company and non-revocation of a release of claims in a form reasonably acceptable to the Company.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For Cause Termination or Resignation without Good Reason</w:t>
      </w:r>
      <w:r>
        <w:rPr>
          <w:rFonts w:ascii="Times New Roman;serif" w:hAnsi="Times New Roman;serif"/>
          <w:b w:val="false"/>
          <w:color w:val="000000"/>
          <w:sz w:val="24"/>
        </w:rPr>
        <w:t>. If the Company terminates the Executive’s employment under this Agreement for Cause or the Executive resigns his employment hereunder without Good Reason: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Executive shall be entitled to receive the Accrued Obligations and the Other Benefits;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unvested</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forfeited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date of</w:t>
      </w:r>
      <w:r>
        <w:rPr>
          <w:color w:val="000000"/>
        </w:rPr>
        <w:t xml:space="preserve"> </w:t>
      </w:r>
      <w:r>
        <w:rPr>
          <w:rFonts w:ascii="Times New Roman;serif" w:hAnsi="Times New Roman;serif"/>
          <w:b w:val="false"/>
          <w:color w:val="000000"/>
          <w:sz w:val="24"/>
        </w:rPr>
        <w:t>termination;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(iii)all of the Executive’s vested stock options will be governed by the applicable award agreement;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(iv)the Executive shall be entitled to no further compensation or other benefits under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If the Executive’s employment under this Agreement is terminated due to the Executive’s death or permanent disability:</w:t>
      </w:r>
    </w:p>
    <w:p>
      <w:pPr>
        <w:pStyle w:val="TextBody"/>
        <w:bidi w:val="0"/>
        <w:spacing w:lineRule="auto" w:line="288" w:before="79" w:after="283"/>
        <w:ind w:left="0" w:right="0" w:firstLine="720"/>
        <w:jc w:val="both"/>
        <w:rPr/>
      </w:pPr>
      <w:r>
        <w:rPr>
          <w:rFonts w:ascii="Times New Roman;serif" w:hAnsi="Times New Roman;serif"/>
          <w:b w:val="false"/>
          <w:color w:val="000000"/>
          <w:sz w:val="24"/>
        </w:rPr>
        <w:t>(i)the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heirs or estate in the event of his death) shall be entitled to receive the Accrued Obligations and the Other Benefits;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(ii)the Executive (or his heirs or estate in the event of his death) shall be entitled to receive a payment (the “</w:t>
      </w:r>
      <w:r>
        <w:rPr>
          <w:rFonts w:ascii="Times New Roman;serif" w:hAnsi="Times New Roman;serif"/>
          <w:b w:val="false"/>
          <w:color w:val="000000"/>
          <w:sz w:val="24"/>
          <w:u w:val="single"/>
        </w:rPr>
        <w:t>Disability Payment</w:t>
      </w:r>
      <w:r>
        <w:rPr>
          <w:color w:val="000000"/>
        </w:rPr>
        <w:t>”</w:t>
      </w:r>
      <w:r>
        <w:rPr>
          <w:rFonts w:ascii="Times New Roman;serif" w:hAnsi="Times New Roman;serif"/>
          <w:b w:val="false"/>
          <w:color w:val="000000"/>
          <w:sz w:val="24"/>
        </w:rPr>
        <w:t>) in an amount equal to (A)</w:t>
      </w:r>
      <w:r>
        <w:rPr>
          <w:color w:val="000000"/>
        </w:rPr>
        <w:t xml:space="preserve"> </w:t>
      </w:r>
      <w:r>
        <w:rPr>
          <w:rFonts w:ascii="Times New Roman;serif" w:hAnsi="Times New Roman;serif"/>
          <w:b w:val="false"/>
          <w:color w:val="000000"/>
          <w:sz w:val="24"/>
        </w:rPr>
        <w:t>one and one-half (1.5) times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 then-current Base Salary minus (B) the</w:t>
      </w:r>
      <w:r>
        <w:rPr>
          <w:color w:val="000000"/>
        </w:rPr>
        <w:t xml:space="preserve"> </w:t>
      </w:r>
      <w:r>
        <w:rPr>
          <w:rFonts w:ascii="Times New Roman;serif" w:hAnsi="Times New Roman;serif"/>
          <w:b w:val="false"/>
          <w:color w:val="000000"/>
          <w:sz w:val="24"/>
        </w:rPr>
        <w:t>value of</w:t>
      </w:r>
      <w:r>
        <w:rPr>
          <w:color w:val="000000"/>
        </w:rPr>
        <w:t xml:space="preserve"> </w:t>
      </w:r>
      <w:r>
        <w:rPr>
          <w:rFonts w:ascii="Times New Roman;serif" w:hAnsi="Times New Roman;serif"/>
          <w:b w:val="false"/>
          <w:color w:val="000000"/>
          <w:sz w:val="24"/>
        </w:rPr>
        <w:t>any Program Benefits actually received by the Executive (or his heirs or estate in the event of his death) during the eighteen (18)-month period after the termination date, which shall be paid in eighteen (18) equal monthly installments in accordance with the Company’s normal payroll policy, and any such offset shall be applied against remaining installments of the Disability Payment;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(iii)all of the Executive’s equity awards subject to time-based vesting 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Incentive</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fully vested;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(iv)the</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forfeiture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equity awards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performance-based</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Incentive</w:t>
      </w:r>
      <w:r>
        <w:rPr>
          <w:color w:val="000000"/>
        </w:rPr>
        <w:t xml:space="preserve"> </w:t>
      </w:r>
      <w:r>
        <w:rPr>
          <w:rFonts w:ascii="Times New Roman;serif" w:hAnsi="Times New Roman;serif"/>
          <w:b w:val="false"/>
          <w:color w:val="000000"/>
          <w:sz w:val="24"/>
        </w:rPr>
        <w:t>Plans shall be governed by the applicable award agreement; and</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(v)any stock options granted under the Incentive Plans shall be immediately exercisable and may be exercised by the Executive (or his heirs or estate in the event of his death) until the first anniversary of the termination date.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Executive agrees to cooperate in any reasonable requirement to undertake a medical physical examination as may be reasonably requested by an insurance carrier in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decides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obtain</w:t>
      </w:r>
      <w:r>
        <w:rPr>
          <w:color w:val="000000"/>
        </w:rPr>
        <w:t xml:space="preserve"> </w:t>
      </w:r>
      <w:r>
        <w:rPr>
          <w:rFonts w:ascii="Times New Roman;serif" w:hAnsi="Times New Roman;serif"/>
          <w:b w:val="false"/>
          <w:color w:val="000000"/>
          <w:sz w:val="24"/>
        </w:rPr>
        <w:t>death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disability</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coverage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 Executive.</w:t>
      </w:r>
    </w:p>
    <w:p>
      <w:pPr>
        <w:pStyle w:val="TextBody"/>
        <w:bidi w:val="0"/>
        <w:spacing w:lineRule="auto" w:line="288" w:before="79" w:after="283"/>
        <w:ind w:left="0" w:right="0" w:firstLine="720"/>
        <w:jc w:val="both"/>
        <w:rPr/>
      </w:pPr>
      <w:r>
        <w:rPr>
          <w:rFonts w:ascii="Times New Roman;serif" w:hAnsi="Times New Roman;serif"/>
          <w:b w:val="false"/>
          <w:color w:val="000000"/>
          <w:sz w:val="24"/>
        </w:rPr>
        <w:t>The Company’s obligation to pay or provide the payments and benefits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7(c)(ii) through (v)</w:t>
      </w:r>
      <w:r>
        <w:rPr>
          <w:color w:val="000000"/>
        </w:rPr>
        <w:t xml:space="preserve"> </w:t>
      </w:r>
      <w:r>
        <w:rPr>
          <w:rFonts w:ascii="Times New Roman;serif" w:hAnsi="Times New Roman;serif"/>
          <w:b w:val="false"/>
          <w:color w:val="000000"/>
          <w:sz w:val="24"/>
        </w:rPr>
        <w:t>is subject to</w:t>
      </w:r>
      <w:r>
        <w:rPr>
          <w:color w:val="000000"/>
        </w:rPr>
        <w:t xml:space="preserve"> </w:t>
      </w:r>
      <w:r>
        <w:rPr>
          <w:rFonts w:ascii="Times New Roman;serif" w:hAnsi="Times New Roman;serif"/>
          <w:b w:val="false"/>
          <w:color w:val="000000"/>
          <w:sz w:val="24"/>
        </w:rPr>
        <w:t>the Executive’s continued compliance with the restrictive covenants and confidentiality obligations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Sections</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11</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the Executive’s execution, delivery to the Company and non-revocation of a release of claims in a form reasonably acceptable to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Non-Renewal</w:t>
      </w:r>
      <w:r>
        <w:rPr>
          <w:rFonts w:ascii="Times New Roman;serif" w:hAnsi="Times New Roman;serif"/>
          <w:b w:val="false"/>
          <w:color w:val="000000"/>
          <w:sz w:val="24"/>
        </w:rPr>
        <w:t>. If</w:t>
      </w:r>
      <w:r>
        <w:rPr>
          <w:color w:val="000000"/>
        </w:rPr>
        <w:t xml:space="preserve"> </w:t>
      </w:r>
      <w:r>
        <w:rPr>
          <w:rFonts w:ascii="Times New Roman;serif" w:hAnsi="Times New Roman;serif"/>
          <w:b w:val="false"/>
          <w:color w:val="000000"/>
          <w:sz w:val="24"/>
        </w:rPr>
        <w:t>the Company provides the Executive with a notice of</w:t>
      </w:r>
      <w:r>
        <w:rPr>
          <w:color w:val="000000"/>
        </w:rPr>
        <w:t xml:space="preserve"> </w:t>
      </w:r>
      <w:r>
        <w:rPr>
          <w:rFonts w:ascii="Times New Roman;serif" w:hAnsi="Times New Roman;serif"/>
          <w:b w:val="false"/>
          <w:color w:val="000000"/>
          <w:sz w:val="24"/>
        </w:rPr>
        <w:t>non-renewal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 as provided in Section 2 above:</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Executive shall be entitled to receive the Accrued Obligations and the Other Benefits;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(ii)the Executive shall be entitled to receive a pro-rated Bonus for the fiscal year in which the date of termination occurs equal to the actual Bonus the Executive otherwise would have earned for the year in which the date of termination occurs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a fraction, the numerator of which is the number of days in the current fiscal year through the date of termination, and the denominator of which is 365, which Bonus shall be paid by the 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on the date on which the Company otherwise pays Bonuses to senior executives of the Company for such fiscal year;</w:t>
      </w:r>
    </w:p>
    <w:p>
      <w:pPr>
        <w:pStyle w:val="TextBody"/>
        <w:bidi w:val="0"/>
        <w:spacing w:lineRule="auto" w:line="288" w:before="241"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Executive shall be entitled to receive an amount equal to one (1) times the sum of (A) the Executive’s then-current Base Salary and (B) the Executive’s then-current Target Bonus (in each case disregarding any reduction giving rise to a claim for Good Reason), which shall be paid in twelve (12) equal monthly installments in accordance with the Company’s payroll policy;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(iv)all of the Executive’s equity awards subject to time-based vesting 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Incentive</w:t>
      </w:r>
      <w:r>
        <w:rPr>
          <w:color w:val="000000"/>
        </w:rPr>
        <w:t xml:space="preserve"> </w:t>
      </w:r>
      <w:r>
        <w:rPr>
          <w:rFonts w:ascii="Times New Roman;serif" w:hAnsi="Times New Roman;serif"/>
          <w:b w:val="false"/>
          <w:color w:val="000000"/>
          <w:sz w:val="24"/>
        </w:rPr>
        <w:t>Plans shall</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fully vested;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(v)the</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forfeiture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equity awards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performance-based</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Incentive</w:t>
      </w:r>
      <w:r>
        <w:rPr>
          <w:color w:val="000000"/>
        </w:rPr>
        <w:t xml:space="preserve"> </w:t>
      </w:r>
      <w:r>
        <w:rPr>
          <w:rFonts w:ascii="Times New Roman;serif" w:hAnsi="Times New Roman;serif"/>
          <w:b w:val="false"/>
          <w:color w:val="000000"/>
          <w:sz w:val="24"/>
        </w:rPr>
        <w:t>Plans shall be governed by the applicable award agreement; and</w:t>
      </w:r>
    </w:p>
    <w:p>
      <w:pPr>
        <w:pStyle w:val="TextBody"/>
        <w:bidi w:val="0"/>
        <w:spacing w:lineRule="auto" w:line="288" w:before="241"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(vi)any stock options granted under the Incentive Plans shall be immediately exercisable and may be exercised by the Executive (or his heirs or estate in the event of his death) until the first anniversary of the termination date.</w:t>
      </w:r>
    </w:p>
    <w:p>
      <w:pPr>
        <w:pStyle w:val="TextBody"/>
        <w:bidi w:val="0"/>
        <w:spacing w:lineRule="auto" w:line="288" w:before="79" w:after="283"/>
        <w:ind w:left="0" w:right="0" w:firstLine="720"/>
        <w:jc w:val="both"/>
        <w:rPr/>
      </w:pPr>
      <w:r>
        <w:rPr>
          <w:rFonts w:ascii="Times New Roman;serif" w:hAnsi="Times New Roman;serif"/>
          <w:b w:val="false"/>
          <w:color w:val="000000"/>
          <w:sz w:val="24"/>
        </w:rPr>
        <w:t>The Company’s obligation to pay or provide the payments and benefits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7(d)(ii) through (vi) is subject to</w:t>
      </w:r>
      <w:r>
        <w:rPr>
          <w:color w:val="000000"/>
        </w:rPr>
        <w:t xml:space="preserve"> </w:t>
      </w:r>
      <w:r>
        <w:rPr>
          <w:rFonts w:ascii="Times New Roman;serif" w:hAnsi="Times New Roman;serif"/>
          <w:b w:val="false"/>
          <w:color w:val="000000"/>
          <w:sz w:val="24"/>
        </w:rPr>
        <w:t>the Executive’s continued compliance with the restrictive covenants and confidentiality obligations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Sections</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11</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the Executive’s execution, delivery to the Company and non-revocation of a release of claims in a form reasonably acceptable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241"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Coordination with Non-Renewal</w:t>
      </w:r>
      <w:r>
        <w:rPr>
          <w:rFonts w:ascii="Times New Roman;serif" w:hAnsi="Times New Roman;serif"/>
          <w:b w:val="false"/>
          <w:color w:val="000000"/>
          <w:sz w:val="24"/>
        </w:rPr>
        <w:t>. If either party notifies the other party of the</w:t>
      </w:r>
      <w:r>
        <w:rPr>
          <w:color w:val="000000"/>
        </w:rPr>
        <w:t xml:space="preserve"> </w:t>
      </w:r>
      <w:r>
        <w:rPr>
          <w:rFonts w:ascii="Times New Roman;serif" w:hAnsi="Times New Roman;serif"/>
          <w:b w:val="false"/>
          <w:color w:val="000000"/>
          <w:sz w:val="24"/>
        </w:rPr>
        <w:t>non-renewal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Initial</w:t>
      </w:r>
      <w:r>
        <w:rPr>
          <w:color w:val="000000"/>
        </w:rPr>
        <w:t xml:space="preserve"> </w:t>
      </w:r>
      <w:r>
        <w:rPr>
          <w:rFonts w:ascii="Times New Roman;serif" w:hAnsi="Times New Roman;serif"/>
          <w:b w:val="false"/>
          <w:color w:val="000000"/>
          <w:sz w:val="24"/>
        </w:rPr>
        <w:t>Term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 Renewal</w:t>
      </w:r>
      <w:r>
        <w:rPr>
          <w:color w:val="000000"/>
        </w:rPr>
        <w:t xml:space="preserve"> </w:t>
      </w:r>
      <w:r>
        <w:rPr>
          <w:rFonts w:ascii="Times New Roman;serif" w:hAnsi="Times New Roman;serif"/>
          <w:b w:val="false"/>
          <w:color w:val="000000"/>
          <w:sz w:val="24"/>
        </w:rPr>
        <w:t>Term as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 Section</w:t>
      </w:r>
      <w:r>
        <w:rPr>
          <w:color w:val="000000"/>
        </w:rPr>
        <w:t xml:space="preserve"> </w:t>
      </w:r>
      <w:r>
        <w:rPr>
          <w:rFonts w:ascii="Times New Roman;serif" w:hAnsi="Times New Roman;serif"/>
          <w:b w:val="false"/>
          <w:color w:val="000000"/>
          <w:sz w:val="24"/>
        </w:rPr>
        <w:t>2 above, 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through</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w:t>
      </w:r>
      <w:r>
        <w:rPr>
          <w:color w:val="000000"/>
        </w:rPr>
        <w:t xml:space="preserve"> </w:t>
      </w:r>
      <w:r>
        <w:rPr>
          <w:rFonts w:ascii="Times New Roman;serif" w:hAnsi="Times New Roman;serif"/>
          <w:b w:val="false"/>
          <w:color w:val="000000"/>
          <w:sz w:val="24"/>
        </w:rPr>
        <w:t>as applicable, the Company shall continue to pay the Base Salary and provide</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described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 continues to faithfully and diligently perform his duties under this Agreement and in accordance with the Company’s policies.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Compliance with Covenants</w:t>
      </w:r>
      <w:r>
        <w:rPr>
          <w:rFonts w:ascii="Times New Roman;serif" w:hAnsi="Times New Roman;serif"/>
          <w:b w:val="false"/>
          <w:color w:val="000000"/>
          <w:sz w:val="24"/>
        </w:rPr>
        <w:t>. Notwithstanding anything to the contrary in this Section 7, the Company’s obligation to pay, and the Executive’s right to receive, any compensation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continuation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Accrued Obligations and Other Benefits) under this Section 7, shall terminate upon the Executive’s material breach of Sections 10 or 11 hereof.</w:t>
      </w:r>
    </w:p>
    <w:p>
      <w:pPr>
        <w:pStyle w:val="TextBody"/>
        <w:bidi w:val="0"/>
        <w:spacing w:lineRule="auto" w:line="288" w:before="240" w:after="283"/>
        <w:ind w:left="0" w:right="0" w:hanging="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Termination</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Offices</w:t>
      </w:r>
      <w:r>
        <w:rPr>
          <w:color w:val="000000"/>
          <w:u w:val="single"/>
        </w:rPr>
        <w:t xml:space="preserve"> </w:t>
      </w:r>
      <w:r>
        <w:rPr>
          <w:rFonts w:ascii="Times New Roman;serif" w:hAnsi="Times New Roman;serif"/>
          <w:b w:val="false"/>
          <w:color w:val="000000"/>
          <w:sz w:val="24"/>
          <w:u w:val="single"/>
        </w:rPr>
        <w:t>and</w:t>
      </w:r>
      <w:r>
        <w:rPr>
          <w:color w:val="000000"/>
          <w:u w:val="single"/>
        </w:rPr>
        <w:t xml:space="preserve"> </w:t>
      </w:r>
      <w:r>
        <w:rPr>
          <w:rFonts w:ascii="Times New Roman;serif" w:hAnsi="Times New Roman;serif"/>
          <w:b w:val="false"/>
          <w:color w:val="000000"/>
          <w:sz w:val="24"/>
          <w:u w:val="single"/>
        </w:rPr>
        <w:t>Directorships;</w:t>
      </w:r>
      <w:r>
        <w:rPr>
          <w:color w:val="000000"/>
          <w:u w:val="single"/>
        </w:rPr>
        <w:t xml:space="preserve"> </w:t>
      </w:r>
      <w:r>
        <w:rPr>
          <w:rFonts w:ascii="Times New Roman;serif" w:hAnsi="Times New Roman;serif"/>
          <w:b w:val="false"/>
          <w:color w:val="000000"/>
          <w:sz w:val="24"/>
          <w:u w:val="single"/>
        </w:rPr>
        <w:t>Return</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Property and Information</w:t>
      </w:r>
      <w:r>
        <w:rPr>
          <w:rFonts w:ascii="Times New Roman;serif" w:hAnsi="Times New Roman;serif"/>
          <w:b w:val="false"/>
          <w:color w:val="000000"/>
          <w:sz w:val="24"/>
        </w:rPr>
        <w: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(a)Upon termination of the Executive’s employment for any reason, unless otherwise specified in a written agreement between the Executive and the Company, the Executive shall be deemed to have resigned from all offices, directorships, and other employment positions if any, then held with the Company and any corporation or other entity controlled by the Company, or under common control with the Company (collectively, the “</w:t>
      </w:r>
      <w:r>
        <w:rPr>
          <w:rFonts w:ascii="Times New Roman;serif" w:hAnsi="Times New Roman;serif"/>
          <w:b w:val="false"/>
          <w:color w:val="000000"/>
          <w:sz w:val="24"/>
          <w:u w:val="single"/>
        </w:rPr>
        <w:t>Affiliates</w:t>
      </w:r>
      <w:r>
        <w:rPr>
          <w:color w:val="000000"/>
        </w:rPr>
        <w:t>”</w:t>
      </w:r>
      <w:r>
        <w:rPr>
          <w:rFonts w:ascii="Times New Roman;serif" w:hAnsi="Times New Roman;serif"/>
          <w:b w:val="false"/>
          <w:color w:val="000000"/>
          <w:sz w:val="24"/>
        </w:rPr>
        <w:t>), and shall take all actions reasonably requested by the Company to effectuate the foregoing.</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(b)In addition, upon the termination of the Executive’s employment for any reason or upon the Company’s request at any time, the Executive (or in the event of the Executive’s death, his executor or personal representative) shall (i) return to the Company all documents of the Company and its Affiliates (and all copies thereof) and all other property of the Company and its Affiliates, including, but not limited to, devices, company keys, passwords, security badges, hardware, software, letters, handbooks, manuals, customer lists, corporate credit cards, originals and all copies of all documents, books, binders, records, materials, memoranda and other data, in each case, constituting or containing Confidential Information (as defined below), in any form, within the Executive’s possession, custody or control, including all copies of documents sent by electronic mail or otherwise to any personal computer owned or accessed by the Executive, and (ii) provide the Company with a list of websites, access codes, safe codes, user names, logins, and passwords for all security systems, internal accounts, information technology systems or other accounts or systems the Executive used to perform the Executive’s job, and external service providers, financial institutions, or any other organizations that the Executive used to support the Executive’s position or for which the Executive had access to said information.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 such documents, papers</w:t>
      </w:r>
      <w:r>
        <w:rPr>
          <w:color w:val="000000"/>
        </w:rPr>
        <w:t xml:space="preserve"> </w:t>
      </w:r>
      <w:r>
        <w:rPr>
          <w:rFonts w:ascii="Times New Roman;serif" w:hAnsi="Times New Roman;serif"/>
          <w:b w:val="false"/>
          <w:color w:val="000000"/>
          <w:sz w:val="24"/>
        </w:rPr>
        <w:t>and records are</w:t>
      </w:r>
      <w:r>
        <w:rPr>
          <w:color w:val="000000"/>
        </w:rPr>
        <w:t xml:space="preserve"> </w:t>
      </w:r>
      <w:r>
        <w:rPr>
          <w:rFonts w:ascii="Times New Roman;serif" w:hAnsi="Times New Roman;serif"/>
          <w:b w:val="false"/>
          <w:color w:val="000000"/>
          <w:sz w:val="24"/>
        </w:rPr>
        <w:t>stored or</w:t>
      </w:r>
      <w:r>
        <w:rPr>
          <w:color w:val="000000"/>
        </w:rPr>
        <w:t xml:space="preserve"> </w:t>
      </w:r>
      <w:r>
        <w:rPr>
          <w:rFonts w:ascii="Times New Roman;serif" w:hAnsi="Times New Roman;serif"/>
          <w:b w:val="false"/>
          <w:color w:val="000000"/>
          <w:sz w:val="24"/>
        </w:rPr>
        <w:t>maintained on any personal computer, email, cloud account, or other storage device and cannot be returned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entirety,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permanently</w:t>
      </w:r>
      <w:r>
        <w:rPr>
          <w:color w:val="000000"/>
        </w:rPr>
        <w:t xml:space="preserve"> </w:t>
      </w:r>
      <w:r>
        <w:rPr>
          <w:rFonts w:ascii="Times New Roman;serif" w:hAnsi="Times New Roman;serif"/>
          <w:b w:val="false"/>
          <w:color w:val="000000"/>
          <w:sz w:val="24"/>
        </w:rPr>
        <w:t>delete</w:t>
      </w:r>
      <w:r>
        <w:rPr>
          <w:color w:val="000000"/>
        </w:rPr>
        <w:t xml:space="preserve"> </w:t>
      </w:r>
      <w:r>
        <w:rPr>
          <w:rFonts w:ascii="Times New Roman;serif" w:hAnsi="Times New Roman;serif"/>
          <w:b w:val="false"/>
          <w:color w:val="000000"/>
          <w:sz w:val="24"/>
        </w:rPr>
        <w:t>such materials upon the instruction of the Company. Notwithstanding the foregoing, the 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retain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copy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 xml:space="preserve">compensatory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agreement between the Executive and the Company or any of its Affiliates, and any tax information returns and payroll stubs related thereto.</w:t>
      </w:r>
    </w:p>
    <w:p>
      <w:pPr>
        <w:pStyle w:val="TextBody"/>
        <w:bidi w:val="0"/>
        <w:spacing w:lineRule="auto" w:line="288" w:before="241" w:after="283"/>
        <w:ind w:left="0" w:right="0" w:hanging="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Effect</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Change</w:t>
      </w:r>
      <w:r>
        <w:rPr>
          <w:color w:val="000000"/>
          <w:u w:val="single"/>
        </w:rPr>
        <w:t xml:space="preserve"> </w:t>
      </w:r>
      <w:r>
        <w:rPr>
          <w:rFonts w:ascii="Times New Roman;serif" w:hAnsi="Times New Roman;serif"/>
          <w:b w:val="false"/>
          <w:color w:val="000000"/>
          <w:sz w:val="24"/>
          <w:u w:val="single"/>
        </w:rPr>
        <w:t>in Control</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(a)If, within sixty (60) days before or within twenty-four (24) months after a Change in Control, 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terminated</w:t>
      </w:r>
      <w:r>
        <w:rPr>
          <w:color w:val="000000"/>
        </w:rPr>
        <w:t xml:space="preserve"> </w:t>
      </w:r>
      <w:r>
        <w:rPr>
          <w:rFonts w:ascii="Times New Roman;serif" w:hAnsi="Times New Roman;serif"/>
          <w:b w:val="false"/>
          <w:color w:val="000000"/>
          <w:sz w:val="24"/>
        </w:rPr>
        <w:t>by the Company or its successor without Cause or 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terminates his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for Good Reason: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Executive shall be entitled to receive the Accrued Obligations and the Other Benefits;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(ii)the Executive shall be entitled to receive a pro-rated Bonus for the fiscal year in which the date of termination occurs equal to the Target Bonus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a fraction, the numerator of which is the number of days in the current fiscal year through the date of termination, and the denominator of which is 365,</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Executive in a lump sum within thirty (30) days of the date of termination;</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(iii)the Company or its successor shall pay the Executive a lump sum payment in an amount equal to two (2) times the sum of (A) the Executive’s then-current Base Salary and (B) the Executive’s</w:t>
      </w:r>
      <w:r>
        <w:rPr>
          <w:color w:val="000000"/>
        </w:rPr>
        <w:t xml:space="preserve"> </w:t>
      </w:r>
      <w:r>
        <w:rPr>
          <w:rFonts w:ascii="Times New Roman;serif" w:hAnsi="Times New Roman;serif"/>
          <w:b w:val="false"/>
          <w:color w:val="000000"/>
          <w:sz w:val="24"/>
        </w:rPr>
        <w:t>then-current</w:t>
      </w:r>
      <w:r>
        <w:rPr>
          <w:color w:val="000000"/>
        </w:rPr>
        <w:t xml:space="preserve"> </w:t>
      </w:r>
      <w:r>
        <w:rPr>
          <w:rFonts w:ascii="Times New Roman;serif" w:hAnsi="Times New Roman;serif"/>
          <w:b w:val="false"/>
          <w:color w:val="000000"/>
          <w:sz w:val="24"/>
        </w:rPr>
        <w:t>Target</w:t>
      </w:r>
      <w:r>
        <w:rPr>
          <w:color w:val="000000"/>
        </w:rPr>
        <w:t xml:space="preserve"> </w:t>
      </w:r>
      <w:r>
        <w:rPr>
          <w:rFonts w:ascii="Times New Roman;serif" w:hAnsi="Times New Roman;serif"/>
          <w:b w:val="false"/>
          <w:color w:val="000000"/>
          <w:sz w:val="24"/>
        </w:rPr>
        <w:t>Bonus (in each case disregarding any reduction giving rise to a claim for Good Reason),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Executive in a lump sum within thirty (30) days of the date of termination; provided, however, that if such Change in Control does not qualify either as a “change in the ownership or effective control” of the Company or a “change in the ownership of a substantial portion of the assets” of the Company within the meaning of Section 409A of the Code, any amounts payable to the Executive hereunder shall be paid in twenty-four (24) equal monthly installments in accordance with the Company’s payroll policy;</w:t>
      </w:r>
    </w:p>
    <w:p>
      <w:pPr>
        <w:pStyle w:val="TextBody"/>
        <w:bidi w:val="0"/>
        <w:spacing w:lineRule="auto" w:line="288" w:before="240" w:after="240"/>
        <w:ind w:left="0" w:right="0" w:firstLine="720"/>
        <w:jc w:val="both"/>
        <w:rPr/>
      </w:pPr>
      <w:r>
        <w:rPr>
          <w:rFonts w:ascii="Times New Roman;serif" w:hAnsi="Times New Roman;serif"/>
          <w:b w:val="false"/>
          <w:color w:val="000000"/>
          <w:sz w:val="24"/>
        </w:rPr>
        <w:t>(iv)all of the Executive’s equity awards subject to time-based vesting 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Incentive</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fully vested;</w:t>
      </w:r>
    </w:p>
    <w:p>
      <w:pPr>
        <w:pStyle w:val="TextBody"/>
        <w:bidi w:val="0"/>
        <w:spacing w:lineRule="auto" w:line="288" w:before="79"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(v)any performance-based vesting conditions applicable to the Executive’s equity awards granted under the Incentive Plans shall be deemed met, as of the Change in Control, at the greater of (x) the target level of performance and (y) the actual level of performance through the latest practicable date prior to the Change in Control, as determined by the Compensation Committee in its sole discretion, and vest in full based on such deemed level of performance;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(vi)any stock options granted under the Incentive Plans shall be immediately exercisable and may be exercised by the Executive until the first anniversary of the termination date; and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(vii)the Company shall continue to provide the Executive with Continued</w:t>
      </w:r>
      <w:r>
        <w:rPr>
          <w:color w:val="000000"/>
        </w:rPr>
        <w:t xml:space="preserve"> </w:t>
      </w:r>
      <w:r>
        <w:rPr>
          <w:rFonts w:ascii="Times New Roman;serif" w:hAnsi="Times New Roman;serif"/>
          <w:b w:val="false"/>
          <w:color w:val="000000"/>
          <w:sz w:val="24"/>
        </w:rPr>
        <w:t>Health</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earlier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twenty-four (24) months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of termination (which period shall run concurrently with the Executive’s COBRA period) or (B) the commencement of comparable coverage from another employer.</w:t>
      </w:r>
    </w:p>
    <w:p>
      <w:pPr>
        <w:pStyle w:val="TextBody"/>
        <w:bidi w:val="0"/>
        <w:spacing w:lineRule="auto" w:line="288" w:before="241" w:after="283"/>
        <w:ind w:left="0" w:right="0" w:firstLine="810"/>
        <w:jc w:val="both"/>
        <w:rPr/>
      </w:pPr>
      <w:r>
        <w:rPr>
          <w:rFonts w:ascii="Times New Roman;serif" w:hAnsi="Times New Roman;serif"/>
          <w:b w:val="false"/>
          <w:color w:val="000000"/>
          <w:sz w:val="24"/>
        </w:rPr>
        <w:t>(b)A</w:t>
      </w:r>
      <w:r>
        <w:rPr>
          <w:color w:val="000000"/>
        </w:rPr>
        <w:t xml:space="preserve"> “</w:t>
      </w:r>
      <w:r>
        <w:rPr>
          <w:rFonts w:ascii="Times New Roman;serif" w:hAnsi="Times New Roman;serif"/>
          <w:b w:val="false"/>
          <w:color w:val="000000"/>
          <w:sz w:val="24"/>
          <w:u w:val="single"/>
        </w:rPr>
        <w:t>Change</w:t>
      </w:r>
      <w:r>
        <w:rPr>
          <w:color w:val="000000"/>
          <w:u w:val="single"/>
        </w:rPr>
        <w:t xml:space="preserve"> </w:t>
      </w:r>
      <w:r>
        <w:rPr>
          <w:rFonts w:ascii="Times New Roman;serif" w:hAnsi="Times New Roman;serif"/>
          <w:b w:val="false"/>
          <w:color w:val="000000"/>
          <w:sz w:val="24"/>
          <w:u w:val="single"/>
        </w:rPr>
        <w:t>in</w:t>
      </w:r>
      <w:r>
        <w:rPr>
          <w:color w:val="000000"/>
          <w:u w:val="single"/>
        </w:rPr>
        <w:t xml:space="preserve">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occurred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 of</w:t>
      </w:r>
      <w:r>
        <w:rPr>
          <w:color w:val="000000"/>
        </w:rPr>
        <w:t xml:space="preserve"> </w:t>
      </w:r>
      <w:r>
        <w:rPr>
          <w:rFonts w:ascii="Times New Roman;serif" w:hAnsi="Times New Roman;serif"/>
          <w:b w:val="false"/>
          <w:color w:val="000000"/>
          <w:sz w:val="24"/>
        </w:rPr>
        <w:t>any of</w:t>
      </w:r>
      <w:r>
        <w:rPr>
          <w:color w:val="000000"/>
        </w:rPr>
        <w:t xml:space="preserve"> </w:t>
      </w:r>
      <w:r>
        <w:rPr>
          <w:rFonts w:ascii="Times New Roman;serif" w:hAnsi="Times New Roman;serif"/>
          <w:b w:val="false"/>
          <w:color w:val="000000"/>
          <w:sz w:val="24"/>
        </w:rPr>
        <w:t>the following transactions: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group</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acting</w:t>
      </w:r>
      <w:r>
        <w:rPr>
          <w:color w:val="000000"/>
        </w:rPr>
        <w:t xml:space="preserve"> </w:t>
      </w:r>
      <w:r>
        <w:rPr>
          <w:rFonts w:ascii="Times New Roman;serif" w:hAnsi="Times New Roman;serif"/>
          <w:b w:val="false"/>
          <w:color w:val="000000"/>
          <w:sz w:val="24"/>
        </w:rPr>
        <w:t>together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the Company or any person (A) who as of the date hereof was a director or officer of the REIT, or (B) whose shares of Common Stock of the REIT are treated as “beneficially owned” by any such director or officer, or (b) any institutional investor (filing reports under Section 13(g) rather than 13(d) of the Securities Exchange Act of 1934, as amended, including any employee benefit plan or employee benefit trust sponsored by the Company)), becomes a beneficial owner, 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REIT representing</w:t>
      </w:r>
      <w:r>
        <w:rPr>
          <w:color w:val="000000"/>
        </w:rPr>
        <w:t xml:space="preserve"> </w:t>
      </w:r>
      <w:r>
        <w:rPr>
          <w:rFonts w:ascii="Times New Roman;serif" w:hAnsi="Times New Roman;serif"/>
          <w:b w:val="false"/>
          <w:color w:val="000000"/>
          <w:sz w:val="24"/>
        </w:rPr>
        <w:t>fifty percent (50%) 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either the</w:t>
      </w:r>
      <w:r>
        <w:rPr>
          <w:color w:val="000000"/>
        </w:rPr>
        <w:t xml:space="preserve"> </w:t>
      </w:r>
      <w:r>
        <w:rPr>
          <w:rFonts w:ascii="Times New Roman;serif" w:hAnsi="Times New Roman;serif"/>
          <w:b w:val="false"/>
          <w:color w:val="000000"/>
          <w:sz w:val="24"/>
        </w:rPr>
        <w:t>then-outstanding</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combined</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REIT</w:t>
      </w:r>
      <w:r>
        <w:rPr>
          <w:color w:val="000000"/>
        </w:rPr>
        <w:t xml:space="preserve"> </w:t>
      </w:r>
      <w:r>
        <w:rPr>
          <w:rFonts w:ascii="Times New Roman;serif" w:hAnsi="Times New Roman;serif"/>
          <w:b w:val="false"/>
          <w:color w:val="000000"/>
          <w:sz w:val="24"/>
        </w:rPr>
        <w:t>then-outstanding</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acquisition of securities directly from the REIT);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sells</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assets to any person (other than a wholly-owned subsidiary of the Company formed for the purpose of changing the Company’s corporate domicile);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(iii)if the Company merges or consolidates with another person as a result of which the shareholders of the REIT immediately prior to such merger or consolidation would beneficially own (directly or indirectly), immediately after such merger or consolidation, securities of the surviving entity representing less than fifty percent (50%) of the then outstanding voting securities of the surviving entity; or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(iv)if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appointed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twelve (12)-month period constitute a majority of the members of the Board, unless (A) the directors who were in office for at least twelve (12) months prior to such twelve (12)-month period (the “</w:t>
      </w:r>
      <w:r>
        <w:rPr>
          <w:rFonts w:ascii="Times New Roman;serif" w:hAnsi="Times New Roman;serif"/>
          <w:b w:val="false"/>
          <w:color w:val="000000"/>
          <w:sz w:val="24"/>
          <w:u w:val="single"/>
        </w:rPr>
        <w:t>Incumbent Directors</w:t>
      </w:r>
      <w:r>
        <w:rPr>
          <w:color w:val="000000"/>
        </w:rPr>
        <w:t>”</w:t>
      </w:r>
      <w:r>
        <w:rPr>
          <w:rFonts w:ascii="Times New Roman;serif" w:hAnsi="Times New Roman;serif"/>
          <w:b w:val="false"/>
          <w:color w:val="000000"/>
          <w:sz w:val="24"/>
        </w:rPr>
        <w:t>) plus (B) the new directors who were recommended or appointed by a majority of the Incumbent Directors constitutes a majority of the members of the Board.</w:t>
      </w:r>
    </w:p>
    <w:p>
      <w:pPr>
        <w:pStyle w:val="TextBody"/>
        <w:bidi w:val="0"/>
        <w:spacing w:lineRule="auto" w:line="288" w:before="240" w:after="283"/>
        <w:jc w:val="left"/>
        <w:rPr/>
      </w:pP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includes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individual,</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partnership,</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association,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unincorporated</w:t>
      </w:r>
      <w:r>
        <w:rPr>
          <w:color w:val="000000"/>
        </w:rPr>
        <w:t xml:space="preserve"> </w:t>
      </w:r>
      <w:r>
        <w:rPr>
          <w:rFonts w:ascii="Times New Roman;serif" w:hAnsi="Times New Roman;serif"/>
          <w:b w:val="false"/>
          <w:color w:val="000000"/>
          <w:sz w:val="24"/>
        </w:rPr>
        <w:t>organization,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trust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entity.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Treatment of Certain Payments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(i)Notwithstanding anything to the contrary contained herein, in the event the Accounting Firm (as defined below) determines that any compensation payment or distribution by the Company to or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excise</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imposed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4999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payments and benefits paid or payable to the Executive under this Agreement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any other agreement or plan of the Company (collectively, the “</w:t>
      </w:r>
      <w:r>
        <w:rPr>
          <w:rFonts w:ascii="Times New Roman;serif" w:hAnsi="Times New Roman;serif"/>
          <w:b w:val="false"/>
          <w:color w:val="000000"/>
          <w:sz w:val="24"/>
          <w:u w:val="single"/>
        </w:rPr>
        <w:t>Payments”</w:t>
      </w:r>
      <w:r>
        <w:rPr>
          <w:rFonts w:ascii="Times New Roman;serif" w:hAnsi="Times New Roman;serif"/>
          <w:b w:val="false"/>
          <w:color w:val="000000"/>
          <w:sz w:val="24"/>
        </w:rPr>
        <w:t>), including the Payments paid or payable pursuant to this Agreement (the “</w:t>
      </w:r>
      <w:r>
        <w:rPr>
          <w:rFonts w:ascii="Times New Roman;serif" w:hAnsi="Times New Roman;serif"/>
          <w:b w:val="false"/>
          <w:color w:val="000000"/>
          <w:sz w:val="24"/>
          <w:u w:val="single"/>
        </w:rPr>
        <w:t>Agreement Payments</w:t>
      </w:r>
      <w:r>
        <w:rPr>
          <w:color w:val="000000"/>
        </w:rPr>
        <w:t>”</w:t>
      </w:r>
      <w:r>
        <w:rPr>
          <w:rFonts w:ascii="Times New Roman;serif" w:hAnsi="Times New Roman;serif"/>
          <w:b w:val="false"/>
          <w:color w:val="000000"/>
          <w:sz w:val="24"/>
        </w:rPr>
        <w:t>), 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reduced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that no excise tax will be imposed, but only if</w:t>
      </w:r>
      <w:r>
        <w:rPr>
          <w:color w:val="000000"/>
        </w:rPr>
        <w:t xml:space="preserve"> </w:t>
      </w:r>
      <w:r>
        <w:rPr>
          <w:rFonts w:ascii="Times New Roman;serif" w:hAnsi="Times New Roman;serif"/>
          <w:b w:val="false"/>
          <w:color w:val="000000"/>
          <w:sz w:val="24"/>
        </w:rPr>
        <w:t>to do so would result in the Executive retaining a larger amount, on an after-tax basis, taking into account the excise and income taxes imposed on all payments made</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If the Accounting Firm determines that the Agreement Payments should be reduced so that the Parachute Value of all Payments, in the aggregate, equals the Safe Harbor Amount, the Company shall promptly give the Executive notice to that effect and a copy of the detailed calculation thereof. All determinations made by the Accounting Firm under this Section 9(c) shall be binding upon the Company. For purposes of reducing the Agreement Payments so that the Parachute Value of all Payments, in the aggregate, equals the Safe Harbor Amount, only amounts payable under the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serif" w:hAnsi="Times New Roman;serif"/>
          <w:b w:val="false"/>
          <w:color w:val="000000"/>
          <w:sz w:val="24"/>
          <w:u w:val="single"/>
        </w:rPr>
        <w:t>24(c)</w:t>
      </w:r>
      <w:r>
        <w:rPr>
          <w:color w:val="000000"/>
        </w:rPr>
        <w:t>”</w:t>
      </w:r>
      <w:r>
        <w:rPr>
          <w:rFonts w:ascii="Times New Roman;serif" w:hAnsi="Times New Roman;serif"/>
          <w:b w:val="false"/>
          <w:color w:val="000000"/>
          <w:sz w:val="24"/>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Accounting Firm’s determination. All fees and expenses of the Accounting Firm shall be borne solely by the Company.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(ii)To the extent requested by the Executive, the Company shall cooperate with the Executive in good faith in valuing, and the Accounting Firm shall take into account the value of, services provided or to be provided by the Executive (including the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Section 9:</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Accounting Firm</w:t>
      </w:r>
      <w:r>
        <w:rPr>
          <w:color w:val="000000"/>
        </w:rPr>
        <w:t xml:space="preserve">” </w:t>
      </w:r>
      <w:r>
        <w:rPr>
          <w:rFonts w:ascii="Times New Roman;serif" w:hAnsi="Times New Roman;serif"/>
          <w:b w:val="false"/>
          <w:color w:val="000000"/>
          <w:sz w:val="24"/>
        </w:rPr>
        <w:t xml:space="preserve">shall mean a nationally recognized certified public accounting firm or other professional organization that is a certified public accounting firm recognized as an expert in determinations and calculations for purposes of Section 280G of the Code that is selected by the Company prior to a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Change in Control for purposes of making the applicable determinations hereunder and is reasonably acceptable to the Executive, which firm shall not, without the Executive’s consent, be a firm serving as accountant or auditor for the individual, entity or group effecting the Change in Control.</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u w:val="single"/>
        </w:rPr>
        <w:t>Net After-Tax Receipt</w:t>
      </w:r>
      <w:r>
        <w:rPr>
          <w:color w:val="000000"/>
        </w:rPr>
        <w:t xml:space="preserve">” </w:t>
      </w:r>
      <w:r>
        <w:rPr>
          <w:rFonts w:ascii="Times New Roman;serif" w:hAnsi="Times New Roman;serif"/>
          <w:b w:val="false"/>
          <w:color w:val="000000"/>
          <w:sz w:val="24"/>
        </w:rPr>
        <w:t>shall mean the present value (as determined in accordance with Sections 280G(b)(2)(A)(ii) and 280G(d)(4) of the Code) of a Payment net of all taxes imposed on the Executive with respect thereto under Sections 1 and 4999 of the Code and under applicable state and local laws, determined by applying the highest marginal rate under Section 1 of the Code and under state and local laws which applied to the Executive’s taxable income for the immediately preceding taxable year, or such other rate(s) as the Accounting Firm determines to be likely to apply to the Executive in the relevant tax year(s).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(iii)</w:t>
      </w:r>
      <w:r>
        <w:rPr>
          <w:color w:val="000000"/>
        </w:rPr>
        <w:t>“</w:t>
      </w:r>
      <w:r>
        <w:rPr>
          <w:rFonts w:ascii="Times New Roman;serif" w:hAnsi="Times New Roman;serif"/>
          <w:b w:val="false"/>
          <w:color w:val="000000"/>
          <w:sz w:val="24"/>
          <w:u w:val="single"/>
        </w:rPr>
        <w:t>Parachute Value</w:t>
      </w:r>
      <w:r>
        <w:rPr>
          <w:color w:val="000000"/>
        </w:rPr>
        <w:t xml:space="preserve">” </w:t>
      </w:r>
      <w:r>
        <w:rPr>
          <w:rFonts w:ascii="Times New Roman;serif" w:hAnsi="Times New Roman;serif"/>
          <w:b w:val="false"/>
          <w:color w:val="000000"/>
          <w:sz w:val="24"/>
        </w:rPr>
        <w:t>of a Payment shall mean the present value as of the date of the change of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will apply to such Payment.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(iv)</w:t>
      </w:r>
      <w:r>
        <w:rPr>
          <w:color w:val="000000"/>
        </w:rPr>
        <w:t>“</w:t>
      </w:r>
      <w:r>
        <w:rPr>
          <w:rFonts w:ascii="Times New Roman;serif" w:hAnsi="Times New Roman;serif"/>
          <w:b w:val="false"/>
          <w:color w:val="000000"/>
          <w:sz w:val="24"/>
          <w:u w:val="single"/>
        </w:rPr>
        <w:t>Safe Harbor Amount</w:t>
      </w:r>
      <w:r>
        <w:rPr>
          <w:color w:val="000000"/>
        </w:rPr>
        <w:t xml:space="preserve">” </w:t>
      </w:r>
      <w:r>
        <w:rPr>
          <w:rFonts w:ascii="Times New Roman;serif" w:hAnsi="Times New Roman;serif"/>
          <w:b w:val="false"/>
          <w:color w:val="000000"/>
          <w:sz w:val="24"/>
        </w:rPr>
        <w:t xml:space="preserve">shall mean 2.99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the Executive’s “base amount,” within the meaning of Section 280G(b)(3) of the Code.</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(e)Following a Change in Control, the Company agrees to pay as incurred (within 10 days following the Company’s receipt of an invoice from the Executive), to the full extent permitted by law, all legal fees and expenses that the Executive may reasonably incur as a result of any contest (regardless of the outcome thereof) by the Company, the Executive or others of the validity or enforceability of, or liability under, any provision of this Agreement or any guarantee of performance thereof whether such contest is between the Company and the Executive or between either of them and any third party (including as a result of any contest by the Executive about the amount of any payment pursuant to this Agreement).</w:t>
      </w:r>
    </w:p>
    <w:p>
      <w:pPr>
        <w:pStyle w:val="TextBody"/>
        <w:bidi w:val="0"/>
        <w:spacing w:lineRule="auto" w:line="288" w:before="240" w:after="283"/>
        <w:ind w:left="0" w:right="0" w:hanging="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Confidential</w:t>
      </w:r>
      <w:r>
        <w:rPr>
          <w:color w:val="000000"/>
          <w:u w:val="single"/>
        </w:rPr>
        <w:t xml:space="preserve"> </w:t>
      </w:r>
      <w:r>
        <w:rPr>
          <w:rFonts w:ascii="Times New Roman;serif" w:hAnsi="Times New Roman;serif"/>
          <w:b w:val="false"/>
          <w:color w:val="000000"/>
          <w:sz w:val="24"/>
          <w:u w:val="single"/>
        </w:rPr>
        <w:t>Information</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reliance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expectation</w:t>
      </w:r>
      <w:r>
        <w:rPr>
          <w:color w:val="000000"/>
        </w:rPr>
        <w:t xml:space="preserve"> </w:t>
      </w:r>
      <w:r>
        <w:rPr>
          <w:rFonts w:ascii="Times New Roman;serif" w:hAnsi="Times New Roman;serif"/>
          <w:b w:val="false"/>
          <w:color w:val="000000"/>
          <w:sz w:val="24"/>
        </w:rPr>
        <w:t>of the Executive’s continued commitment to performance of his duties and responsibilities related to the protection of the Company’s Confidential Information (defined below) and competitive business interests both during and after the term of this Agreement. The Executive</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that his position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considerable</w:t>
      </w:r>
      <w:r>
        <w:rPr>
          <w:color w:val="000000"/>
        </w:rPr>
        <w:t xml:space="preserve"> </w:t>
      </w:r>
      <w:r>
        <w:rPr>
          <w:rFonts w:ascii="Times New Roman;serif" w:hAnsi="Times New Roman;serif"/>
          <w:b w:val="false"/>
          <w:color w:val="000000"/>
          <w:sz w:val="24"/>
        </w:rPr>
        <w:t>responsibility</w:t>
      </w:r>
      <w:r>
        <w:rPr>
          <w:color w:val="000000"/>
        </w:rPr>
        <w:t xml:space="preserve"> </w:t>
      </w:r>
      <w:r>
        <w:rPr>
          <w:rFonts w:ascii="Times New Roman;serif" w:hAnsi="Times New Roman;serif"/>
          <w:b w:val="false"/>
          <w:color w:val="000000"/>
          <w:sz w:val="24"/>
        </w:rPr>
        <w:t xml:space="preserve">and requires that the Company expend time and resources to provide him the tools and Confidential Information necessary to perform his duties under this Agreement. It is the Company’s intent to protect its Confidential Information, in whatever form, whether written, electronic, spoken, or facsimiled, from and against unauthorized use, disclosure, destruction or modification. Maintaining its Confidential Information in the strictest confidence is essential for the Company’s continued success. The Company must also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protect its reasonable competitive business interests by preventing employees and competitors from using its Confidential Information.</w:t>
      </w:r>
    </w:p>
    <w:p>
      <w:pPr>
        <w:pStyle w:val="TextBody"/>
        <w:bidi w:val="0"/>
        <w:spacing w:lineRule="auto" w:line="288" w:before="241" w:after="283"/>
        <w:ind w:left="0" w:right="0" w:firstLine="720"/>
        <w:jc w:val="both"/>
        <w:rPr/>
      </w:pPr>
      <w:r>
        <w:rPr>
          <w:rFonts w:ascii="Times New Roman;serif" w:hAnsi="Times New Roman;serif"/>
          <w:b w:val="false"/>
          <w:color w:val="000000"/>
          <w:sz w:val="24"/>
        </w:rPr>
        <w:t>(b)Throughout</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with the 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privy</w:t>
      </w:r>
      <w:r>
        <w:rPr>
          <w:color w:val="000000"/>
        </w:rPr>
        <w:t xml:space="preserve"> </w:t>
      </w:r>
      <w:r>
        <w:rPr>
          <w:rFonts w:ascii="Times New Roman;serif" w:hAnsi="Times New Roman;serif"/>
          <w:b w:val="false"/>
          <w:color w:val="000000"/>
          <w:sz w:val="24"/>
        </w:rPr>
        <w:t>to confidential information belonging to the Company in any form, whether in writing, orally, electronically,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(collectively,</w:t>
      </w:r>
      <w:r>
        <w:rPr>
          <w:color w:val="000000"/>
        </w:rPr>
        <w:t xml:space="preserve"> “</w:t>
      </w:r>
      <w:r>
        <w:rPr>
          <w:rFonts w:ascii="Times New Roman;serif" w:hAnsi="Times New Roman;serif"/>
          <w:b w:val="false"/>
          <w:color w:val="000000"/>
          <w:sz w:val="24"/>
          <w:u w:val="single"/>
        </w:rPr>
        <w:t>Confidential</w:t>
      </w:r>
      <w:r>
        <w:rPr>
          <w:color w:val="000000"/>
          <w:u w:val="single"/>
        </w:rPr>
        <w:t xml:space="preserve"> </w:t>
      </w:r>
      <w:r>
        <w:rPr>
          <w:rFonts w:ascii="Times New Roman;serif" w:hAnsi="Times New Roman;serif"/>
          <w:b w:val="false"/>
          <w:color w:val="000000"/>
          <w:sz w:val="24"/>
          <w:u w:val="single"/>
        </w:rPr>
        <w:t>Information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includes,</w:t>
      </w:r>
      <w:r>
        <w:rPr>
          <w:color w:val="000000"/>
        </w:rPr>
        <w:t xml:space="preserve"> </w:t>
      </w:r>
      <w:r>
        <w:rPr>
          <w:rFonts w:ascii="Times New Roman;serif" w:hAnsi="Times New Roman;serif"/>
          <w:b w:val="false"/>
          <w:color w:val="000000"/>
          <w:sz w:val="24"/>
        </w:rPr>
        <w:t>but is not limited to, any information that is or relates to:</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(i)information that is a trade secret under applicable trade secret or other law;</w:t>
      </w:r>
    </w:p>
    <w:p>
      <w:pPr>
        <w:pStyle w:val="TextBody"/>
        <w:bidi w:val="0"/>
        <w:spacing w:lineRule="auto" w:line="288" w:before="241" w:after="240"/>
        <w:ind w:left="0" w:right="0" w:firstLine="720"/>
        <w:jc w:val="both"/>
        <w:rPr/>
      </w:pPr>
      <w:r>
        <w:rPr>
          <w:rFonts w:ascii="Times New Roman;serif" w:hAnsi="Times New Roman;serif"/>
          <w:b w:val="false"/>
          <w:color w:val="000000"/>
          <w:sz w:val="24"/>
        </w:rPr>
        <w:t>(ii)information</w:t>
      </w:r>
      <w:r>
        <w:rPr>
          <w:color w:val="000000"/>
        </w:rPr>
        <w:t xml:space="preserve"> </w:t>
      </w:r>
      <w:r>
        <w:rPr>
          <w:rFonts w:ascii="Times New Roman;serif" w:hAnsi="Times New Roman;serif"/>
          <w:b w:val="false"/>
          <w:color w:val="000000"/>
          <w:sz w:val="24"/>
        </w:rPr>
        <w:t>concerning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present</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affairs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includes,</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historical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current financial statements, general ledgers, balance sheets and income statements; financial</w:t>
      </w:r>
      <w:r>
        <w:rPr>
          <w:color w:val="000000"/>
        </w:rPr>
        <w:t xml:space="preserve"> </w:t>
      </w:r>
      <w:r>
        <w:rPr>
          <w:rFonts w:ascii="Times New Roman;serif" w:hAnsi="Times New Roman;serif"/>
          <w:b w:val="false"/>
          <w:color w:val="000000"/>
          <w:sz w:val="24"/>
        </w:rPr>
        <w:t>projections,</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policies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budgets;</w:t>
      </w:r>
      <w:r>
        <w:rPr>
          <w:color w:val="000000"/>
        </w:rPr>
        <w:t xml:space="preserve"> </w:t>
      </w:r>
      <w:r>
        <w:rPr>
          <w:rFonts w:ascii="Times New Roman;serif" w:hAnsi="Times New Roman;serif"/>
          <w:b w:val="false"/>
          <w:color w:val="000000"/>
          <w:sz w:val="24"/>
        </w:rPr>
        <w:t>accounting</w:t>
      </w:r>
      <w:r>
        <w:rPr>
          <w:color w:val="000000"/>
        </w:rPr>
        <w:t xml:space="preserve"> </w:t>
      </w:r>
      <w:r>
        <w:rPr>
          <w:rFonts w:ascii="Times New Roman;serif" w:hAnsi="Times New Roman;serif"/>
          <w:b w:val="false"/>
          <w:color w:val="000000"/>
          <w:sz w:val="24"/>
        </w:rPr>
        <w:t>practices;</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returns and accountants’ materials; information pertaining to accounting, financial reporting and auditing; bank statements; notes; accounts payable and receivable; historical,</w:t>
      </w:r>
      <w:r>
        <w:rPr>
          <w:color w:val="000000"/>
        </w:rPr>
        <w:t xml:space="preserve"> </w:t>
      </w:r>
      <w:r>
        <w:rPr>
          <w:rFonts w:ascii="Times New Roman;serif" w:hAnsi="Times New Roman;serif"/>
          <w:b w:val="false"/>
          <w:color w:val="000000"/>
          <w:sz w:val="24"/>
        </w:rPr>
        <w:t>current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projected</w:t>
      </w:r>
      <w:r>
        <w:rPr>
          <w:color w:val="000000"/>
        </w:rPr>
        <w:t xml:space="preserve"> </w:t>
      </w:r>
      <w:r>
        <w:rPr>
          <w:rFonts w:ascii="Times New Roman;serif" w:hAnsi="Times New Roman;serif"/>
          <w:b w:val="false"/>
          <w:color w:val="000000"/>
          <w:sz w:val="24"/>
        </w:rPr>
        <w:t>sales;</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spending</w:t>
      </w:r>
      <w:r>
        <w:rPr>
          <w:color w:val="000000"/>
        </w:rPr>
        <w:t xml:space="preserve"> </w:t>
      </w:r>
      <w:r>
        <w:rPr>
          <w:rFonts w:ascii="Times New Roman;serif" w:hAnsi="Times New Roman;serif"/>
          <w:b w:val="false"/>
          <w:color w:val="000000"/>
          <w:sz w:val="24"/>
        </w:rPr>
        <w:t>budgets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business plans and strategic methods; marketing techniques and advertising plans; legal matters, including but not limited to litigation strategy and attorney-client privileged information; publications; information pertaining to prospective customers, customers, customer lists and files, vendors, contractors, business partners; joint ventures or</w:t>
      </w:r>
      <w:r>
        <w:rPr>
          <w:color w:val="000000"/>
        </w:rPr>
        <w:t xml:space="preserve"> </w:t>
      </w:r>
      <w:r>
        <w:rPr>
          <w:rFonts w:ascii="Times New Roman;serif" w:hAnsi="Times New Roman;serif"/>
          <w:b w:val="false"/>
          <w:color w:val="000000"/>
          <w:sz w:val="24"/>
        </w:rPr>
        <w:t>acquisitions; pricing information; contracts; operational and/or administrative protocols, plans, or rules; human resource information including the names and backgrounds of</w:t>
      </w:r>
      <w:r>
        <w:rPr>
          <w:color w:val="000000"/>
        </w:rPr>
        <w:t xml:space="preserve"> </w:t>
      </w:r>
      <w:r>
        <w:rPr>
          <w:rFonts w:ascii="Times New Roman;serif" w:hAnsi="Times New Roman;serif"/>
          <w:b w:val="false"/>
          <w:color w:val="000000"/>
          <w:sz w:val="24"/>
        </w:rPr>
        <w:t>key personnel, personnel issues, salaries, bonuses, and incentive plans; all other information regarding the operation and administration</w:t>
      </w:r>
      <w:r>
        <w:rPr>
          <w:color w:val="000000"/>
        </w:rPr>
        <w:t xml:space="preserve"> </w:t>
      </w:r>
      <w:r>
        <w:rPr>
          <w:rFonts w:ascii="Times New Roman;serif" w:hAnsi="Times New Roman;serif"/>
          <w:b w:val="false"/>
          <w:color w:val="000000"/>
          <w:sz w:val="24"/>
        </w:rPr>
        <w:t>of 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review of the Company’s or Affiliate’s documents or property or discussions with the Company or Affiliates regardless of the form of the communication;</w:t>
      </w:r>
    </w:p>
    <w:p>
      <w:pPr>
        <w:pStyle w:val="TextBody"/>
        <w:bidi w:val="0"/>
        <w:spacing w:lineRule="auto" w:line="288" w:before="79" w:after="283"/>
        <w:ind w:left="0" w:right="0" w:firstLine="720"/>
        <w:jc w:val="both"/>
        <w:rPr/>
      </w:pPr>
      <w:r>
        <w:rPr>
          <w:rFonts w:ascii="Times New Roman;serif" w:hAnsi="Times New Roman;serif"/>
          <w:b w:val="false"/>
          <w:color w:val="000000"/>
          <w:sz w:val="24"/>
        </w:rPr>
        <w:t>(iii)information not available to competitors of the Company or Affiliates, the use or disclosure of which might reasonably be construed to be contrary to the interests of the Company or Affiliates or give other persons or entities to whom such information is</w:t>
      </w:r>
      <w:r>
        <w:rPr>
          <w:color w:val="000000"/>
        </w:rPr>
        <w:t xml:space="preserve"> </w:t>
      </w:r>
      <w:r>
        <w:rPr>
          <w:rFonts w:ascii="Times New Roman;serif" w:hAnsi="Times New Roman;serif"/>
          <w:b w:val="false"/>
          <w:color w:val="000000"/>
          <w:sz w:val="24"/>
        </w:rPr>
        <w:t>disclosed a</w:t>
      </w:r>
      <w:r>
        <w:rPr>
          <w:color w:val="000000"/>
        </w:rPr>
        <w:t xml:space="preserve"> </w:t>
      </w:r>
      <w:r>
        <w:rPr>
          <w:rFonts w:ascii="Times New Roman;serif" w:hAnsi="Times New Roman;serif"/>
          <w:b w:val="false"/>
          <w:color w:val="000000"/>
          <w:sz w:val="24"/>
        </w:rPr>
        <w:t>competitive advantage over the Company or</w:t>
      </w:r>
      <w:r>
        <w:rPr>
          <w:color w:val="000000"/>
        </w:rPr>
        <w:t xml:space="preserve"> </w:t>
      </w:r>
      <w:r>
        <w:rPr>
          <w:rFonts w:ascii="Times New Roman;serif" w:hAnsi="Times New Roman;serif"/>
          <w:b w:val="false"/>
          <w:color w:val="000000"/>
          <w:sz w:val="24"/>
        </w:rPr>
        <w:t>Affiliates; and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(iv)all notes, analyses, compilations, studies, summaries and other material prepared by the Company or Affiliates containing or based, in whole or in part, upon any information included in the above.</w:t>
      </w:r>
    </w:p>
    <w:p>
      <w:pPr>
        <w:pStyle w:val="TextBody"/>
        <w:bidi w:val="0"/>
        <w:spacing w:lineRule="auto" w:line="288" w:before="0" w:after="240"/>
        <w:jc w:val="both"/>
        <w:rPr/>
      </w:pPr>
      <w:r>
        <w:rPr>
          <w:rFonts w:ascii="Times New Roman;serif" w:hAnsi="Times New Roman;serif"/>
          <w:b w:val="false"/>
          <w:color w:val="000000"/>
          <w:sz w:val="24"/>
        </w:rPr>
        <w:t>Notwithstanding the foregoing, Confidential Information does not include information which (i) was disclosed to the public by the Company or becomes generally available to the public other than as a result of an unauthorized disclosure by the Executive or his representatives, or (ii) was or becomes available to the Executive on a non-confidential basis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source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advisors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source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not known</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to be</w:t>
      </w:r>
      <w:r>
        <w:rPr>
          <w:color w:val="000000"/>
        </w:rPr>
        <w:t xml:space="preserve"> </w:t>
      </w:r>
      <w:r>
        <w:rPr>
          <w:rFonts w:ascii="Times New Roman;serif" w:hAnsi="Times New Roman;serif"/>
          <w:b w:val="false"/>
          <w:color w:val="000000"/>
          <w:sz w:val="24"/>
        </w:rPr>
        <w:t>bound by a</w:t>
      </w:r>
      <w:r>
        <w:rPr>
          <w:color w:val="000000"/>
        </w:rPr>
        <w:t xml:space="preserve"> </w:t>
      </w:r>
      <w:r>
        <w:rPr>
          <w:rFonts w:ascii="Times New Roman;serif" w:hAnsi="Times New Roman;serif"/>
          <w:b w:val="false"/>
          <w:color w:val="000000"/>
          <w:sz w:val="24"/>
        </w:rPr>
        <w:t>confidentiality agreement with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 otherwise prohibited from transmitting the information to the Executive by a contractual, legal or fiduciary obligation.</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(c)The Executive will not at any time, for so long as any Confidential Information</w:t>
      </w:r>
      <w:r>
        <w:rPr>
          <w:color w:val="000000"/>
        </w:rPr>
        <w:t xml:space="preserve"> </w:t>
      </w:r>
      <w:r>
        <w:rPr>
          <w:rFonts w:ascii="Times New Roman;serif" w:hAnsi="Times New Roman;serif"/>
          <w:b w:val="false"/>
          <w:color w:val="000000"/>
          <w:sz w:val="24"/>
        </w:rPr>
        <w:t>remains</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disclose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 indirectly, to any person outside of the Company and its Affiliates, unless compelled by judicial process. Upon receipt of judicial process or governmental request for such information,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notify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with the Company in efforts to limit such disclosure and shall not make such disclosure unless compelled to do so.</w:t>
      </w:r>
    </w:p>
    <w:p>
      <w:pPr>
        <w:pStyle w:val="TextBody"/>
        <w:bidi w:val="0"/>
        <w:spacing w:lineRule="auto" w:line="288" w:before="0" w:after="240"/>
        <w:ind w:left="0" w:right="0" w:firstLine="720"/>
        <w:jc w:val="both"/>
        <w:rPr/>
      </w:pPr>
      <w:r>
        <w:rPr>
          <w:rFonts w:ascii="Times New Roman;serif" w:hAnsi="Times New Roman;serif"/>
          <w:b w:val="false"/>
          <w:color w:val="000000"/>
          <w:sz w:val="24"/>
        </w:rPr>
        <w:t>(d)Notwithstanding the above,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violated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criminally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civilly</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 law for the disclosure of a trade secret that is made in confidence to a Federal, State, or local government official or to an attorney solely for the purpose of reporting or investigating a suspected violation of law. In addition, the Executive shall not be deemed 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violated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criminally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civilly</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or State</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complaint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 document filed in a lawsuit, arbitration or other proceeding, if such filing is made under seal. If the Executive files a lawsuit for retaliation by the Company for reporting a suspected violation of law, he may disclose the trade secret to his attorney and use the trade secret information in the court or arbitration proceeding, so long as the Executive files any document containing the trade secret under seal and does not further disclose the trade secret,</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arbitral</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Nothing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intended</w:t>
      </w:r>
      <w:r>
        <w:rPr>
          <w:color w:val="000000"/>
        </w:rPr>
        <w:t xml:space="preserve"> </w:t>
      </w:r>
      <w:r>
        <w:rPr>
          <w:rFonts w:ascii="Times New Roman;serif" w:hAnsi="Times New Roman;serif"/>
          <w:b w:val="false"/>
          <w:color w:val="000000"/>
          <w:sz w:val="24"/>
        </w:rPr>
        <w:t>to 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18</w:t>
      </w:r>
      <w:r>
        <w:rPr>
          <w:color w:val="000000"/>
        </w:rPr>
        <w:t xml:space="preserve"> </w:t>
      </w:r>
      <w:r>
        <w:rPr>
          <w:rFonts w:ascii="Times New Roman;serif" w:hAnsi="Times New Roman;serif"/>
          <w:b w:val="false"/>
          <w:color w:val="000000"/>
          <w:sz w:val="24"/>
        </w:rPr>
        <w:t>U.S.C.</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1833(b)</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create</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disclosures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 expressly allowed by 18 U.S.C. § 1833(b).</w:t>
      </w:r>
    </w:p>
    <w:p>
      <w:pPr>
        <w:pStyle w:val="TextBody"/>
        <w:bidi w:val="0"/>
        <w:spacing w:lineRule="auto" w:line="288" w:before="0" w:after="240"/>
        <w:ind w:left="0" w:right="0" w:firstLine="720"/>
        <w:jc w:val="both"/>
        <w:rPr/>
      </w:pPr>
      <w:r>
        <w:rPr>
          <w:rFonts w:ascii="Times New Roman;serif" w:hAnsi="Times New Roman;serif"/>
          <w:b w:val="false"/>
          <w:color w:val="000000"/>
          <w:sz w:val="24"/>
        </w:rPr>
        <w:t>(e)Further, nothing in this Agreement or any other agreement that the Executive has with the Company or any of its Affiliates shall prohibit or restrict the Executive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voluntarily</w:t>
      </w:r>
      <w:r>
        <w:rPr>
          <w:color w:val="000000"/>
        </w:rPr>
        <w:t xml:space="preserve"> </w:t>
      </w:r>
      <w:r>
        <w:rPr>
          <w:rFonts w:ascii="Times New Roman;serif" w:hAnsi="Times New Roman;serif"/>
          <w:b w:val="false"/>
          <w:color w:val="000000"/>
          <w:sz w:val="24"/>
        </w:rPr>
        <w:t>communicating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attorney</w:t>
      </w:r>
      <w:r>
        <w:rPr>
          <w:color w:val="000000"/>
        </w:rPr>
        <w:t xml:space="preserve"> </w:t>
      </w:r>
      <w:r>
        <w:rPr>
          <w:rFonts w:ascii="Times New Roman;serif" w:hAnsi="Times New Roman;serif"/>
          <w:b w:val="false"/>
          <w:color w:val="000000"/>
          <w:sz w:val="24"/>
        </w:rPr>
        <w:t>retained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 (B)</w:t>
      </w:r>
      <w:r>
        <w:rPr>
          <w:color w:val="000000"/>
        </w:rPr>
        <w:t xml:space="preserve"> </w:t>
      </w:r>
      <w:r>
        <w:rPr>
          <w:rFonts w:ascii="Times New Roman;serif" w:hAnsi="Times New Roman;serif"/>
          <w:b w:val="false"/>
          <w:color w:val="000000"/>
          <w:sz w:val="24"/>
        </w:rPr>
        <w:t>voluntarily</w:t>
      </w:r>
      <w:r>
        <w:rPr>
          <w:color w:val="000000"/>
        </w:rPr>
        <w:t xml:space="preserve"> </w:t>
      </w:r>
      <w:r>
        <w:rPr>
          <w:rFonts w:ascii="Times New Roman;serif" w:hAnsi="Times New Roman;serif"/>
          <w:b w:val="false"/>
          <w:color w:val="000000"/>
          <w:sz w:val="24"/>
        </w:rPr>
        <w:t>communicating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enforcement,</w:t>
      </w:r>
      <w:r>
        <w:rPr>
          <w:color w:val="000000"/>
        </w:rPr>
        <w:t xml:space="preserve"> </w:t>
      </w:r>
      <w:r>
        <w:rPr>
          <w:rFonts w:ascii="Times New Roman;serif" w:hAnsi="Times New Roman;serif"/>
          <w:b w:val="false"/>
          <w:color w:val="000000"/>
          <w:sz w:val="24"/>
        </w:rPr>
        <w:t>government</w:t>
      </w:r>
      <w:r>
        <w:rPr>
          <w:color w:val="000000"/>
        </w:rPr>
        <w:t xml:space="preserve"> </w:t>
      </w:r>
      <w:r>
        <w:rPr>
          <w:rFonts w:ascii="Times New Roman;serif" w:hAnsi="Times New Roman;serif"/>
          <w:b w:val="false"/>
          <w:color w:val="000000"/>
          <w:sz w:val="24"/>
        </w:rPr>
        <w:t>agency,</w:t>
      </w:r>
      <w:r>
        <w:rPr>
          <w:color w:val="000000"/>
        </w:rPr>
        <w:t xml:space="preserve"> </w:t>
      </w:r>
      <w:r>
        <w:rPr>
          <w:rFonts w:ascii="Times New Roman;serif" w:hAnsi="Times New Roman;serif"/>
          <w:b w:val="false"/>
          <w:color w:val="000000"/>
          <w:sz w:val="24"/>
        </w:rPr>
        <w:t>including 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Commission</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Opportunity Commission,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Attorney</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local</w:t>
      </w:r>
      <w:r>
        <w:rPr>
          <w:color w:val="000000"/>
        </w:rPr>
        <w:t xml:space="preserve"> </w:t>
      </w:r>
      <w:r>
        <w:rPr>
          <w:rFonts w:ascii="Times New Roman;serif" w:hAnsi="Times New Roman;serif"/>
          <w:b w:val="false"/>
          <w:color w:val="000000"/>
          <w:sz w:val="24"/>
        </w:rPr>
        <w:t>commission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human</w:t>
      </w:r>
      <w:r>
        <w:rPr>
          <w:color w:val="000000"/>
        </w:rPr>
        <w:t xml:space="preserve"> </w:t>
      </w:r>
      <w:r>
        <w:rPr>
          <w:rFonts w:ascii="Times New Roman;serif" w:hAnsi="Times New Roman;serif"/>
          <w:b w:val="false"/>
          <w:color w:val="000000"/>
          <w:sz w:val="24"/>
        </w:rPr>
        <w:t>rights, 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self-regulatory</w:t>
      </w:r>
      <w:r>
        <w:rPr>
          <w:color w:val="000000"/>
        </w:rPr>
        <w:t xml:space="preserve"> </w:t>
      </w:r>
      <w:r>
        <w:rPr>
          <w:rFonts w:ascii="Times New Roman;serif" w:hAnsi="Times New Roman;serif"/>
          <w:b w:val="false"/>
          <w:color w:val="000000"/>
          <w:sz w:val="24"/>
        </w:rPr>
        <w:t>organization</w:t>
      </w:r>
      <w:r>
        <w:rPr>
          <w:color w:val="000000"/>
        </w:rPr>
        <w:t xml:space="preserve"> </w:t>
      </w:r>
      <w:r>
        <w:rPr>
          <w:rFonts w:ascii="Times New Roman;serif" w:hAnsi="Times New Roman;serif"/>
          <w:b w:val="false"/>
          <w:color w:val="000000"/>
          <w:sz w:val="24"/>
        </w:rPr>
        <w:t>regarding</w:t>
      </w:r>
      <w:r>
        <w:rPr>
          <w:color w:val="000000"/>
        </w:rPr>
        <w:t xml:space="preserve"> </w:t>
      </w:r>
      <w:r>
        <w:rPr>
          <w:rFonts w:ascii="Times New Roman;serif" w:hAnsi="Times New Roman;serif"/>
          <w:b w:val="false"/>
          <w:color w:val="000000"/>
          <w:sz w:val="24"/>
        </w:rPr>
        <w:t>possible</w:t>
      </w:r>
      <w:r>
        <w:rPr>
          <w:color w:val="000000"/>
        </w:rPr>
        <w:t xml:space="preserve"> </w:t>
      </w:r>
      <w:r>
        <w:rPr>
          <w:rFonts w:ascii="Times New Roman;serif" w:hAnsi="Times New Roman;serif"/>
          <w:b w:val="false"/>
          <w:color w:val="000000"/>
          <w:sz w:val="24"/>
        </w:rPr>
        <w:t>violations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alleged criminal</w:t>
      </w:r>
      <w:r>
        <w:rPr>
          <w:color w:val="000000"/>
        </w:rPr>
        <w:t xml:space="preserve"> </w:t>
      </w:r>
      <w:r>
        <w:rPr>
          <w:rFonts w:ascii="Times New Roman;serif" w:hAnsi="Times New Roman;serif"/>
          <w:b w:val="false"/>
          <w:color w:val="000000"/>
          <w:sz w:val="24"/>
        </w:rPr>
        <w:t>conduct</w:t>
      </w:r>
      <w:r>
        <w:rPr>
          <w:color w:val="000000"/>
        </w:rPr>
        <w:t xml:space="preserve"> </w:t>
      </w:r>
      <w:r>
        <w:rPr>
          <w:rFonts w:ascii="Times New Roman;serif" w:hAnsi="Times New Roman;serif"/>
          <w:b w:val="false"/>
          <w:color w:val="000000"/>
          <w:sz w:val="24"/>
        </w:rPr>
        <w:t>or unlawful</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practices),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without advance</w:t>
      </w:r>
      <w:r>
        <w:rPr>
          <w:color w:val="000000"/>
        </w:rPr>
        <w:t xml:space="preserve"> </w:t>
      </w:r>
      <w:r>
        <w:rPr>
          <w:rFonts w:ascii="Times New Roman;serif" w:hAnsi="Times New Roman;serif"/>
          <w:b w:val="false"/>
          <w:color w:val="000000"/>
          <w:sz w:val="24"/>
        </w:rPr>
        <w:t>notice to the Company, or otherwise initiating, testifying, assisting, complying with a subpoena from,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participating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investigation</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government agency, (C) recovering a SEC whistleblower award as provided under Section 21F of the Securities Exchange Act of 1934, (D) disclosing any Confidential Information to a court or other administrative or legislative body in response to a subpoena from said court or administrative or legislative body, court order or written request (with advance notice to the Company or any of its Affiliates prior to any such disclosure to the extent legally permitted), (E) disclosing the underlying facts or circumstances relating to claims of discrimination,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prohibiting</w:t>
      </w:r>
      <w:r>
        <w:rPr>
          <w:color w:val="000000"/>
        </w:rPr>
        <w:t xml:space="preserve"> </w:t>
      </w:r>
      <w:r>
        <w:rPr>
          <w:rFonts w:ascii="Times New Roman;serif" w:hAnsi="Times New Roman;serif"/>
          <w:b w:val="false"/>
          <w:color w:val="000000"/>
          <w:sz w:val="24"/>
        </w:rPr>
        <w:t>discrimination,</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 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disclosing</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sexual</w:t>
      </w:r>
      <w:r>
        <w:rPr>
          <w:color w:val="000000"/>
        </w:rPr>
        <w:t xml:space="preserve"> </w:t>
      </w:r>
      <w:r>
        <w:rPr>
          <w:rFonts w:ascii="Times New Roman;serif" w:hAnsi="Times New Roman;serif"/>
          <w:b w:val="false"/>
          <w:color w:val="000000"/>
          <w:sz w:val="24"/>
        </w:rPr>
        <w:t>misconduct,</w:t>
      </w:r>
      <w:r>
        <w:rPr>
          <w:color w:val="000000"/>
        </w:rPr>
        <w:t xml:space="preserve"> </w:t>
      </w:r>
      <w:r>
        <w:rPr>
          <w:rFonts w:ascii="Times New Roman;serif" w:hAnsi="Times New Roman;serif"/>
          <w:b w:val="false"/>
          <w:color w:val="000000"/>
          <w:sz w:val="24"/>
        </w:rPr>
        <w:t>sexual harassment, sexual assault or other unlawful employment practices, or (F) disclosing any Confidential Information to the Executive’s personal attorneys for purposes of enforcing or interpreting this Agreement or any other material written agreement between the Executive and the Company or any of its Affiliates (or in the case of any other litigation between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 xml:space="preserve">arbitrator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for the purpose of enforcing or interpreting this Agreement (or in the case of any other litigation</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 case</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informed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and, as to the Executive’s attorneys, their obligation (contractual or otherwise) to keep such Confidential Information confidential.</w:t>
      </w:r>
    </w:p>
    <w:p>
      <w:pPr>
        <w:pStyle w:val="TextBody"/>
        <w:bidi w:val="0"/>
        <w:spacing w:lineRule="auto" w:line="288" w:before="241" w:after="283"/>
        <w:ind w:left="0" w:right="0" w:hanging="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Covenant</w:t>
      </w:r>
      <w:r>
        <w:rPr>
          <w:color w:val="000000"/>
          <w:u w:val="single"/>
        </w:rPr>
        <w:t xml:space="preserve"> </w:t>
      </w:r>
      <w:r>
        <w:rPr>
          <w:rFonts w:ascii="Times New Roman;serif" w:hAnsi="Times New Roman;serif"/>
          <w:b w:val="false"/>
          <w:color w:val="000000"/>
          <w:sz w:val="24"/>
          <w:u w:val="single"/>
        </w:rPr>
        <w:t>Not</w:t>
      </w:r>
      <w:r>
        <w:rPr>
          <w:color w:val="000000"/>
          <w:u w:val="single"/>
        </w:rPr>
        <w:t xml:space="preserve"> </w:t>
      </w:r>
      <w:r>
        <w:rPr>
          <w:rFonts w:ascii="Times New Roman;serif" w:hAnsi="Times New Roman;serif"/>
          <w:b w:val="false"/>
          <w:color w:val="000000"/>
          <w:sz w:val="24"/>
          <w:u w:val="single"/>
        </w:rPr>
        <w:t>to</w:t>
      </w:r>
      <w:r>
        <w:rPr>
          <w:color w:val="000000"/>
          <w:u w:val="single"/>
        </w:rPr>
        <w:t xml:space="preserve"> </w:t>
      </w:r>
      <w:r>
        <w:rPr>
          <w:rFonts w:ascii="Times New Roman;serif" w:hAnsi="Times New Roman;serif"/>
          <w:b w:val="false"/>
          <w:color w:val="000000"/>
          <w:sz w:val="24"/>
          <w:u w:val="single"/>
        </w:rPr>
        <w:t>Compete;</w:t>
      </w:r>
      <w:r>
        <w:rPr>
          <w:color w:val="000000"/>
          <w:u w:val="single"/>
        </w:rPr>
        <w:t xml:space="preserve"> </w:t>
      </w:r>
      <w:r>
        <w:rPr>
          <w:rFonts w:ascii="Times New Roman;serif" w:hAnsi="Times New Roman;serif"/>
          <w:b w:val="false"/>
          <w:color w:val="000000"/>
          <w:sz w:val="24"/>
          <w:u w:val="single"/>
        </w:rPr>
        <w:t>Non-Solicitation; Non-Disparagement</w:t>
      </w:r>
      <w:r>
        <w:rPr>
          <w:rFonts w:ascii="Times New Roman;serif" w:hAnsi="Times New Roman;serif"/>
          <w:b w:val="false"/>
          <w:color w:val="000000"/>
          <w:sz w:val="24"/>
        </w:rPr>
        <w: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commencing</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Start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and ending upon the expiration of eighteen (18) months following the termination of the Executive’s employment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reason (other than if the Term is not renewed pursuant to Section 2, in which case the period shall commence on the Start Date and end upon the expiration of twelve (12) months following the termination of the Executive’s employment pursuant to the expiration of the Term</w:t>
      </w:r>
      <w:r>
        <w:rPr>
          <w:color w:val="000000"/>
        </w:rPr>
        <w:t xml:space="preserve"> </w:t>
      </w:r>
      <w:r>
        <w:rPr>
          <w:rFonts w:ascii="Times New Roman;serif" w:hAnsi="Times New Roman;serif"/>
          <w:b w:val="false"/>
          <w:color w:val="000000"/>
          <w:sz w:val="24"/>
        </w:rPr>
        <w:t>(the “Non-competition Period”)), either 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engage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have an interest in or be associated with (whether as an officer, director, stockholder, partner, associate, employee, consultant, owner,</w:t>
      </w:r>
      <w:r>
        <w:rPr>
          <w:color w:val="000000"/>
        </w:rPr>
        <w:t xml:space="preserve"> </w:t>
      </w:r>
      <w:r>
        <w:rPr>
          <w:rFonts w:ascii="Times New Roman;serif" w:hAnsi="Times New Roman;serif"/>
          <w:b w:val="false"/>
          <w:color w:val="000000"/>
          <w:sz w:val="24"/>
        </w:rPr>
        <w:t>contractor,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any corporation, firm or enterprise</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engaged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businesses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including, without limitation, the development, ownership, leasing, management, financing or sales of</w:t>
      </w:r>
      <w:r>
        <w:rPr>
          <w:color w:val="000000"/>
        </w:rPr>
        <w:t xml:space="preserve"> </w:t>
      </w:r>
      <w:r>
        <w:rPr>
          <w:rFonts w:ascii="Times New Roman;serif" w:hAnsi="Times New Roman;serif"/>
          <w:b w:val="false"/>
          <w:color w:val="000000"/>
          <w:sz w:val="24"/>
        </w:rPr>
        <w:t>manufactured</w:t>
      </w:r>
      <w:r>
        <w:rPr>
          <w:color w:val="000000"/>
        </w:rPr>
        <w:t xml:space="preserve"> </w:t>
      </w:r>
      <w:r>
        <w:rPr>
          <w:rFonts w:ascii="Times New Roman;serif" w:hAnsi="Times New Roman;serif"/>
          <w:b w:val="false"/>
          <w:color w:val="000000"/>
          <w:sz w:val="24"/>
        </w:rPr>
        <w:t>housing</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recreational</w:t>
      </w:r>
      <w:r>
        <w:rPr>
          <w:color w:val="000000"/>
        </w:rPr>
        <w:t xml:space="preserve"> </w:t>
      </w:r>
      <w:r>
        <w:rPr>
          <w:rFonts w:ascii="Times New Roman;serif" w:hAnsi="Times New Roman;serif"/>
          <w:b w:val="false"/>
          <w:color w:val="000000"/>
          <w:sz w:val="24"/>
        </w:rPr>
        <w:t>vehicle</w:t>
      </w:r>
      <w:r>
        <w:rPr>
          <w:color w:val="000000"/>
        </w:rPr>
        <w:t xml:space="preserve"> </w:t>
      </w:r>
      <w:r>
        <w:rPr>
          <w:rFonts w:ascii="Times New Roman;serif" w:hAnsi="Times New Roman;serif"/>
          <w:b w:val="false"/>
          <w:color w:val="000000"/>
          <w:sz w:val="24"/>
        </w:rPr>
        <w:t>resorts or</w:t>
      </w:r>
      <w:r>
        <w:rPr>
          <w:color w:val="000000"/>
        </w:rPr>
        <w:t xml:space="preserve"> </w:t>
      </w:r>
      <w:r>
        <w:rPr>
          <w:rFonts w:ascii="Times New Roman;serif" w:hAnsi="Times New Roman;serif"/>
          <w:b w:val="false"/>
          <w:color w:val="000000"/>
          <w:sz w:val="24"/>
        </w:rPr>
        <w:t>camping or glamping resorts with detached dwellings, anywhere within the United States or any other country or territory in which the Company or its subsidiaries actively conducted any such business in the twelve (12) months preceding the Executive’s separation from employment; provided, however, that notwithstanding anything to the contrary herein, the Executive may invest in any publicly held corporation, if such investment does not exceed one percent (1.0%) in value of the issued and outstanding capital stock of such corporation, and the Executive does not directly or indirectly provide any services to such corporation; and provided, further, that the Executive may invest in any entity engaged in the business of development, ownership, leasing, sales, management or financing of single family or multi-family housing, condominiums, townhome communities or other forms of housing (in each case, other than manufactured</w:t>
      </w:r>
      <w:r>
        <w:rPr>
          <w:color w:val="000000"/>
        </w:rPr>
        <w:t xml:space="preserve"> </w:t>
      </w:r>
      <w:r>
        <w:rPr>
          <w:rFonts w:ascii="Times New Roman;serif" w:hAnsi="Times New Roman;serif"/>
          <w:b w:val="false"/>
          <w:color w:val="000000"/>
          <w:sz w:val="24"/>
        </w:rPr>
        <w:t>housing</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recreational</w:t>
      </w:r>
      <w:r>
        <w:rPr>
          <w:color w:val="000000"/>
        </w:rPr>
        <w:t xml:space="preserve"> </w:t>
      </w:r>
      <w:r>
        <w:rPr>
          <w:rFonts w:ascii="Times New Roman;serif" w:hAnsi="Times New Roman;serif"/>
          <w:b w:val="false"/>
          <w:color w:val="000000"/>
          <w:sz w:val="24"/>
        </w:rPr>
        <w:t>vehicle</w:t>
      </w:r>
      <w:r>
        <w:rPr>
          <w:color w:val="000000"/>
        </w:rPr>
        <w:t xml:space="preserve"> </w:t>
      </w:r>
      <w:r>
        <w:rPr>
          <w:rFonts w:ascii="Times New Roman;serif" w:hAnsi="Times New Roman;serif"/>
          <w:b w:val="false"/>
          <w:color w:val="000000"/>
          <w:sz w:val="24"/>
        </w:rPr>
        <w:t>resorts or</w:t>
      </w:r>
      <w:r>
        <w:rPr>
          <w:color w:val="000000"/>
        </w:rPr>
        <w:t xml:space="preserve"> </w:t>
      </w:r>
      <w:r>
        <w:rPr>
          <w:rFonts w:ascii="Times New Roman;serif" w:hAnsi="Times New Roman;serif"/>
          <w:b w:val="false"/>
          <w:color w:val="000000"/>
          <w:sz w:val="24"/>
        </w:rPr>
        <w:t>camping or glamping resorts with detached dwellings) if the Executive does not directly or indirectly provide any services to such entity (other than services incidental to the oversight of the Executive’s investment).</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(b)For a period commencing on the date of this Agreement and ending upon the expiration of the Non-competition Period, the Executive shall not, either directly or indirectly, divert, or by aid to others, do anything which would tend to divert, from the Company or any Affiliate any trade or business with any customer or supplier with whom the Executive had a direct, substantive business relationship, or for whom the Executive had direct responsibility, during the final twelve (12) months of the Executive’s employment with the Company or with any party whose identity or potential as a customer or supplier was confidential or learned by the Executive during his employment by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(c)For a period commencing on the date of this Agreement and ending upon the expiration of the Non-competition</w:t>
      </w:r>
      <w:r>
        <w:rPr>
          <w:color w:val="000000"/>
        </w:rPr>
        <w:t xml:space="preserve"> </w:t>
      </w:r>
      <w:r>
        <w:rPr>
          <w:rFonts w:ascii="Times New Roman;serif" w:hAnsi="Times New Roman;serif"/>
          <w:b w:val="false"/>
          <w:color w:val="000000"/>
          <w:sz w:val="24"/>
        </w:rPr>
        <w:t xml:space="preserve">Period, the Executive shall not,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indirectly, (i) employ, hire, or enter into any contractual or business relationship with any employee, former employee, or independent contractor of the Company with whom the Executive worked directly or had a reporting relationship during the final twelve (12) months of the Executive’s employment, or (ii) offer employment to, solicit, induce, or attempt to induce any employee, former employee or independent contractor of the Company to leave the employment of or terminate his, her, or its contractual relationship with the Company, unless such former employee or independent contractor has not been employed by or done business with the Company for more than twelve (12) months. Notwithstanding the foregoing, this</w:t>
      </w:r>
      <w:r>
        <w:rPr>
          <w:color w:val="000000"/>
        </w:rPr>
        <w:t xml:space="preserve"> </w:t>
      </w:r>
      <w:r>
        <w:rPr>
          <w:rFonts w:ascii="Times New Roman;serif" w:hAnsi="Times New Roman;serif"/>
          <w:b w:val="false"/>
          <w:color w:val="000000"/>
          <w:sz w:val="24"/>
        </w:rPr>
        <w:t>Section 11(c) shall not apply to and shall not prohibit any general solicitation or general advertisements, the use of search firms (in each case not directed at, or targeted to, any person with whom the Executive was acquainted while employed by the Company), or the hiring of any person as a result thereof. Notwithstanding anything contained in this Agreement to the contrary, and for the avoidance of doubt, the obligations of the Executive pursuant to this Section 11(c) shall survive the termination of this Agreement until the expiration of the Non-competition Period.</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(d)During the Term and thereafter, the Executive shall refrain from making any false, negative, critical, or disparaging statements, whether oral or written, about or concerning the Company and its affiliates and their respective officers and directors. Following the Term, the Company shall instruct the Board and executive officers to refrain from making any false, negative, critical, or disparaging statements, whether oral or written, about or concerning the Executive. Nothing in this Section 11(d) shall be construed to prevent any party from making truthful statements or communications as required or permitted by applicable law, rule, or regulation, in response to a lawful subpoena, court order, or other compulsory legal process or to any governmental, regulatory, or law-enforcement agency or entity charged with enforcing the law, including but not limited to the Securities and Exchange Commission.</w:t>
      </w:r>
    </w:p>
    <w:p>
      <w:pPr>
        <w:pStyle w:val="TextBody"/>
        <w:bidi w:val="0"/>
        <w:spacing w:lineRule="auto" w:line="288" w:before="241" w:after="283"/>
        <w:ind w:left="0" w:right="0" w:hanging="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Reasonableness</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Restrictive</w:t>
      </w:r>
      <w:r>
        <w:rPr>
          <w:color w:val="000000"/>
          <w:u w:val="single"/>
        </w:rPr>
        <w:t xml:space="preserve"> </w:t>
      </w:r>
      <w:r>
        <w:rPr>
          <w:rFonts w:ascii="Times New Roman;serif" w:hAnsi="Times New Roman;serif"/>
          <w:b w:val="false"/>
          <w:color w:val="000000"/>
          <w:sz w:val="24"/>
          <w:u w:val="single"/>
        </w:rPr>
        <w:t>Covenants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Executive acknowledges and agrees that the restrictions set forth in this Agreement, including without limitation the time period, scope and geographical restrictions in Sections 10 and 11, are fair and reasonable. The Executive recognizes that the Company conducts its business nationally and internationally and that these restrictions are reasonably tailored to protect the Company’s legitimate, global business interests and Confidential Information. The Executive has contemplated the effect that these restrictions may have upon him following termination of employment with the Company and that it will be necessary to structure his activities and operations so as not to violate this Agreement. Each party acknowledges and agrees that the restrictive covenants set forth in Sections 10 and 11 were negotiated at arm’s length, that the Executive has had the opportunity to consult with independent legal counsel of his choosing regarding the terms and implications of such covenants, and that the Executive enters into such covenants voluntarily and with full knowledge of their scope and effect.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(b)If the Executive violates any part of Section 11 of this Agreement during the period specified, such period will be extended for the time that the Executive is in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violation of the Agreement. The purpose of this provision is to provide the Company with full compliance with Section 11 for the total period specified following the Executive’s termination.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(c)If any court or arbitrator determines that any of the covenants, or any part of any covenant, is invalid or unenforceable, the remainder of the covenants shall not be affected and shall be given full effect, without regard to the invalid portion. If any court or arbitrator determines that any of the covenants, or any part of any covenant, is unenforceable because of its duration, scope, or geographic restriction, such court or arbitrator shall have the power to reduce or narrow the duration, scope, or geographic restriction as the case may be, and, enforce such provision in such reduced or narrowed form.</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(d)Sections 10 and 11 of this Agreement shall remain enforceable and shall survive the termination of the Executive’s employment and the termination of this Agreement, in accordance with their terms, and shall not be deemed merged or extinguished by any act or omission, absent the specific signed written intention of the Company and the Executive to do so. The Executive agrees and understands that the remedy at law for any breach by him of Sections 10 or 11 will be inadequate and that the damages flowing from such breach are not readily susceptible to being measured in monetary terms. Accordingly, it is acknowledged that, upon adequate proof of the Executive’s violation of any provision of Sections 10 or 11 but without the necessity of proving actual damages, the Company shall be entitled to immediate injunctive relief and may obtain a temporary order restraining any threatened or further breach from any court of competent jurisdiction, or through the Arbitrator (as defined below) as set forth below (in the Company’s sole discretion). Nothing in this Section shall be deemed to limit the Company’s remedies at law or in equity for any breach by the Executive of any of the provisions of Sections 10 or 11 which may be pursued or availed of by the Company.</w:t>
      </w:r>
    </w:p>
    <w:p>
      <w:pPr>
        <w:pStyle w:val="TextBody"/>
        <w:bidi w:val="0"/>
        <w:spacing w:lineRule="auto" w:line="288" w:before="241" w:after="283"/>
        <w:ind w:left="0" w:right="0" w:firstLine="719"/>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Arbitration.</w:t>
      </w:r>
      <w:r>
        <w:rPr>
          <w:color w:val="000000"/>
        </w:rPr>
        <w:t xml:space="preserve"> </w:t>
      </w:r>
      <w:r>
        <w:rPr>
          <w:rFonts w:ascii="Times New Roman;serif" w:hAnsi="Times New Roman;serif"/>
          <w:b w:val="false"/>
          <w:color w:val="000000"/>
          <w:sz w:val="24"/>
        </w:rPr>
        <w:t>Except as permitted in Section 12 above, any and all disputes, controversies or claims of any nature whatsoever relating to, or arising out of, this Agreement or the Executive’s employment, whether in contract, tort, or otherwise (including, without limitation, claims of wrongful termination of employment, claims under Title VII of the Civil Rights Act, the Fair Labor Standards Act, the Americans with Disabilities Act, the Age Discrimination in Employment Act, or comparable state or federal laws, and any other laws dealing with employees’ rights and remedies) (the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shall be settled by mandatory arbitration administered by the American Arbitration Association under its Employment/Workplace Arbitration Rules (the “</w:t>
      </w:r>
      <w:r>
        <w:rPr>
          <w:rFonts w:ascii="Times New Roman;serif" w:hAnsi="Times New Roman;serif"/>
          <w:b w:val="false"/>
          <w:color w:val="000000"/>
          <w:sz w:val="24"/>
          <w:u w:val="single"/>
        </w:rPr>
        <w:t>Rules</w:t>
      </w:r>
      <w:r>
        <w:rPr>
          <w:color w:val="000000"/>
        </w:rPr>
        <w:t>”</w:t>
      </w:r>
      <w:r>
        <w:rPr>
          <w:rFonts w:ascii="Times New Roman;serif" w:hAnsi="Times New Roman;serif"/>
          <w:b w:val="false"/>
          <w:color w:val="000000"/>
          <w:sz w:val="24"/>
        </w:rPr>
        <w:t>). Claims that, as a matter of law, cannot be compelled to arbitration under applicable federal, state, or local law are not covered by this arbitration agreement. This arbitration agreement applies to disputes between the Executive and the Company, as well as its officers, directors, members, agents, or employees in their capacity as such. Notwithstanding the Rules, the arbitration shall be conducted as follows: (a) a single arbitrator (the “</w:t>
      </w:r>
      <w:r>
        <w:rPr>
          <w:rFonts w:ascii="Times New Roman;serif" w:hAnsi="Times New Roman;serif"/>
          <w:b w:val="false"/>
          <w:color w:val="000000"/>
          <w:sz w:val="24"/>
          <w:u w:val="single"/>
        </w:rPr>
        <w:t>Arbitrator</w:t>
      </w:r>
      <w:r>
        <w:rPr>
          <w:color w:val="000000"/>
        </w:rPr>
        <w:t>”</w:t>
      </w:r>
      <w:r>
        <w:rPr>
          <w:rFonts w:ascii="Times New Roman;serif" w:hAnsi="Times New Roman;serif"/>
          <w:b w:val="false"/>
          <w:color w:val="000000"/>
          <w:sz w:val="24"/>
        </w:rPr>
        <w:t xml:space="preserve">), mutually agreeable to the Company and the Executive, shall preside over the arbitration and shall make all decisions with respect to the resolution of the Claims; (b) in the event that the Company and the Executive are unable to agree on an Arbitrator within fifteen (15) days after either party has filed for arbitration in accordance with the Rules, they shall select a truly neutral arbitrator in accordance with the rules for the selection of neutral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arbitrators, who shall be the “Arbitrator” for the purposes of this Section 13; (c) the place of arbitration shall be Southfield, Michigan unless mutually agreed otherwise; (d) judgment may be entered on any award rendered by the Arbitrator in any federal or state court having jurisdiction over the parties; (e) all fees and expenses of the Arbitrator shall be shared equally between the Company and the Executive; (f) the decision of the Arbitrator shall govern and shall be conclusive and binding upon the parties; (g) the parties shall be entitled to reasonable levels of discovery in accordance with the Federal Rules of Civil Procedure or as permitted by the Arbitrator, provided, however, that the time permitted for discovery shall not exceed eight (8) weeks absent agreement of the parties and each party shall be limited to two (2) depositions; and (h) this provision shall be enforceable by specific performance and/or injunctive relief, and shall constitute a basis for dismissal of any legal action brought in violation of the duty to arbitrate. The Arbitrator’s award must be a reasoned award, issued in writing, and signed by the Arbitrator. The decision or award of the Arbitrator will be final and binding upon the Executive and the Company. Any arbitral award may be entered as a judgment or order in the Oakland County Circuit Court. Any relief or recovery will be limited to that awarded by the Arbitrator. The parties hereby acknowledge that it is their intent to expedite the resolution of any dispute, controversy or claim hereunder and that the Arbitrator shall schedule the timing of discovery and of the hearing consistent with that intent. Notwithstanding anything to the contrary herein, nothing contained in this Section 13 shall be construed to preclude the Company from obtaining injunctive or other equitable relief from the Oakland County Circuit Court or other court with appropriate jurisdiction to secure specific performance or to otherwise prevent the Executive’s breach of Sections 10 or 11 of this Agreement.</w:t>
      </w:r>
    </w:p>
    <w:p>
      <w:pPr>
        <w:pStyle w:val="TextBody"/>
        <w:bidi w:val="0"/>
        <w:spacing w:lineRule="auto" w:line="288" w:before="241" w:after="283"/>
        <w:ind w:left="0" w:right="0" w:firstLine="719"/>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consents, waivers, and other communications under this Agreement must be in writing and will be deemed to have been duly given (a) if personally delivered, on the date of delivery, (b) if delivered by express courier service of national standing for</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charges</w:t>
      </w:r>
      <w:r>
        <w:rPr>
          <w:color w:val="000000"/>
        </w:rPr>
        <w:t xml:space="preserve"> </w:t>
      </w:r>
      <w:r>
        <w:rPr>
          <w:rFonts w:ascii="Times New Roman;serif" w:hAnsi="Times New Roman;serif"/>
          <w:b w:val="false"/>
          <w:color w:val="000000"/>
          <w:sz w:val="24"/>
        </w:rPr>
        <w:t>prepaid),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to such courier service, (c) if delivered by e-mail upon confirmation of successful transmission or appropriate response, on 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transmission if</w:t>
      </w:r>
      <w:r>
        <w:rPr>
          <w:color w:val="000000"/>
        </w:rPr>
        <w:t xml:space="preserve"> </w:t>
      </w:r>
      <w:r>
        <w:rPr>
          <w:rFonts w:ascii="Times New Roman;serif" w:hAnsi="Times New Roman;serif"/>
          <w:b w:val="false"/>
          <w:color w:val="000000"/>
          <w:sz w:val="24"/>
        </w:rPr>
        <w:t>on a business day before</w:t>
      </w:r>
      <w:r>
        <w:rPr>
          <w:color w:val="000000"/>
        </w:rPr>
        <w:t xml:space="preserve"> </w:t>
      </w:r>
      <w:r>
        <w:rPr>
          <w:rFonts w:ascii="Times New Roman;serif" w:hAnsi="Times New Roman;serif"/>
          <w:b w:val="false"/>
          <w:color w:val="000000"/>
          <w:sz w:val="24"/>
        </w:rPr>
        <w:t>5:00 p.m. local time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address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succeeding</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and (d) if deposited in the United States mail, first-class postage prepaid, on the date of delivery, in each case, to the appropriate addresses set forth below (or to such other addresses as a party may designate by notice to the other parties in accordance with this Section 14):</w:t>
      </w:r>
    </w:p>
    <w:p>
      <w:pPr>
        <w:pStyle w:val="TextBody"/>
        <w:bidi w:val="0"/>
        <w:spacing w:lineRule="auto" w:line="288" w:before="240" w:after="283"/>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SCOLP:</w:t>
      </w:r>
    </w:p>
    <w:p>
      <w:pPr>
        <w:pStyle w:val="TextBody"/>
        <w:bidi w:val="0"/>
        <w:spacing w:lineRule="auto" w:line="288" w:before="240" w:after="283"/>
        <w:jc w:val="left"/>
        <w:rPr/>
      </w:pPr>
      <w:r>
        <w:rPr>
          <w:rFonts w:ascii="Times New Roman;serif" w:hAnsi="Times New Roman;serif"/>
          <w:b w:val="false"/>
          <w:color w:val="000000"/>
          <w:sz w:val="24"/>
        </w:rPr>
        <w:t>Sun</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Inc.</w:t>
      </w:r>
    </w:p>
    <w:p>
      <w:pPr>
        <w:pStyle w:val="TextBody"/>
        <w:bidi w:val="0"/>
        <w:spacing w:lineRule="auto" w:line="288" w:before="0" w:after="0"/>
        <w:jc w:val="left"/>
        <w:rPr/>
      </w:pPr>
      <w:r>
        <w:rPr>
          <w:rFonts w:ascii="Times New Roman;serif" w:hAnsi="Times New Roman;serif"/>
          <w:b w:val="false"/>
          <w:color w:val="000000"/>
          <w:sz w:val="24"/>
        </w:rPr>
        <w:t>27777</w:t>
      </w:r>
      <w:r>
        <w:rPr>
          <w:color w:val="000000"/>
        </w:rPr>
        <w:t xml:space="preserve"> </w:t>
      </w:r>
      <w:r>
        <w:rPr>
          <w:rFonts w:ascii="Times New Roman;serif" w:hAnsi="Times New Roman;serif"/>
          <w:b w:val="false"/>
          <w:color w:val="000000"/>
          <w:sz w:val="24"/>
        </w:rPr>
        <w:t>Franklin</w:t>
      </w:r>
      <w:r>
        <w:rPr>
          <w:color w:val="000000"/>
        </w:rPr>
        <w:t xml:space="preserve"> </w:t>
      </w:r>
      <w:r>
        <w:rPr>
          <w:rFonts w:ascii="Times New Roman;serif" w:hAnsi="Times New Roman;serif"/>
          <w:b w:val="false"/>
          <w:color w:val="000000"/>
          <w:sz w:val="24"/>
        </w:rPr>
        <w:t>Road,</w:t>
      </w:r>
      <w:r>
        <w:rPr>
          <w:color w:val="000000"/>
        </w:rPr>
        <w:t xml:space="preserve"> </w:t>
      </w:r>
      <w:r>
        <w:rPr>
          <w:rFonts w:ascii="Times New Roman;serif" w:hAnsi="Times New Roman;serif"/>
          <w:b w:val="false"/>
          <w:color w:val="000000"/>
          <w:sz w:val="24"/>
        </w:rPr>
        <w:t>Suite 300</w:t>
      </w:r>
    </w:p>
    <w:p>
      <w:pPr>
        <w:pStyle w:val="TextBody"/>
        <w:bidi w:val="0"/>
        <w:spacing w:lineRule="auto" w:line="288" w:before="0" w:after="0"/>
        <w:jc w:val="left"/>
        <w:rPr/>
      </w:pPr>
      <w:r>
        <w:rPr>
          <w:rFonts w:ascii="Times New Roman;serif" w:hAnsi="Times New Roman;serif"/>
          <w:b w:val="false"/>
          <w:color w:val="000000"/>
          <w:sz w:val="24"/>
        </w:rPr>
        <w:t>Southfield,</w:t>
      </w:r>
      <w:r>
        <w:rPr>
          <w:color w:val="000000"/>
        </w:rPr>
        <w:t xml:space="preserve"> </w:t>
      </w:r>
      <w:r>
        <w:rPr>
          <w:rFonts w:ascii="Times New Roman;serif" w:hAnsi="Times New Roman;serif"/>
          <w:b w:val="false"/>
          <w:color w:val="000000"/>
          <w:sz w:val="24"/>
        </w:rPr>
        <w:t>Michigan</w:t>
      </w:r>
      <w:r>
        <w:rPr>
          <w:color w:val="000000"/>
        </w:rPr>
        <w:t xml:space="preserve"> </w:t>
      </w:r>
      <w:r>
        <w:rPr>
          <w:rFonts w:ascii="Times New Roman;serif" w:hAnsi="Times New Roman;serif"/>
          <w:b w:val="false"/>
          <w:color w:val="000000"/>
          <w:sz w:val="24"/>
        </w:rPr>
        <w:t>48034 Attn: Board of Directors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Compliance Officer</w:t>
      </w:r>
    </w:p>
    <w:p>
      <w:pPr>
        <w:pStyle w:val="TextBody"/>
        <w:bidi w:val="0"/>
        <w:spacing w:lineRule="auto" w:line="288" w:before="1" w:after="283"/>
        <w:jc w:val="left"/>
        <w:rPr/>
      </w:pP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complianceofficer@suncommunities.com</w:t>
      </w:r>
    </w:p>
    <w:p>
      <w:pPr>
        <w:pStyle w:val="TextBody"/>
        <w:bidi w:val="0"/>
        <w:spacing w:lineRule="auto" w:line="288" w:before="240" w:after="283"/>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address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file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p>
    <w:p>
      <w:pPr>
        <w:pStyle w:val="TextBody"/>
        <w:bidi w:val="0"/>
        <w:spacing w:lineRule="auto" w:line="288" w:before="241" w:after="283"/>
        <w:ind w:left="0" w:right="0" w:firstLine="719"/>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Cooperation in Future Matters</w:t>
      </w:r>
      <w:r>
        <w:rPr>
          <w:rFonts w:ascii="Times New Roman;serif" w:hAnsi="Times New Roman;serif"/>
          <w:b w:val="false"/>
          <w:color w:val="000000"/>
          <w:sz w:val="24"/>
        </w:rPr>
        <w:t xml:space="preserve">. The Executive hereby agrees that, for a period of eighteen (18) months following his termination of employment for any reason whatsoever, he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shall cooperate with the Company’s reasonable requests relating to matters that pertain to the Executive’s employment by the Company, including, without limitation, providing information or limited consultation as to such matters, participating in legal proceedings, investigations or audits on behalf of the Company, or otherwise making himself reasonably available to the Company for other related purposes. Any such cooperation shall be performed at scheduled times taking into consideration the Executive’s other commitments, and the Executive shall be compensated at a reasonable hourly or per diem rate to be agreed upon by the parties to the extent such cooperation is required on more than an occasional and limited basis. The Executive shall not be required to perform such cooperation to the extent it conflicts with any requirements of exclusivity of services for another employer or otherwise, nor in any manner that in the good faith belief of the Executive would conflict with his rights under or ability to enforce this Agreement.</w:t>
      </w:r>
    </w:p>
    <w:p>
      <w:pPr>
        <w:pStyle w:val="TextBody"/>
        <w:bidi w:val="0"/>
        <w:spacing w:lineRule="auto" w:line="288" w:before="240" w:after="283"/>
        <w:ind w:left="0" w:right="0" w:hanging="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Agreement are severable. If a court or other body of competent jurisdiction determines that any provision of this Agreement is invalid,</w:t>
      </w:r>
      <w:r>
        <w:rPr>
          <w:color w:val="000000"/>
        </w:rPr>
        <w:t xml:space="preserve"> </w:t>
      </w:r>
      <w:r>
        <w:rPr>
          <w:rFonts w:ascii="Times New Roman;serif" w:hAnsi="Times New Roman;serif"/>
          <w:b w:val="false"/>
          <w:color w:val="000000"/>
          <w:sz w:val="24"/>
        </w:rPr>
        <w:t>illegal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unenforceable,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remaining</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 any partially</w:t>
      </w:r>
      <w:r>
        <w:rPr>
          <w:color w:val="000000"/>
        </w:rPr>
        <w:t xml:space="preserve"> </w:t>
      </w:r>
      <w:r>
        <w:rPr>
          <w:rFonts w:ascii="Times New Roman;serif" w:hAnsi="Times New Roman;serif"/>
          <w:b w:val="false"/>
          <w:color w:val="000000"/>
          <w:sz w:val="24"/>
        </w:rPr>
        <w:t>unenforceable</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enforceable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 jurisdiction nevertheless shall be binding and enforceable.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Assignment; Benefit</w:t>
      </w:r>
      <w:r>
        <w:rPr>
          <w:rFonts w:ascii="Times New Roman;serif" w:hAnsi="Times New Roman;serif"/>
          <w:b w:val="false"/>
          <w:color w:val="000000"/>
          <w:sz w:val="24"/>
        </w:rPr>
        <w:t>. This Agreement shall not be terminated by any merger or consolidation or other reorganization of the REIT or SCOLP. In the event any such merger, consolidation or reorganization of either of them shall be accomplished by transfer of stock or by transfer of assets or otherwise, the provisions of this Agreement 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binding</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person.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This Agreement shall be binding upon and inure to the benefit of the executors, administrators,</w:t>
      </w:r>
      <w:r>
        <w:rPr>
          <w:color w:val="000000"/>
        </w:rPr>
        <w:t xml:space="preserve"> </w:t>
      </w:r>
      <w:r>
        <w:rPr>
          <w:rFonts w:ascii="Times New Roman;serif" w:hAnsi="Times New Roman;serif"/>
          <w:b w:val="false"/>
          <w:color w:val="000000"/>
          <w:sz w:val="24"/>
        </w:rPr>
        <w:t>heirs,</w:t>
      </w:r>
      <w:r>
        <w:rPr>
          <w:color w:val="000000"/>
        </w:rPr>
        <w:t xml:space="preserve"> </w:t>
      </w:r>
      <w:r>
        <w:rPr>
          <w:rFonts w:ascii="Times New Roman;serif" w:hAnsi="Times New Roman;serif"/>
          <w:b w:val="false"/>
          <w:color w:val="000000"/>
          <w:sz w:val="24"/>
        </w:rPr>
        <w:t>successors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assigns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except as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assignable</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(except to an Affiliate of the Company in which event the Company shall remain liable if the Affiliate fails to meet any obligations to make payments or provide benefits or otherwise) or by the Executive.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Waivers and Enforcement</w:t>
      </w:r>
      <w:r>
        <w:rPr>
          <w:rFonts w:ascii="Times New Roman;serif" w:hAnsi="Times New Roman;serif"/>
          <w:b w:val="false"/>
          <w:color w:val="000000"/>
          <w:sz w:val="24"/>
        </w:rPr>
        <w:t>. The failure of either party to enforce any provision or protections of this Agreement shall not in any way be construed as a waiver of any such provision or provisions as to any future violations thereof, nor prevent that party thereafter from enforcing each and every other provision of this Agreement. The rights granted the parties herein are cumulative and the waiver of any single remedy shall not</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party’s</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assert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remedies</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 under the circumstances.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Withholding</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withhold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 xml:space="preserve">payable under this Agreement all federal, state, city or other taxes as the Company is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241" w:after="283"/>
        <w:jc w:val="both"/>
        <w:rPr/>
      </w:pPr>
      <w:r>
        <w:rPr>
          <w:rFonts w:ascii="Times New Roman;serif" w:hAnsi="Times New Roman;serif"/>
          <w:b w:val="false"/>
          <w:color w:val="000000"/>
          <w:sz w:val="24"/>
        </w:rPr>
        <w:t>withhold pursuant to any applicable law, regulation or ruling. In respect of any Company equity awards granted to the Executive that become taxable upon vesting, exercise or settlement, as applicable, at the relevant time that such shares become taxable to the Executive, the Executive shall be permitted, to the extent sufficient to cover applicable taxes,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execute a cashless broker-assisted sell-to-cover transaction of shares received in respect of such equity awards, or sell such shares to the Company in a cashless net-settlement transaction.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represents the entire understanding among the parties with respect to the subject matter hereof, and, as of the Effective Date, this Agreement supersedes any and all prior understandings, agreements, plans and negotiations,</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oral,</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matter</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modifications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 must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signed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whom</w:t>
      </w:r>
      <w:r>
        <w:rPr>
          <w:color w:val="000000"/>
        </w:rPr>
        <w:t xml:space="preserve"> </w:t>
      </w:r>
      <w:r>
        <w:rPr>
          <w:rFonts w:ascii="Times New Roman;serif" w:hAnsi="Times New Roman;serif"/>
          <w:b w:val="false"/>
          <w:color w:val="000000"/>
          <w:sz w:val="24"/>
        </w:rPr>
        <w:t>enforcement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modification is sought. Notwithstanding anything herein to the contrary, this Agreement and the obligations and commitments hereunder shall neither commence nor be of any force or effect prior to the Effective Date.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according to the laws of the State of Michigan.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Headings</w:t>
      </w:r>
      <w:r>
        <w:rPr>
          <w:rFonts w:ascii="Times New Roman;serif" w:hAnsi="Times New Roman;serif"/>
          <w:b w:val="false"/>
          <w:color w:val="000000"/>
          <w:sz w:val="24"/>
        </w:rPr>
        <w:t>. Captions and section headings used herein are for convenience and are not a part of this Agreement and shall not be used in construing it.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together shall constitute one and the same instrument.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Expenses</w:t>
      </w:r>
      <w:r>
        <w:rPr>
          <w:rFonts w:ascii="Times New Roman;serif" w:hAnsi="Times New Roman;serif"/>
          <w:b w:val="false"/>
          <w:color w:val="000000"/>
          <w:sz w:val="24"/>
        </w:rPr>
        <w:t>. Except as otherwise provided in Section 9(e) above, each party shall</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own</w:t>
      </w:r>
      <w:r>
        <w:rPr>
          <w:color w:val="000000"/>
        </w:rPr>
        <w:t xml:space="preserve"> </w:t>
      </w:r>
      <w:r>
        <w:rPr>
          <w:rFonts w:ascii="Times New Roman;serif" w:hAnsi="Times New Roman;serif"/>
          <w:b w:val="false"/>
          <w:color w:val="000000"/>
          <w:sz w:val="24"/>
        </w:rPr>
        <w:t>fees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fees,</w:t>
      </w:r>
      <w:r>
        <w:rPr>
          <w:color w:val="000000"/>
        </w:rPr>
        <w:t xml:space="preserve"> </w:t>
      </w:r>
      <w:r>
        <w:rPr>
          <w:rFonts w:ascii="Times New Roman;serif" w:hAnsi="Times New Roman;serif"/>
          <w:b w:val="false"/>
          <w:color w:val="000000"/>
          <w:sz w:val="24"/>
        </w:rPr>
        <w:t>incurred in connection with the transactions contemplated by this Agreement, including, without limitation, any fees incurred in connection with any arbitration arising out of the transactions contemplated by this Agreement.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Section 409A</w:t>
      </w:r>
      <w:r>
        <w:rPr>
          <w:rFonts w:ascii="Times New Roman;serif" w:hAnsi="Times New Roman;serif"/>
          <w:b w:val="false"/>
          <w:color w:val="000000"/>
          <w:sz w:val="24"/>
        </w:rPr>
        <w:t>. The intent of the parties is that payments and benefits under this Agreement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exempt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subject thereto, and accordingly, to the maximum extent permitted, this Agreement shall be interpreted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administered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therewith.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 of</w:t>
      </w:r>
      <w:r>
        <w:rPr>
          <w:color w:val="000000"/>
        </w:rPr>
        <w:t xml:space="preserve"> </w:t>
      </w:r>
      <w:r>
        <w:rPr>
          <w:rFonts w:ascii="Times New Roman;serif" w:hAnsi="Times New Roman;serif"/>
          <w:b w:val="false"/>
          <w:color w:val="000000"/>
          <w:sz w:val="24"/>
        </w:rPr>
        <w:t>this 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referenced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mutually</w:t>
      </w:r>
      <w:r>
        <w:rPr>
          <w:color w:val="000000"/>
        </w:rPr>
        <w:t xml:space="preserve"> </w:t>
      </w:r>
      <w:r>
        <w:rPr>
          <w:rFonts w:ascii="Times New Roman;serif" w:hAnsi="Times New Roman;serif"/>
          <w:b w:val="false"/>
          <w:color w:val="000000"/>
          <w:sz w:val="24"/>
        </w:rPr>
        <w:t>agreed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parties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 xml:space="preserve">reasonably to attempt to amend or modify this Agreement (or other agreement or award) in order to avoid a violation of Section 409A of the Code while attempting to preserve the economic intent of the applicable provision to the extent permitted by Section 409A of the Code. All payments to be made upon a termination of employment under this Agreement may only be made upon a “separation from service” under Section 409A of the Code to the extent necessary in order to avoid the imposition of penalty taxes on the Executive pursuant to Section 409A of the Code. Each amount to be paid or benefit to be provided under this Agreement shall be construed as a separate identified payment for purposes of Section 409A of the Code. Notwithstanding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241" w:after="283"/>
        <w:jc w:val="both"/>
        <w:rPr/>
      </w:pPr>
      <w:r>
        <w:rPr>
          <w:rFonts w:ascii="Times New Roman;serif" w:hAnsi="Times New Roman;serif"/>
          <w:b w:val="false"/>
          <w:color w:val="000000"/>
          <w:sz w:val="24"/>
        </w:rPr>
        <w:t>provision of this Agreement to the contrary, if the Executive is considered a “specified employee” for purposes of Section 409A of the Code (as determined in accordance with the methodology established by the Company as in effect on the date of termination), any payment that constitutes nonqualified deferred compensation within the meaning of Section 409A of the Code that is otherwise due to the Executive under this Agreement during the six-month period immediately following the Executive’s separation from service on account of the Executive’s separation from service shall instead be paid, on the first business day of the seventh month following the Executive’s separation from service (the “</w:t>
      </w:r>
      <w:r>
        <w:rPr>
          <w:rFonts w:ascii="Times New Roman;serif" w:hAnsi="Times New Roman;serif"/>
          <w:b w:val="false"/>
          <w:color w:val="000000"/>
          <w:sz w:val="24"/>
          <w:u w:val="single"/>
        </w:rPr>
        <w:t>Delayed Payment Date</w:t>
      </w:r>
      <w:r>
        <w:rPr>
          <w:color w:val="000000"/>
        </w:rPr>
        <w:t>”</w:t>
      </w:r>
      <w:r>
        <w:rPr>
          <w:rFonts w:ascii="Times New Roman;serif" w:hAnsi="Times New Roman;serif"/>
          <w:b w:val="false"/>
          <w:color w:val="000000"/>
          <w:sz w:val="24"/>
        </w:rPr>
        <w:t>), to the extent necessary to prevent the imposition of tax penalties on the Executive under Section 409A of the Code. If the Executive dies during the postponement period, the amounts and entitlements delayed on account of Section 409A of the Code shall be paid to the personal representative of the Executive’s estate on the first to occur of the Delayed Payment Date or thirty (30) calendar days after the date of the Executive’s death. To the extent required to avoid an accelerated or additional tax under Section 409A of the Code, amounts reimbursable to the Executive under this Agreement shall be paid to the Executive on or before the last day of the year 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expense</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eligible for reimbursement (and in kind benefits provided to the Executive) during one year may 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amounts</w:t>
      </w:r>
      <w:r>
        <w:rPr>
          <w:color w:val="000000"/>
        </w:rPr>
        <w:t xml:space="preserve"> </w:t>
      </w:r>
      <w:r>
        <w:rPr>
          <w:rFonts w:ascii="Times New Roman;serif" w:hAnsi="Times New Roman;serif"/>
          <w:b w:val="false"/>
          <w:color w:val="000000"/>
          <w:sz w:val="24"/>
        </w:rPr>
        <w:t>reimbursable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subsequent</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makes no representation that any or all of the payments described in this Agreement will be exempt from or comply with Section 409A of the Code and makes no undertaking to preclude Section 409A of the Code from applying to any such payment. In no event may the Executive, directly or indirectly, designate the calendar year of any payment under this Agreement, and to the extent required by Section 409A of the Code, any payment that may be paid in more than one taxable year shall be paid in the later taxable year. Notwithstanding anything to the contrary 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the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will be made no later than the last day of the calendar year following the year in which the expense is incurred; and (D) the right to reimbursement or in-kind benefits is not subject to liquidation or exchange for another benefit. For purposes of this</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16(j),</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Treasury</w:t>
      </w:r>
      <w:r>
        <w:rPr>
          <w:color w:val="000000"/>
        </w:rPr>
        <w:t xml:space="preserve"> </w:t>
      </w:r>
      <w:r>
        <w:rPr>
          <w:rFonts w:ascii="Times New Roman;serif" w:hAnsi="Times New Roman;serif"/>
          <w:b w:val="false"/>
          <w:color w:val="000000"/>
          <w:sz w:val="24"/>
        </w:rPr>
        <w:t>regulations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 other guidance promulgated thereunder or published with respect thereto.</w:t>
      </w:r>
    </w:p>
    <w:p>
      <w:pPr>
        <w:pStyle w:val="TextBody"/>
        <w:bidi w:val="0"/>
        <w:spacing w:before="242" w:after="283"/>
        <w:jc w:val="left"/>
        <w:rPr/>
      </w:pPr>
      <w:r>
        <w:rPr/>
      </w:r>
    </w:p>
    <w:p>
      <w:pPr>
        <w:pStyle w:val="TextBody"/>
        <w:bidi w:val="0"/>
        <w:spacing w:lineRule="auto" w:line="288" w:before="0" w:after="0"/>
        <w:jc w:val="center"/>
        <w:rPr/>
      </w:pPr>
      <w:r>
        <w:rPr>
          <w:rFonts w:ascii="Times New Roman;serif" w:hAnsi="Times New Roman;serif"/>
          <w:b w:val="false"/>
          <w:color w:val="000000"/>
          <w:sz w:val="24"/>
        </w:rPr>
        <w:t>[Signatures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79" w:after="283"/>
        <w:ind w:left="0" w:right="0" w:firstLine="719"/>
        <w:jc w:val="left"/>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WITNESS</w:t>
      </w:r>
      <w:r>
        <w:rPr>
          <w:color w:val="000000"/>
        </w:rPr>
        <w:t xml:space="preserve"> </w:t>
      </w:r>
      <w:r>
        <w:rPr>
          <w:rFonts w:ascii="Times New Roman;serif" w:hAnsi="Times New Roman;serif"/>
          <w:b w:val="false"/>
          <w:color w:val="000000"/>
          <w:sz w:val="24"/>
        </w:rPr>
        <w:t>WHEREOF,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Employment Agreement as of the Execution Date.</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REIT: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SUN</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INC.,</w:t>
      </w:r>
    </w:p>
    <w:p>
      <w:pPr>
        <w:pStyle w:val="TextBody"/>
        <w:bidi w:val="0"/>
        <w:spacing w:lineRule="auto" w:line="288" w:before="0" w:after="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Maryland</w:t>
      </w:r>
      <w:r>
        <w:rPr>
          <w:color w:val="000000"/>
        </w:rPr>
        <w:t xml:space="preserve"> </w:t>
      </w:r>
      <w:r>
        <w:rPr>
          <w:rFonts w:ascii="Times New Roman;serif" w:hAnsi="Times New Roman;serif"/>
          <w:b w:val="false"/>
          <w:color w:val="000000"/>
          <w:sz w:val="24"/>
        </w:rPr>
        <w:t>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/s/ Charles D. Young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Charles D. Young    </w:t>
      </w:r>
    </w:p>
    <w:p>
      <w:pPr>
        <w:pStyle w:val="TextBody"/>
        <w:bidi w:val="0"/>
        <w:spacing w:lineRule="auto" w:line="288" w:before="0" w:after="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Chief Executive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SCOLP: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SUN</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OPERATING</w:t>
      </w:r>
      <w:r>
        <w:rPr>
          <w:color w:val="000000"/>
        </w:rPr>
        <w:t xml:space="preserve"> </w:t>
      </w:r>
      <w:r>
        <w:rPr>
          <w:rFonts w:ascii="Times New Roman;serif" w:hAnsi="Times New Roman;serif"/>
          <w:b w:val="false"/>
          <w:color w:val="000000"/>
          <w:sz w:val="24"/>
        </w:rPr>
        <w:t>LIMITED</w:t>
      </w:r>
    </w:p>
    <w:p>
      <w:pPr>
        <w:pStyle w:val="TextBody"/>
        <w:bidi w:val="0"/>
        <w:spacing w:lineRule="auto" w:line="288" w:before="0" w:after="0"/>
        <w:jc w:val="left"/>
        <w:rPr/>
      </w:pPr>
      <w:r>
        <w:rPr>
          <w:rFonts w:ascii="Times New Roman;serif" w:hAnsi="Times New Roman;serif"/>
          <w:b w:val="false"/>
          <w:color w:val="000000"/>
          <w:sz w:val="24"/>
        </w:rPr>
        <w:t>PARTNERSHIP,</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Michigan</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partnership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Sun</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Maryland corporation, its General Partner</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/s/ Charles D. Young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Charles D. Young    </w:t>
      </w:r>
    </w:p>
    <w:p>
      <w:pPr>
        <w:pStyle w:val="TextBody"/>
        <w:bidi w:val="0"/>
        <w:spacing w:lineRule="auto" w:line="288" w:before="0" w:after="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Chief Executive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0" w:after="0"/>
        <w:jc w:val="left"/>
        <w:rPr/>
      </w:pPr>
      <w:r>
        <w:rPr/>
      </w:r>
    </w:p>
    <w:p>
      <w:pPr>
        <w:pStyle w:val="TextBody"/>
        <w:bidi w:val="0"/>
        <w:spacing w:lineRule="auto" w:line="288" w:before="109" w:after="283"/>
        <w:jc w:val="left"/>
        <w:rPr/>
      </w:pPr>
      <w:r>
        <w:rPr>
          <w:color w:val="000000"/>
        </w:rPr>
        <w:t xml:space="preserve">     </w:t>
      </w:r>
      <w:r>
        <w:rPr>
          <w:rFonts w:ascii="Times New Roman;serif" w:hAnsi="Times New Roman;serif"/>
          <w:b w:val="false"/>
          <w:color w:val="000000"/>
          <w:sz w:val="24"/>
          <w:u w:val="single"/>
        </w:rPr>
        <w:t>/s/ Robert Garechana</w:t>
      </w:r>
      <w:r>
        <w:rPr>
          <w:color w:val="000000"/>
          <w:u w:val="single"/>
        </w:rPr>
        <w:t>                </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Robert A. Garechana</w:t>
      </w:r>
    </w:p>
    <w:p>
      <w:pPr>
        <w:pStyle w:val="TextBody"/>
        <w:bidi w:val="0"/>
        <w:spacing w:before="0" w:after="0"/>
        <w:jc w:val="center"/>
        <w:rPr/>
      </w:pPr>
      <w:bookmarkStart w:id="1" w:name="robertagarechanaappointe.htm"/>
      <w:bookmarkStart w:id="2" w:name="ksrobertagarechanaappointe"/>
      <w:bookmarkEnd w:id="1"/>
      <w:bookmarkEnd w:id="2"/>
      <w:r>
        <w:rPr/>
        <w:drawing>
          <wp:inline distT="0" distB="0" distL="0" distR="0">
            <wp:extent cx="10048875" cy="13001625"/>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2"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Employment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Employment Agreement]</w:t>
                      </w:r>
                    </w:p>
                  </w:txbxContent>
                </v:textbox>
                <w10:wrap type="none"/>
              </v:rect>
            </w:pict>
          </mc:Fallback>
        </mc:AlternateContent>
      </w:r>
    </w:p>
    <w:p>
      <w:pPr>
        <w:pStyle w:val="TextBody"/>
        <w:bidi w:val="0"/>
        <w:jc w:val="center"/>
        <w:rPr>
          <w:color w:val="FFFFFF"/>
          <w:sz w:val="2"/>
        </w:rPr>
      </w:pPr>
      <w:r>
        <w:rPr>
          <w:color w:val="FFFFFF"/>
          <w:sz w:val="2"/>
        </w:rPr>
        <w:t xml:space="preserve">Robert A. Garechana Appointed Chief Financial Officer August 25, 2026 Southfield, MI, Aug. 25, 2026 (GLOBE NEWSWIRE) -- Sun Communities, Inc. (NYSE: SUI) (the “Company”), a real estate investment trust (“REIT”) that owns and operates, or has an interest in, manufactured housing (“MH”) and recreational vehicle (“RV”) communities (collectively, the “properties”), today announced that Robert A. (“Bob”) Garechana will join the Company as Executive Vice President and Chief Financial Officer (“CFO”), effective September 8, 2026, succeeding Fernando Castro-Caratini, who will transition to an advisory role with the company. Mr. Garechana brings over two decades of REIT finance experience to Sun, joining from multifamily REIT Equity Residential (NYSE: EQR), where he served as Executive Vice President and Chief Investment Officer since 2025. He was Equity Residential’s Chief Financial Officer and a member of the Company’s Executive and Investment committees from September 2018 to 2025. Prior to that, he served as EQR’s Treasurer from 2008 to 2018, holding roles of increasing responsibility across the finance organization since joining EQR in 2004. “We are pleased to welcome Bob to Sun Communities’ leadership team,” said Charles Young, Chief Executive Officer. “He brings deep finance and capital markets experience that will help advance our strategic priorities including disciplined capital allocation, operational optimization, and ongoing financial system improvement and investment. We are confident that Bob’s proven leadership with over two decades of REIT experience will help drive long-term growth as we continue to strengthen our platform.” Mr. Garechana added: “Sun has a differentiated manufactured housing and RV platform, and I am excited to help lead its next chapter of growth. I look forward to partnering with Charles and the team to advance the Company’s strategic and financial goals and deliver value for our team members, shareholders, residents, and guests.” “It has been a privilege to serve as Chief Financial Officer of Sun Communities and work alongside such a talented and exceptional team,” said Mr. Castro-Caratini. “I am proud of what we have accomplished together and look forward to supporting Bob and the team to help ensure a smooth transition.” Mr. Garechana received a B.B.A. from The University of Texas at Austin and was a member of the Nareit CFO Council. In addition, he served on the Board of Directors of Upwardly Global, a non-profit organization where he served on the Operating Committee as Treasurer. About Sun Communities, Inc. Sun Communities, Inc. is a REIT that, as of June 30, 2026, owned, operated, or had an interest in a portfolio of 455 developed properties comprising approximately 156,130 developed sites in the United States and Canada. CAUTIONARY STATEMENT REGARDING FORWARD-LOOKING STATEMENTS This press release contains various “forward-looking statements” within the meaning of the Securities Act of 1933, as amended (the “Securities Act”), and the Securities Exchange Act of 1934, as amended (the “Exchange Act”), and the Company intends that such forward-looking statements will be subject to the safe harbors created thereby. For this purpose, any statements contained in this press release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the Company’s current views with respect to financial results and performance and future events, but involve known and unknown risks, uncertainties and other factors, both general and specific to the matters discussed in or incorporated herein, some of which are beyond the Company’s control. These risks, uncertainties and other factors may cause the Company’s actual results to be materially different from any future results expressed or implied by such forward-looking statements. Details of potential risks that may affect the Company are described in the Company’s periodic reports filed with the U.S. Securities and Exchange Commission, including in the “Risk Factors” section in the Company’s Annual Report on Form 10-K for the year ended December 31, 2025 and in its Quarterly Report on Form 10-Q for the six months ended June 30, 2026. Readers are cautioned not to place undue reliance on these forward-looking statements, which speak only as of the date the statement was made. The Company undertakes no obligation to publicly update or revise any forward-looking statements included or incorporated by reference into this document, whether as a result of new information, future events, changes in the Company’s expectations or otherwise, except as required by law. Although the Company believes that the expectations reflected in the forward-looking statements are reasonable, the Company cannot guarantee future results, levels of activity, performance or achievements. All written and oral forward-looking statements attributable to the Company or persons acting on the Company’s behalf are qualified in their entirety by these cautionary statements. For Further Information: Sun Communities Investor Relations Team investorrelations@suncommunities.com (248) 208-2500 www.suninc.com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15104</Words>
  <Characters>81851</Characters>
  <CharactersWithSpaces>96763</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robertagarechanaappointe</dc:title>
</cp:coreProperties>
</file>