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260" w:hanging="204"/>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w:t>
      </w:r>
    </w:p>
    <w:p>
      <w:pPr>
        <w:spacing w:after="0" w:line="40" w:lineRule="exact"/>
        <w:rPr>
          <w:rFonts w:ascii="MS PGothic" w:cs="MS PGothic" w:eastAsia="MS PGothic" w:hAnsi="MS PGothic"/>
          <w:sz w:val="17"/>
          <w:szCs w:val="17"/>
          <w:color w:val="auto"/>
        </w:rPr>
      </w:pPr>
    </w:p>
    <w:p>
      <w:pPr>
        <w:ind w:left="49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ended June 30, 2019.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left="4440" w:right="1400" w:hanging="3031"/>
        <w:spacing w:after="0" w:line="495" w:lineRule="auto"/>
        <w:tabs>
          <w:tab w:leader="none" w:pos="160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 Commission file number 1-12616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COMMUNITIES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w w:val="96"/>
              </w:rPr>
              <w:t>Maryland</w:t>
            </w:r>
          </w:p>
        </w:tc>
        <w:tc>
          <w:tcPr>
            <w:tcW w:w="3780" w:type="dxa"/>
            <w:vAlign w:val="bottom"/>
          </w:tcPr>
          <w:p>
            <w:pPr>
              <w:jc w:val="right"/>
              <w:ind w:right="1690"/>
              <w:spacing w:after="0"/>
              <w:rPr>
                <w:sz w:val="20"/>
                <w:szCs w:val="20"/>
                <w:color w:val="auto"/>
              </w:rPr>
            </w:pPr>
            <w:r>
              <w:rPr>
                <w:rFonts w:ascii="Arial" w:cs="Arial" w:eastAsia="Arial" w:hAnsi="Arial"/>
                <w:sz w:val="18"/>
                <w:szCs w:val="18"/>
                <w:b w:val="1"/>
                <w:bCs w:val="1"/>
                <w:color w:val="auto"/>
              </w:rPr>
              <w:t>38-2730780</w:t>
            </w:r>
          </w:p>
        </w:tc>
      </w:tr>
      <w:tr>
        <w:trPr>
          <w:trHeight w:val="270"/>
        </w:trPr>
        <w:tc>
          <w:tcPr>
            <w:tcW w:w="7640" w:type="dxa"/>
            <w:vAlign w:val="bottom"/>
            <w:gridSpan w:val="6"/>
          </w:tcPr>
          <w:p>
            <w:pPr>
              <w:jc w:val="center"/>
              <w:ind w:right="1700"/>
              <w:spacing w:after="0"/>
              <w:rPr>
                <w:sz w:val="20"/>
                <w:szCs w:val="20"/>
                <w:color w:val="auto"/>
              </w:rPr>
            </w:pPr>
            <w:r>
              <w:rPr>
                <w:rFonts w:ascii="Arial" w:cs="Arial" w:eastAsia="Arial" w:hAnsi="Arial"/>
                <w:sz w:val="18"/>
                <w:szCs w:val="18"/>
                <w:color w:val="auto"/>
                <w:w w:val="92"/>
              </w:rPr>
              <w:t>(State of Incorporation)</w:t>
            </w:r>
          </w:p>
        </w:tc>
        <w:tc>
          <w:tcPr>
            <w:tcW w:w="3780" w:type="dxa"/>
            <w:vAlign w:val="bottom"/>
          </w:tcPr>
          <w:p>
            <w:pPr>
              <w:jc w:val="center"/>
              <w:ind w:right="550"/>
              <w:spacing w:after="0"/>
              <w:rPr>
                <w:sz w:val="20"/>
                <w:szCs w:val="20"/>
                <w:color w:val="auto"/>
              </w:rPr>
            </w:pPr>
            <w:r>
              <w:rPr>
                <w:rFonts w:ascii="Arial" w:cs="Arial" w:eastAsia="Arial" w:hAnsi="Arial"/>
                <w:sz w:val="18"/>
                <w:szCs w:val="18"/>
                <w:color w:val="auto"/>
                <w:w w:val="94"/>
              </w:rPr>
              <w:t>(I.R.S. Employer Identification No.)</w:t>
            </w:r>
          </w:p>
        </w:tc>
      </w:tr>
      <w:tr>
        <w:trPr>
          <w:trHeight w:val="554"/>
        </w:trPr>
        <w:tc>
          <w:tcPr>
            <w:tcW w:w="3300" w:type="dxa"/>
            <w:vAlign w:val="bottom"/>
          </w:tcPr>
          <w:p>
            <w:pPr>
              <w:ind w:left="940"/>
              <w:spacing w:after="0"/>
              <w:rPr>
                <w:sz w:val="20"/>
                <w:szCs w:val="20"/>
                <w:color w:val="auto"/>
              </w:rPr>
            </w:pPr>
            <w:r>
              <w:rPr>
                <w:rFonts w:ascii="Arial" w:cs="Arial" w:eastAsia="Arial" w:hAnsi="Arial"/>
                <w:sz w:val="18"/>
                <w:szCs w:val="18"/>
                <w:b w:val="1"/>
                <w:bCs w:val="1"/>
                <w:color w:val="auto"/>
                <w:w w:val="94"/>
              </w:rPr>
              <w:t>27777 Franklin Rd, Suite 200,</w:t>
            </w:r>
          </w:p>
        </w:tc>
        <w:tc>
          <w:tcPr>
            <w:tcW w:w="4340" w:type="dxa"/>
            <w:vAlign w:val="bottom"/>
            <w:gridSpan w:val="5"/>
          </w:tcPr>
          <w:p>
            <w:pPr>
              <w:ind w:left="60"/>
              <w:spacing w:after="0"/>
              <w:rPr>
                <w:sz w:val="20"/>
                <w:szCs w:val="20"/>
                <w:color w:val="auto"/>
              </w:rPr>
            </w:pPr>
            <w:r>
              <w:rPr>
                <w:rFonts w:ascii="Arial" w:cs="Arial" w:eastAsia="Arial" w:hAnsi="Arial"/>
                <w:sz w:val="18"/>
                <w:szCs w:val="18"/>
                <w:b w:val="1"/>
                <w:bCs w:val="1"/>
                <w:color w:val="auto"/>
              </w:rPr>
              <w:t>Southfield, Michigan</w:t>
            </w:r>
          </w:p>
        </w:tc>
        <w:tc>
          <w:tcPr>
            <w:tcW w:w="3780" w:type="dxa"/>
            <w:vAlign w:val="bottom"/>
          </w:tcPr>
          <w:p>
            <w:pPr>
              <w:jc w:val="right"/>
              <w:ind w:right="1890"/>
              <w:spacing w:after="0"/>
              <w:rPr>
                <w:sz w:val="20"/>
                <w:szCs w:val="20"/>
                <w:color w:val="auto"/>
              </w:rPr>
            </w:pPr>
            <w:r>
              <w:rPr>
                <w:rFonts w:ascii="Arial" w:cs="Arial" w:eastAsia="Arial" w:hAnsi="Arial"/>
                <w:sz w:val="18"/>
                <w:szCs w:val="18"/>
                <w:b w:val="1"/>
                <w:bCs w:val="1"/>
                <w:color w:val="auto"/>
              </w:rPr>
              <w:t>48034</w:t>
            </w:r>
          </w:p>
        </w:tc>
      </w:tr>
      <w:tr>
        <w:trPr>
          <w:trHeight w:val="270"/>
        </w:trPr>
        <w:tc>
          <w:tcPr>
            <w:tcW w:w="7640" w:type="dxa"/>
            <w:vAlign w:val="bottom"/>
            <w:gridSpan w:val="6"/>
          </w:tcPr>
          <w:p>
            <w:pPr>
              <w:jc w:val="center"/>
              <w:ind w:right="168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tcPr>
          <w:p>
            <w:pPr>
              <w:jc w:val="center"/>
              <w:ind w:right="570"/>
              <w:spacing w:after="0"/>
              <w:rPr>
                <w:sz w:val="20"/>
                <w:szCs w:val="20"/>
                <w:color w:val="auto"/>
              </w:rPr>
            </w:pPr>
            <w:r>
              <w:rPr>
                <w:rFonts w:ascii="Arial" w:cs="Arial" w:eastAsia="Arial" w:hAnsi="Arial"/>
                <w:sz w:val="18"/>
                <w:szCs w:val="18"/>
                <w:color w:val="auto"/>
                <w:w w:val="94"/>
              </w:rPr>
              <w:t>(Zip Code)</w:t>
            </w:r>
          </w:p>
        </w:tc>
      </w:tr>
      <w:tr>
        <w:trPr>
          <w:trHeight w:val="445"/>
        </w:trPr>
        <w:tc>
          <w:tcPr>
            <w:tcW w:w="3300" w:type="dxa"/>
            <w:vAlign w:val="bottom"/>
          </w:tcPr>
          <w:p>
            <w:pPr>
              <w:spacing w:after="0"/>
              <w:rPr>
                <w:sz w:val="24"/>
                <w:szCs w:val="24"/>
                <w:color w:val="auto"/>
              </w:rPr>
            </w:pPr>
          </w:p>
        </w:tc>
        <w:tc>
          <w:tcPr>
            <w:tcW w:w="310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90"/>
              </w:rPr>
              <w:t>(248) 208-2500</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0"/>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(Registrant’s telephone number, including area code)</w:t>
            </w:r>
          </w:p>
        </w:tc>
        <w:tc>
          <w:tcPr>
            <w:tcW w:w="378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5"/>
          </w:tcPr>
          <w:p>
            <w:pPr>
              <w:jc w:val="center"/>
              <w:ind w:right="33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8"/>
        </w:trPr>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Title of each class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1"/>
              </w:rPr>
              <w:t>Trading Symbol(s)</w:t>
            </w:r>
          </w:p>
        </w:tc>
        <w:tc>
          <w:tcPr>
            <w:tcW w:w="3780" w:type="dxa"/>
            <w:vAlign w:val="bottom"/>
          </w:tcPr>
          <w:p>
            <w:pPr>
              <w:jc w:val="center"/>
              <w:ind w:right="3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jc w:val="center"/>
              <w:ind w:left="50"/>
              <w:spacing w:after="0"/>
              <w:rPr>
                <w:sz w:val="20"/>
                <w:szCs w:val="20"/>
                <w:color w:val="auto"/>
              </w:rPr>
            </w:pPr>
            <w:r>
              <w:rPr>
                <w:rFonts w:ascii="Arial" w:cs="Arial" w:eastAsia="Arial" w:hAnsi="Arial"/>
                <w:sz w:val="18"/>
                <w:szCs w:val="18"/>
                <w:color w:val="auto"/>
                <w:w w:val="90"/>
              </w:rPr>
              <w:t>Common Stock, $0.01 par value</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3"/>
          </w:tcPr>
          <w:p>
            <w:pPr>
              <w:jc w:val="center"/>
              <w:ind w:right="1240"/>
              <w:spacing w:after="0"/>
              <w:rPr>
                <w:sz w:val="20"/>
                <w:szCs w:val="20"/>
                <w:color w:val="auto"/>
              </w:rPr>
            </w:pPr>
            <w:r>
              <w:rPr>
                <w:rFonts w:ascii="Arial" w:cs="Arial" w:eastAsia="Arial" w:hAnsi="Arial"/>
                <w:sz w:val="18"/>
                <w:szCs w:val="18"/>
                <w:color w:val="auto"/>
                <w:w w:val="93"/>
              </w:rPr>
              <w:t>SUI</w:t>
            </w:r>
          </w:p>
        </w:tc>
        <w:tc>
          <w:tcPr>
            <w:tcW w:w="3780" w:type="dxa"/>
            <w:vAlign w:val="bottom"/>
          </w:tcPr>
          <w:p>
            <w:pPr>
              <w:jc w:val="center"/>
              <w:ind w:right="35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(Check one):</w:t>
      </w:r>
    </w:p>
    <w:p>
      <w:pPr>
        <w:sectPr>
          <w:pgSz w:w="11900" w:h="16838" w:orient="portrait"/>
          <w:cols w:equalWidth="0" w:num="1">
            <w:col w:w="11420"/>
          </w:cols>
          <w:pgMar w:left="240" w:top="769" w:right="239" w:bottom="1440" w:gutter="0" w:footer="0" w:header="0"/>
        </w:sectPr>
      </w:pPr>
    </w:p>
    <w:p>
      <w:pPr>
        <w:spacing w:after="0" w:line="116" w:lineRule="exact"/>
        <w:rPr>
          <w:sz w:val="24"/>
          <w:szCs w:val="24"/>
          <w:color w:val="auto"/>
        </w:rPr>
      </w:pPr>
    </w:p>
    <w:p>
      <w:pPr>
        <w:ind w:left="2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53" w:lineRule="exact"/>
        <w:rPr>
          <w:sz w:val="24"/>
          <w:szCs w:val="24"/>
          <w:color w:val="auto"/>
        </w:rPr>
      </w:pPr>
    </w:p>
    <w:p>
      <w:pPr>
        <w:sectPr>
          <w:pgSz w:w="11900" w:h="16838" w:orient="portrait"/>
          <w:cols w:equalWidth="0" w:num="5">
            <w:col w:w="1800" w:space="480"/>
            <w:col w:w="1200" w:space="620"/>
            <w:col w:w="1540" w:space="620"/>
            <w:col w:w="1960" w:space="560"/>
            <w:col w:w="2640"/>
          </w:cols>
          <w:pgMar w:left="240" w:top="769" w:right="239" w:bottom="1440" w:gutter="0" w:footer="0" w:header="0"/>
          <w:type w:val="continuous"/>
        </w:sectPr>
      </w:pPr>
    </w:p>
    <w:p>
      <w:pPr>
        <w:ind w:left="9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jc w:val="center"/>
        <w:ind w:right="16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5">
            <w:col w:w="2080" w:space="720"/>
            <w:col w:w="1260" w:space="720"/>
            <w:col w:w="1660" w:space="720"/>
            <w:col w:w="1800" w:space="720"/>
            <w:col w:w="1740"/>
          </w:cols>
          <w:pgMar w:left="240" w:top="769" w:right="239" w:bottom="1440" w:gutter="0" w:footer="0" w:header="0"/>
          <w:type w:val="continuous"/>
        </w:sectPr>
      </w:pPr>
    </w:p>
    <w:p>
      <w:pPr>
        <w:spacing w:after="0" w:line="11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July 18, 2019:  90,670,873</w:t>
      </w:r>
    </w:p>
    <w:p>
      <w:pPr>
        <w:sectPr>
          <w:pgSz w:w="11900" w:h="16838" w:orient="portrait"/>
          <w:cols w:equalWidth="0" w:num="1">
            <w:col w:w="11420"/>
          </w:cols>
          <w:pgMar w:left="240" w:top="7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gridSpan w:val="7"/>
          </w:tcPr>
          <w:p>
            <w:pPr>
              <w:ind w:left="16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2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gridSpan w:val="11"/>
          </w:tcPr>
          <w:p>
            <w:pPr>
              <w:jc w:val="center"/>
              <w:ind w:right="28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 FINANCIAL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80" w:type="dxa"/>
            <w:vAlign w:val="bottom"/>
            <w:gridSpan w:val="3"/>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920" w:type="dxa"/>
            <w:vAlign w:val="bottom"/>
            <w:gridSpan w:val="7"/>
          </w:tcPr>
          <w:p>
            <w:pPr>
              <w:spacing w:after="0"/>
              <w:rPr>
                <w:sz w:val="20"/>
                <w:szCs w:val="20"/>
                <w:color w:val="auto"/>
              </w:rPr>
            </w:pPr>
            <w:r>
              <w:rPr>
                <w:rFonts w:ascii="Arial" w:cs="Arial" w:eastAsia="Arial" w:hAnsi="Arial"/>
                <w:sz w:val="18"/>
                <w:szCs w:val="18"/>
                <w:color w:val="auto"/>
              </w:rPr>
              <w:t>Consolidated Financial Statements:</w:t>
            </w:r>
          </w:p>
        </w:tc>
        <w:tc>
          <w:tcPr>
            <w:tcW w:w="3160" w:type="dxa"/>
            <w:vAlign w:val="bottom"/>
            <w:tcBorders>
              <w:top w:val="single" w:sz="8" w:color="auto"/>
            </w:tcBorders>
            <w:gridSpan w:val="6"/>
          </w:tcPr>
          <w:p>
            <w:pPr>
              <w:spacing w:after="0"/>
              <w:rPr>
                <w:sz w:val="24"/>
                <w:szCs w:val="24"/>
                <w:color w:val="auto"/>
              </w:rPr>
            </w:pPr>
          </w:p>
        </w:tc>
        <w:tc>
          <w:tcPr>
            <w:tcW w:w="28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40" w:type="dxa"/>
            <w:vAlign w:val="bottom"/>
            <w:gridSpan w:val="18"/>
          </w:tcPr>
          <w:p>
            <w:pPr>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Balance Sheets as of </w:t>
              </w:r>
            </w:hyperlink>
            <w:r>
              <w:rPr>
                <w:rFonts w:ascii="Arial" w:cs="Arial" w:eastAsia="Arial" w:hAnsi="Arial"/>
                <w:sz w:val="18"/>
                <w:szCs w:val="18"/>
                <w:color w:val="auto"/>
              </w:rPr>
              <w:t>June 30, 2019 (Unaudited) and December 31, 2018</w:t>
            </w:r>
          </w:p>
        </w:tc>
        <w:tc>
          <w:tcPr>
            <w:tcW w:w="960" w:type="dxa"/>
            <w:vAlign w:val="bottom"/>
            <w:gridSpan w:val="3"/>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60" w:type="dxa"/>
            <w:vAlign w:val="bottom"/>
            <w:tcBorders>
              <w:bottom w:val="single" w:sz="8" w:color="auto"/>
            </w:tcBorders>
            <w:gridSpan w:val="17"/>
          </w:tcPr>
          <w:p>
            <w:pPr>
              <w:spacing w:after="0"/>
              <w:rPr>
                <w:rFonts w:ascii="Arial" w:cs="Arial" w:eastAsia="Arial" w:hAnsi="Arial"/>
                <w:sz w:val="18"/>
                <w:szCs w:val="18"/>
                <w:color w:val="auto"/>
                <w:w w:val="89"/>
              </w:rPr>
            </w:pPr>
            <w:hyperlink w:anchor="page4">
              <w:r>
                <w:rPr>
                  <w:rFonts w:ascii="Arial" w:cs="Arial" w:eastAsia="Arial" w:hAnsi="Arial"/>
                  <w:sz w:val="18"/>
                  <w:szCs w:val="18"/>
                  <w:color w:val="auto"/>
                  <w:w w:val="89"/>
                </w:rPr>
                <w:t xml:space="preserve">Consolidated Statements of Operations for the </w:t>
              </w:r>
            </w:hyperlink>
            <w:r>
              <w:rPr>
                <w:rFonts w:ascii="Arial" w:cs="Arial" w:eastAsia="Arial" w:hAnsi="Arial"/>
                <w:sz w:val="18"/>
                <w:szCs w:val="18"/>
                <w:color w:val="auto"/>
                <w:w w:val="89"/>
              </w:rPr>
              <w:t>Three and Six Months Ended June 30, 2019 and 2018 (Unaudited)</w:t>
            </w:r>
          </w:p>
        </w:tc>
        <w:tc>
          <w:tcPr>
            <w:tcW w:w="7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2</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40" w:type="dxa"/>
            <w:vAlign w:val="bottom"/>
            <w:gridSpan w:val="18"/>
          </w:tcPr>
          <w:p>
            <w:pPr>
              <w:spacing w:after="0"/>
              <w:rPr>
                <w:sz w:val="20"/>
                <w:szCs w:val="20"/>
                <w:color w:val="auto"/>
              </w:rPr>
            </w:pPr>
            <w:r>
              <w:rPr>
                <w:rFonts w:ascii="Arial" w:cs="Arial" w:eastAsia="Arial" w:hAnsi="Arial"/>
                <w:sz w:val="18"/>
                <w:szCs w:val="18"/>
                <w:color w:val="auto"/>
                <w:w w:val="98"/>
              </w:rPr>
              <w:t>Consolidated Statements of Comprehensive Income for the Three and Six Months Ended June 30, 2019 and 2018</w:t>
            </w:r>
          </w:p>
        </w:tc>
        <w:tc>
          <w:tcPr>
            <w:tcW w:w="960" w:type="dxa"/>
            <w:vAlign w:val="bottom"/>
            <w:gridSpan w:val="3"/>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6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(Unaudited)</w:t>
            </w: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40" w:type="dxa"/>
            <w:vAlign w:val="bottom"/>
            <w:gridSpan w:val="18"/>
          </w:tcPr>
          <w:p>
            <w:pPr>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Cash Flows for the </w:t>
              </w:r>
            </w:hyperlink>
            <w:r>
              <w:rPr>
                <w:rFonts w:ascii="Arial" w:cs="Arial" w:eastAsia="Arial" w:hAnsi="Arial"/>
                <w:sz w:val="18"/>
                <w:szCs w:val="18"/>
                <w:color w:val="auto"/>
              </w:rPr>
              <w:t>Six Months Ended June 30, 2019 and 2018 (Unaudited)</w:t>
            </w:r>
          </w:p>
        </w:tc>
        <w:tc>
          <w:tcPr>
            <w:tcW w:w="960" w:type="dxa"/>
            <w:vAlign w:val="bottom"/>
            <w:gridSpan w:val="3"/>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4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Consolidated Statement of Equity (Unaudited)</w:t>
            </w:r>
          </w:p>
        </w:tc>
        <w:tc>
          <w:tcPr>
            <w:tcW w:w="1500" w:type="dxa"/>
            <w:vAlign w:val="bottom"/>
            <w:gridSpan w:val="2"/>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tcBorders>
              <w:top w:val="single" w:sz="8" w:color="auto"/>
            </w:tcBorders>
            <w:gridSpan w:val="9"/>
          </w:tcPr>
          <w:p>
            <w:pPr>
              <w:spacing w:after="0"/>
              <w:rPr>
                <w:rFonts w:ascii="Arial" w:cs="Arial" w:eastAsia="Arial" w:hAnsi="Arial"/>
                <w:sz w:val="18"/>
                <w:szCs w:val="18"/>
                <w:color w:val="auto"/>
                <w:w w:val="94"/>
              </w:rPr>
            </w:pPr>
            <w:hyperlink w:anchor="page8">
              <w:r>
                <w:rPr>
                  <w:rFonts w:ascii="Arial" w:cs="Arial" w:eastAsia="Arial" w:hAnsi="Arial"/>
                  <w:sz w:val="18"/>
                  <w:szCs w:val="18"/>
                  <w:color w:val="auto"/>
                  <w:w w:val="94"/>
                </w:rPr>
                <w:t>Notes to Consolidated Financial Statements</w:t>
              </w:r>
            </w:hyperlink>
          </w:p>
        </w:tc>
        <w:tc>
          <w:tcPr>
            <w:tcW w:w="5600" w:type="dxa"/>
            <w:vAlign w:val="bottom"/>
            <w:gridSpan w:val="9"/>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auto"/>
              </w:rPr>
            </w:pPr>
            <w:hyperlink w:anchor="page32">
              <w:r>
                <w:rPr>
                  <w:rFonts w:ascii="Arial" w:cs="Arial" w:eastAsia="Arial" w:hAnsi="Arial"/>
                  <w:sz w:val="18"/>
                  <w:szCs w:val="18"/>
                  <w:color w:val="auto"/>
                </w:rPr>
                <w:t>Item 2.</w:t>
              </w:r>
            </w:hyperlink>
          </w:p>
        </w:tc>
        <w:tc>
          <w:tcPr>
            <w:tcW w:w="8940" w:type="dxa"/>
            <w:vAlign w:val="bottom"/>
            <w:gridSpan w:val="18"/>
          </w:tcPr>
          <w:p>
            <w:pPr>
              <w:spacing w:after="0"/>
              <w:rPr>
                <w:rFonts w:ascii="Arial" w:cs="Arial" w:eastAsia="Arial" w:hAnsi="Arial"/>
                <w:sz w:val="18"/>
                <w:szCs w:val="18"/>
                <w:color w:val="auto"/>
              </w:rPr>
            </w:pPr>
            <w:hyperlink w:anchor="page32">
              <w:r>
                <w:rPr>
                  <w:rFonts w:ascii="Arial" w:cs="Arial" w:eastAsia="Arial" w:hAnsi="Arial"/>
                  <w:sz w:val="18"/>
                  <w:szCs w:val="18"/>
                  <w:color w:val="auto"/>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auto"/>
              </w:rPr>
            </w:pPr>
            <w:hyperlink w:anchor="page47">
              <w:r>
                <w:rPr>
                  <w:rFonts w:ascii="Arial" w:cs="Arial" w:eastAsia="Arial" w:hAnsi="Arial"/>
                  <w:sz w:val="18"/>
                  <w:szCs w:val="18"/>
                  <w:color w:val="auto"/>
                </w:rPr>
                <w:t>Item 3.</w:t>
              </w:r>
            </w:hyperlink>
          </w:p>
        </w:tc>
        <w:tc>
          <w:tcPr>
            <w:tcW w:w="8940" w:type="dxa"/>
            <w:vAlign w:val="bottom"/>
            <w:gridSpan w:val="18"/>
          </w:tcPr>
          <w:p>
            <w:pPr>
              <w:spacing w:after="0"/>
              <w:rPr>
                <w:rFonts w:ascii="Arial" w:cs="Arial" w:eastAsia="Arial" w:hAnsi="Arial"/>
                <w:sz w:val="18"/>
                <w:szCs w:val="18"/>
                <w:color w:val="auto"/>
              </w:rPr>
            </w:pPr>
            <w:hyperlink w:anchor="page47">
              <w:r>
                <w:rPr>
                  <w:rFonts w:ascii="Arial" w:cs="Arial" w:eastAsia="Arial" w:hAnsi="Arial"/>
                  <w:sz w:val="18"/>
                  <w:szCs w:val="18"/>
                  <w:color w:val="auto"/>
                </w:rPr>
                <w:t>Quantitative and Qualitative Disclosures about Market Risk</w:t>
              </w:r>
            </w:hyperlink>
          </w:p>
        </w:tc>
        <w:tc>
          <w:tcPr>
            <w:tcW w:w="960" w:type="dxa"/>
            <w:vAlign w:val="bottom"/>
            <w:gridSpan w:val="3"/>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gridSpan w:val="3"/>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auto"/>
              </w:rPr>
            </w:pPr>
            <w:hyperlink w:anchor="page47">
              <w:r>
                <w:rPr>
                  <w:rFonts w:ascii="Arial" w:cs="Arial" w:eastAsia="Arial" w:hAnsi="Arial"/>
                  <w:sz w:val="18"/>
                  <w:szCs w:val="18"/>
                  <w:color w:val="auto"/>
                </w:rPr>
                <w:t>Item 4.</w:t>
              </w:r>
            </w:hyperlink>
          </w:p>
        </w:tc>
        <w:tc>
          <w:tcPr>
            <w:tcW w:w="8940" w:type="dxa"/>
            <w:vAlign w:val="bottom"/>
            <w:gridSpan w:val="18"/>
          </w:tcPr>
          <w:p>
            <w:pPr>
              <w:spacing w:after="0"/>
              <w:rPr>
                <w:rFonts w:ascii="Arial" w:cs="Arial" w:eastAsia="Arial" w:hAnsi="Arial"/>
                <w:sz w:val="18"/>
                <w:szCs w:val="18"/>
                <w:color w:val="auto"/>
              </w:rPr>
            </w:pPr>
            <w:hyperlink w:anchor="page47">
              <w:r>
                <w:rPr>
                  <w:rFonts w:ascii="Arial" w:cs="Arial" w:eastAsia="Arial" w:hAnsi="Arial"/>
                  <w:sz w:val="18"/>
                  <w:szCs w:val="18"/>
                  <w:color w:val="auto"/>
                </w:rPr>
                <w:t>Controls and Procedures</w:t>
              </w:r>
            </w:hyperlink>
          </w:p>
        </w:tc>
        <w:tc>
          <w:tcPr>
            <w:tcW w:w="960" w:type="dxa"/>
            <w:vAlign w:val="bottom"/>
            <w:gridSpan w:val="3"/>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588"/>
        </w:trPr>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gridSpan w:val="11"/>
          </w:tcPr>
          <w:p>
            <w:pPr>
              <w:jc w:val="center"/>
              <w:ind w:right="2840"/>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PART II – OTHER INFORMATION</w:t>
              </w:r>
            </w:hyperlink>
          </w:p>
        </w:tc>
        <w:tc>
          <w:tcPr>
            <w:tcW w:w="7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466"/>
        </w:trPr>
        <w:tc>
          <w:tcPr>
            <w:tcW w:w="880" w:type="dxa"/>
            <w:vAlign w:val="bottom"/>
            <w:gridSpan w:val="3"/>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1.</w:t>
              </w:r>
            </w:hyperlink>
          </w:p>
        </w:tc>
        <w:tc>
          <w:tcPr>
            <w:tcW w:w="3140" w:type="dxa"/>
            <w:vAlign w:val="bottom"/>
            <w:gridSpan w:val="8"/>
          </w:tcPr>
          <w:p>
            <w:pPr>
              <w:spacing w:after="0"/>
              <w:rPr>
                <w:rFonts w:ascii="Arial" w:cs="Arial" w:eastAsia="Arial" w:hAnsi="Arial"/>
                <w:sz w:val="18"/>
                <w:szCs w:val="18"/>
                <w:color w:val="auto"/>
              </w:rPr>
            </w:pPr>
            <w:hyperlink w:anchor="page48">
              <w:r>
                <w:rPr>
                  <w:rFonts w:ascii="Arial" w:cs="Arial" w:eastAsia="Arial" w:hAnsi="Arial"/>
                  <w:sz w:val="18"/>
                  <w:szCs w:val="18"/>
                  <w:color w:val="auto"/>
                </w:rPr>
                <w:t>Legal Proceedings</w:t>
              </w:r>
            </w:hyperlink>
          </w:p>
        </w:tc>
        <w:tc>
          <w:tcPr>
            <w:tcW w:w="2800" w:type="dxa"/>
            <w:vAlign w:val="bottom"/>
            <w:tcBorders>
              <w:top w:val="single" w:sz="8" w:color="auto"/>
            </w:tcBorders>
            <w:gridSpan w:val="4"/>
          </w:tcPr>
          <w:p>
            <w:pPr>
              <w:spacing w:after="0"/>
              <w:rPr>
                <w:sz w:val="24"/>
                <w:szCs w:val="24"/>
                <w:color w:val="auto"/>
              </w:rPr>
            </w:pPr>
          </w:p>
        </w:tc>
        <w:tc>
          <w:tcPr>
            <w:tcW w:w="30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auto"/>
                <w:w w:val="92"/>
              </w:rPr>
            </w:pPr>
            <w:hyperlink w:anchor="page48">
              <w:r>
                <w:rPr>
                  <w:rFonts w:ascii="Arial" w:cs="Arial" w:eastAsia="Arial" w:hAnsi="Arial"/>
                  <w:sz w:val="18"/>
                  <w:szCs w:val="18"/>
                  <w:color w:val="auto"/>
                  <w:w w:val="92"/>
                </w:rPr>
                <w:t>Item 1A.</w:t>
              </w:r>
            </w:hyperlink>
          </w:p>
        </w:tc>
        <w:tc>
          <w:tcPr>
            <w:tcW w:w="24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auto"/>
                <w:w w:val="87"/>
              </w:rPr>
            </w:pPr>
            <w:hyperlink w:anchor="page48">
              <w:r>
                <w:rPr>
                  <w:rFonts w:ascii="Arial" w:cs="Arial" w:eastAsia="Arial" w:hAnsi="Arial"/>
                  <w:sz w:val="18"/>
                  <w:szCs w:val="18"/>
                  <w:color w:val="auto"/>
                  <w:w w:val="87"/>
                </w:rPr>
                <w:t>Risk Factors</w:t>
              </w:r>
            </w:hyperlink>
          </w:p>
        </w:tc>
        <w:tc>
          <w:tcPr>
            <w:tcW w:w="8040" w:type="dxa"/>
            <w:vAlign w:val="bottom"/>
            <w:gridSpan w:val="15"/>
          </w:tcPr>
          <w:p>
            <w:pPr>
              <w:spacing w:after="0"/>
              <w:rPr>
                <w:sz w:val="21"/>
                <w:szCs w:val="21"/>
                <w:color w:val="auto"/>
              </w:rPr>
            </w:pPr>
          </w:p>
        </w:tc>
        <w:tc>
          <w:tcPr>
            <w:tcW w:w="960" w:type="dxa"/>
            <w:vAlign w:val="bottom"/>
            <w:gridSpan w:val="3"/>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20"/>
        </w:trPr>
        <w:tc>
          <w:tcPr>
            <w:tcW w:w="6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2.</w:t>
              </w:r>
            </w:hyperlink>
          </w:p>
        </w:tc>
        <w:tc>
          <w:tcPr>
            <w:tcW w:w="240" w:type="dxa"/>
            <w:vAlign w:val="bottom"/>
          </w:tcPr>
          <w:p>
            <w:pPr>
              <w:spacing w:after="0"/>
              <w:rPr>
                <w:sz w:val="21"/>
                <w:szCs w:val="21"/>
                <w:color w:val="auto"/>
              </w:rPr>
            </w:pPr>
          </w:p>
        </w:tc>
        <w:tc>
          <w:tcPr>
            <w:tcW w:w="8940" w:type="dxa"/>
            <w:vAlign w:val="bottom"/>
            <w:gridSpan w:val="18"/>
          </w:tcPr>
          <w:p>
            <w:pPr>
              <w:spacing w:after="0"/>
              <w:rPr>
                <w:rFonts w:ascii="Arial" w:cs="Arial" w:eastAsia="Arial" w:hAnsi="Arial"/>
                <w:sz w:val="18"/>
                <w:szCs w:val="18"/>
                <w:color w:val="auto"/>
              </w:rPr>
            </w:pPr>
            <w:hyperlink w:anchor="page48">
              <w:r>
                <w:rPr>
                  <w:rFonts w:ascii="Arial" w:cs="Arial" w:eastAsia="Arial" w:hAnsi="Arial"/>
                  <w:sz w:val="18"/>
                  <w:szCs w:val="18"/>
                  <w:color w:val="auto"/>
                </w:rPr>
                <w:t>Unregistered Sales of Equity Securities and Use of Proceeds</w:t>
              </w:r>
            </w:hyperlink>
          </w:p>
        </w:tc>
        <w:tc>
          <w:tcPr>
            <w:tcW w:w="960" w:type="dxa"/>
            <w:vAlign w:val="bottom"/>
            <w:gridSpan w:val="3"/>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540" w:type="dxa"/>
            <w:vAlign w:val="bottom"/>
            <w:tcBorders>
              <w:left w:val="single" w:sz="8" w:color="auto"/>
            </w:tcBorders>
            <w:gridSpan w:val="9"/>
            <w:shd w:val="clear" w:color="auto" w:fill="000000"/>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8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940" w:type="dxa"/>
            <w:vAlign w:val="bottom"/>
            <w:gridSpan w:val="18"/>
          </w:tcPr>
          <w:p>
            <w:pPr>
              <w:spacing w:after="0"/>
              <w:rPr>
                <w:sz w:val="20"/>
                <w:szCs w:val="20"/>
                <w:color w:val="auto"/>
              </w:rPr>
            </w:pPr>
            <w:r>
              <w:rPr>
                <w:rFonts w:ascii="Arial" w:cs="Arial" w:eastAsia="Arial" w:hAnsi="Arial"/>
                <w:sz w:val="18"/>
                <w:szCs w:val="18"/>
                <w:color w:val="auto"/>
              </w:rPr>
              <w:t>Exhibits</w:t>
            </w:r>
          </w:p>
        </w:tc>
        <w:tc>
          <w:tcPr>
            <w:tcW w:w="960" w:type="dxa"/>
            <w:vAlign w:val="bottom"/>
            <w:gridSpan w:val="3"/>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4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spacing w:after="0"/>
              <w:rPr>
                <w:rFonts w:ascii="Arial" w:cs="Arial" w:eastAsia="Arial" w:hAnsi="Arial"/>
                <w:sz w:val="18"/>
                <w:szCs w:val="18"/>
                <w:color w:val="auto"/>
                <w:w w:val="88"/>
              </w:rPr>
            </w:pPr>
            <w:hyperlink w:anchor="page50">
              <w:r>
                <w:rPr>
                  <w:rFonts w:ascii="Arial" w:cs="Arial" w:eastAsia="Arial" w:hAnsi="Arial"/>
                  <w:sz w:val="18"/>
                  <w:szCs w:val="18"/>
                  <w:color w:val="auto"/>
                  <w:w w:val="88"/>
                </w:rPr>
                <w:t>Signatures</w:t>
              </w:r>
            </w:hyperlink>
          </w:p>
        </w:tc>
        <w:tc>
          <w:tcPr>
            <w:tcW w:w="8140" w:type="dxa"/>
            <w:vAlign w:val="bottom"/>
            <w:gridSpan w:val="16"/>
          </w:tcPr>
          <w:p>
            <w:pPr>
              <w:spacing w:after="0"/>
              <w:rPr>
                <w:sz w:val="21"/>
                <w:szCs w:val="21"/>
                <w:color w:val="auto"/>
              </w:rPr>
            </w:pPr>
          </w:p>
        </w:tc>
        <w:tc>
          <w:tcPr>
            <w:tcW w:w="960" w:type="dxa"/>
            <w:vAlign w:val="bottom"/>
            <w:gridSpan w:val="3"/>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ectPr>
          <w:pgSz w:w="11900" w:h="16838" w:orient="portrait"/>
          <w:cols w:equalWidth="0" w:num="1">
            <w:col w:w="10780"/>
          </w:cols>
          <w:pgMar w:left="280" w:top="364" w:right="8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180" w:type="dxa"/>
            <w:vAlign w:val="bottom"/>
          </w:tcPr>
          <w:p>
            <w:pPr>
              <w:ind w:left="444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419"/>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5"/>
                <w:szCs w:val="15"/>
                <w:b w:val="1"/>
                <w:bCs w:val="1"/>
                <w:color w:val="auto"/>
              </w:rPr>
              <w:t>(Unaudited)</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2"/>
        </w:trPr>
        <w:tc>
          <w:tcPr>
            <w:tcW w:w="8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3"/>
                <w:szCs w:val="23"/>
                <w:color w:val="auto"/>
              </w:rPr>
            </w:pPr>
          </w:p>
        </w:tc>
        <w:tc>
          <w:tcPr>
            <w:tcW w:w="1440" w:type="dxa"/>
            <w:vAlign w:val="bottom"/>
          </w:tcPr>
          <w:p>
            <w:pPr>
              <w:jc w:val="right"/>
              <w:ind w:right="103"/>
              <w:spacing w:after="0"/>
              <w:rPr>
                <w:sz w:val="20"/>
                <w:szCs w:val="20"/>
                <w:color w:val="auto"/>
              </w:rPr>
            </w:pPr>
            <w:r>
              <w:rPr>
                <w:rFonts w:ascii="Arial" w:cs="Arial" w:eastAsia="Arial" w:hAnsi="Arial"/>
                <w:sz w:val="15"/>
                <w:szCs w:val="15"/>
                <w:b w:val="1"/>
                <w:bCs w:val="1"/>
                <w:color w:val="auto"/>
                <w:w w:val="91"/>
              </w:rPr>
              <w:t>December 31, 2018</w:t>
            </w:r>
          </w:p>
        </w:tc>
      </w:tr>
      <w:tr>
        <w:trPr>
          <w:trHeight w:val="253"/>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1,286,952</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1,201,945</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Land improvements and buildings</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6,026,193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5,586,250</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Rental homes and improvements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599,150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571,661</w:t>
            </w:r>
          </w:p>
        </w:tc>
      </w:tr>
      <w:tr>
        <w:trPr>
          <w:trHeight w:val="266"/>
        </w:trPr>
        <w:tc>
          <w:tcPr>
            <w:tcW w:w="81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Furniture, fixtures and equipment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215,610</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201,090</w:t>
            </w:r>
          </w:p>
        </w:tc>
      </w:tr>
      <w:tr>
        <w:trPr>
          <w:trHeight w:val="25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Investment property</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8,127,905</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7,560,946</w:t>
            </w:r>
          </w:p>
        </w:tc>
      </w:tr>
      <w:tr>
        <w:trPr>
          <w:trHeight w:val="266"/>
        </w:trPr>
        <w:tc>
          <w:tcPr>
            <w:tcW w:w="81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Accumulated depreciation</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(1,560,061)</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(1,442,630)</w:t>
            </w:r>
          </w:p>
        </w:tc>
      </w:tr>
      <w:tr>
        <w:trPr>
          <w:trHeight w:val="160"/>
        </w:trPr>
        <w:tc>
          <w:tcPr>
            <w:tcW w:w="8180" w:type="dxa"/>
            <w:vAlign w:val="bottom"/>
            <w:shd w:val="clear" w:color="auto" w:fill="CCEEFF"/>
          </w:tcPr>
          <w:p>
            <w:pPr>
              <w:ind w:left="380"/>
              <w:spacing w:after="0" w:line="160" w:lineRule="exact"/>
              <w:rPr>
                <w:sz w:val="20"/>
                <w:szCs w:val="20"/>
                <w:color w:val="auto"/>
              </w:rPr>
            </w:pPr>
            <w:r>
              <w:rPr>
                <w:rFonts w:ascii="Arial" w:cs="Arial" w:eastAsia="Arial" w:hAnsi="Arial"/>
                <w:sz w:val="15"/>
                <w:szCs w:val="15"/>
                <w:color w:val="auto"/>
                <w:w w:val="93"/>
              </w:rPr>
              <w:t>Investment property, net (including 324,931 and 308,171 for consolidated VIEs at June 30, 2019 and December 31, 2018; see</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02"/>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Note 8)</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6,567,844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6,118,316</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Cash and cash equivalents</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28,704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50,311</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Marketable securities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53,553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49,037</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Inventory of manufactured homes</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55,869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49,199</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Notes and other receivables, net</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164,303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160,077</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Collateralized receivables, net</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97,658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106,924</w:t>
            </w:r>
          </w:p>
        </w:tc>
      </w:tr>
      <w:tr>
        <w:trPr>
          <w:trHeight w:val="270"/>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4"/>
              </w:rPr>
              <w:t>Other assets, net (including 23,167 and 19,809 for consolidated VIEs at June 30, 2019 and December 31, 2018; see Note 8)</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254,153</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176,162</w:t>
            </w:r>
          </w:p>
        </w:tc>
      </w:tr>
      <w:tr>
        <w:trPr>
          <w:trHeight w:val="281"/>
        </w:trPr>
        <w:tc>
          <w:tcPr>
            <w:tcW w:w="8180" w:type="dxa"/>
            <w:vAlign w:val="bottom"/>
            <w:tcBorders>
              <w:bottom w:val="single" w:sz="8" w:color="CCEEFF"/>
            </w:tcBorders>
          </w:tcPr>
          <w:p>
            <w:pPr>
              <w:ind w:left="82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7,222,084</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6,710,026</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76"/>
        </w:trPr>
        <w:tc>
          <w:tcPr>
            <w:tcW w:w="8180" w:type="dxa"/>
            <w:vAlign w:val="bottom"/>
          </w:tcPr>
          <w:p>
            <w:pPr>
              <w:ind w:left="380"/>
              <w:spacing w:after="0"/>
              <w:rPr>
                <w:sz w:val="20"/>
                <w:szCs w:val="20"/>
                <w:color w:val="auto"/>
              </w:rPr>
            </w:pPr>
            <w:r>
              <w:rPr>
                <w:rFonts w:ascii="Arial" w:cs="Arial" w:eastAsia="Arial" w:hAnsi="Arial"/>
                <w:sz w:val="15"/>
                <w:szCs w:val="15"/>
                <w:color w:val="auto"/>
                <w:w w:val="95"/>
              </w:rPr>
              <w:t>Mortgage loans payable (including 43,661 and 44,172 for consolidated VIEs at June 30, 2019 and December 31, 2018; see</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8"/>
        </w:trPr>
        <w:tc>
          <w:tcPr>
            <w:tcW w:w="8180" w:type="dxa"/>
            <w:vAlign w:val="bottom"/>
          </w:tcPr>
          <w:p>
            <w:pPr>
              <w:ind w:left="380"/>
              <w:spacing w:after="0"/>
              <w:rPr>
                <w:sz w:val="20"/>
                <w:szCs w:val="20"/>
                <w:color w:val="auto"/>
              </w:rPr>
            </w:pPr>
            <w:r>
              <w:rPr>
                <w:rFonts w:ascii="Arial" w:cs="Arial" w:eastAsia="Arial" w:hAnsi="Arial"/>
                <w:sz w:val="15"/>
                <w:szCs w:val="15"/>
                <w:color w:val="auto"/>
              </w:rPr>
              <w:t>Note 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2,863,485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2,815,957</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Secured borrowings on collateralized receivables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98,299</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107,731</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w w:val="96"/>
              </w:rPr>
              <w:t>Preferred Equity - Sun NG RV Resorts LLC - mandatorily redeemable (fully attributable to consolidated VIEs; See Note 8)</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35,249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35,277</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Preferred OP units - mandatorily redeemable</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34,663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37,338</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Lines of credit</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76,079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128,000</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Distributions payable</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69,719</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63,249</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Advanced reservation deposits and rent</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160,527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133,698</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7"/>
              </w:rPr>
              <w:t>Other liabilities (including 32,461 and 6,914 for consolidated VIEs at June 30, 2019 and December 31, 2018; see Note 8)</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204,167</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157,862</w:t>
            </w:r>
          </w:p>
        </w:tc>
      </w:tr>
      <w:tr>
        <w:trPr>
          <w:trHeight w:val="246"/>
        </w:trPr>
        <w:tc>
          <w:tcPr>
            <w:tcW w:w="8180" w:type="dxa"/>
            <w:vAlign w:val="bottom"/>
            <w:tcBorders>
              <w:bottom w:val="single" w:sz="8" w:color="CCEEFF"/>
            </w:tcBorders>
          </w:tcPr>
          <w:p>
            <w:pPr>
              <w:ind w:left="820"/>
              <w:spacing w:after="0"/>
              <w:rPr>
                <w:sz w:val="20"/>
                <w:szCs w:val="20"/>
                <w:color w:val="auto"/>
              </w:rPr>
            </w:pPr>
            <w:r>
              <w:rPr>
                <w:rFonts w:ascii="Arial" w:cs="Arial" w:eastAsia="Arial" w:hAnsi="Arial"/>
                <w:sz w:val="15"/>
                <w:szCs w:val="15"/>
                <w:b w:val="1"/>
                <w:bCs w:val="1"/>
                <w:color w:val="auto"/>
              </w:rPr>
              <w:t>TOTAL LIABILITIES</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3,542,188</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3,479,112</w:t>
            </w:r>
          </w:p>
        </w:tc>
      </w:tr>
      <w:tr>
        <w:trPr>
          <w:trHeight w:val="26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Commitments and contingencies (see Note 17)</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176"/>
        </w:trPr>
        <w:tc>
          <w:tcPr>
            <w:tcW w:w="8180" w:type="dxa"/>
            <w:vAlign w:val="bottom"/>
          </w:tcPr>
          <w:p>
            <w:pPr>
              <w:ind w:left="380"/>
              <w:spacing w:after="0"/>
              <w:rPr>
                <w:sz w:val="20"/>
                <w:szCs w:val="20"/>
                <w:color w:val="auto"/>
              </w:rPr>
            </w:pPr>
            <w:r>
              <w:rPr>
                <w:rFonts w:ascii="Arial" w:cs="Arial" w:eastAsia="Arial" w:hAnsi="Arial"/>
                <w:sz w:val="15"/>
                <w:szCs w:val="15"/>
                <w:color w:val="auto"/>
                <w:w w:val="97"/>
              </w:rPr>
              <w:t>Series A-4 preferred stock, $0.01 par value. Issued and outstanding: 1,052 shares at June 30, 2019 and 1,063 shares at</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8"/>
        </w:trPr>
        <w:tc>
          <w:tcPr>
            <w:tcW w:w="8180" w:type="dxa"/>
            <w:vAlign w:val="bottom"/>
          </w:tcPr>
          <w:p>
            <w:pPr>
              <w:ind w:left="380"/>
              <w:spacing w:after="0"/>
              <w:rPr>
                <w:sz w:val="20"/>
                <w:szCs w:val="20"/>
                <w:color w:val="auto"/>
              </w:rPr>
            </w:pPr>
            <w:r>
              <w:rPr>
                <w:rFonts w:ascii="Arial" w:cs="Arial" w:eastAsia="Arial" w:hAnsi="Arial"/>
                <w:sz w:val="15"/>
                <w:szCs w:val="15"/>
                <w:color w:val="auto"/>
              </w:rPr>
              <w:t>December 31, 2018</w:t>
            </w:r>
          </w:p>
        </w:tc>
        <w:tc>
          <w:tcPr>
            <w:tcW w:w="16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31,402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31,739</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Series A-4 preferred OP units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9,590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9,877</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Series D preferred OP units</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51,462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Equity Interests - NG Sun LLC (fully attributable to consolidated VIEs; See Note 8)</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22,099</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21,976</w:t>
            </w:r>
          </w:p>
        </w:tc>
      </w:tr>
      <w:tr>
        <w:trPr>
          <w:trHeight w:val="266"/>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80"/>
        </w:trPr>
        <w:tc>
          <w:tcPr>
            <w:tcW w:w="8180" w:type="dxa"/>
            <w:vAlign w:val="bottom"/>
            <w:shd w:val="clear" w:color="auto" w:fill="CCEEFF"/>
          </w:tcPr>
          <w:p>
            <w:pPr>
              <w:ind w:left="360"/>
              <w:spacing w:after="0"/>
              <w:rPr>
                <w:sz w:val="20"/>
                <w:szCs w:val="20"/>
                <w:color w:val="auto"/>
              </w:rPr>
            </w:pPr>
            <w:r>
              <w:rPr>
                <w:rFonts w:ascii="Arial" w:cs="Arial" w:eastAsia="Arial" w:hAnsi="Arial"/>
                <w:sz w:val="15"/>
                <w:szCs w:val="15"/>
                <w:color w:val="auto"/>
                <w:w w:val="95"/>
              </w:rPr>
              <w:t>Common stock, $0.01 par value. Authorized: 180,000 shares; Issued and outstanding: 90,667 shares at June 30, 2019 and</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2"/>
        </w:trPr>
        <w:tc>
          <w:tcPr>
            <w:tcW w:w="81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86,357 shares at December 31, 2018</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864</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Additional paid-in capital</w:t>
            </w:r>
          </w:p>
        </w:tc>
        <w:tc>
          <w:tcPr>
            <w:tcW w:w="16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4,851,323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4,398,949</w:t>
            </w:r>
          </w:p>
        </w:tc>
      </w:tr>
      <w:tr>
        <w:trPr>
          <w:trHeight w:val="27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(1,184)</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(4,504)</w:t>
            </w:r>
          </w:p>
        </w:tc>
      </w:tr>
      <w:tr>
        <w:trPr>
          <w:trHeight w:val="266"/>
        </w:trPr>
        <w:tc>
          <w:tcPr>
            <w:tcW w:w="81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Distributions in excess of accumulated earnings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(1,343,792)</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(1,288,486)</w:t>
            </w:r>
          </w:p>
        </w:tc>
      </w:tr>
      <w:tr>
        <w:trPr>
          <w:trHeight w:val="254"/>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Sun Communities, Inc. stockholders' equity</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3,507,254</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3,106,823</w:t>
            </w:r>
          </w:p>
        </w:tc>
      </w:tr>
      <w:tr>
        <w:trPr>
          <w:trHeight w:val="266"/>
        </w:trPr>
        <w:tc>
          <w:tcPr>
            <w:tcW w:w="8180" w:type="dxa"/>
            <w:vAlign w:val="bottom"/>
          </w:tcPr>
          <w:p>
            <w:pPr>
              <w:ind w:left="380"/>
              <w:spacing w:after="0"/>
              <w:rPr>
                <w:sz w:val="20"/>
                <w:szCs w:val="20"/>
                <w:color w:val="auto"/>
              </w:rPr>
            </w:pPr>
            <w:r>
              <w:rPr>
                <w:rFonts w:ascii="Arial" w:cs="Arial" w:eastAsia="Arial" w:hAnsi="Arial"/>
                <w:sz w:val="15"/>
                <w:szCs w:val="15"/>
                <w:color w:val="auto"/>
              </w:rPr>
              <w:t>Noncontrolling interests</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4"/>
        </w:trPr>
        <w:tc>
          <w:tcPr>
            <w:tcW w:w="81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Common and preferred OP units</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50,880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53,354</w:t>
            </w:r>
          </w:p>
        </w:tc>
      </w:tr>
      <w:tr>
        <w:trPr>
          <w:trHeight w:val="266"/>
        </w:trPr>
        <w:tc>
          <w:tcPr>
            <w:tcW w:w="8180" w:type="dxa"/>
            <w:vAlign w:val="bottom"/>
            <w:tcBorders>
              <w:bottom w:val="single" w:sz="8" w:color="CCEEFF"/>
            </w:tcBorders>
          </w:tcPr>
          <w:p>
            <w:pPr>
              <w:ind w:left="480"/>
              <w:spacing w:after="0"/>
              <w:rPr>
                <w:sz w:val="20"/>
                <w:szCs w:val="20"/>
                <w:color w:val="auto"/>
              </w:rPr>
            </w:pPr>
            <w:r>
              <w:rPr>
                <w:rFonts w:ascii="Arial" w:cs="Arial" w:eastAsia="Arial" w:hAnsi="Arial"/>
                <w:sz w:val="15"/>
                <w:szCs w:val="15"/>
                <w:color w:val="auto"/>
              </w:rPr>
              <w:t>Consolidated variable interest entities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7,209</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7,145</w:t>
            </w:r>
          </w:p>
        </w:tc>
      </w:tr>
      <w:tr>
        <w:trPr>
          <w:trHeight w:val="254"/>
        </w:trPr>
        <w:tc>
          <w:tcPr>
            <w:tcW w:w="81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Total noncontrolling interests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58,089</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60,499</w:t>
            </w:r>
          </w:p>
        </w:tc>
      </w:tr>
      <w:tr>
        <w:trPr>
          <w:trHeight w:val="246"/>
        </w:trPr>
        <w:tc>
          <w:tcPr>
            <w:tcW w:w="8180" w:type="dxa"/>
            <w:vAlign w:val="bottom"/>
            <w:tcBorders>
              <w:bottom w:val="single" w:sz="8" w:color="CCEEFF"/>
            </w:tcBorders>
          </w:tcPr>
          <w:p>
            <w:pPr>
              <w:ind w:left="820"/>
              <w:spacing w:after="0"/>
              <w:rPr>
                <w:sz w:val="20"/>
                <w:szCs w:val="20"/>
                <w:color w:val="auto"/>
              </w:rPr>
            </w:pPr>
            <w:r>
              <w:rPr>
                <w:rFonts w:ascii="Arial" w:cs="Arial" w:eastAsia="Arial" w:hAnsi="Arial"/>
                <w:sz w:val="15"/>
                <w:szCs w:val="15"/>
                <w:b w:val="1"/>
                <w:bCs w:val="1"/>
                <w:color w:val="auto"/>
              </w:rPr>
              <w:t>TOTAL STOCKHOLDERS' EQUITY</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3,565,343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3,167,322</w:t>
            </w:r>
          </w:p>
        </w:tc>
      </w:tr>
      <w:tr>
        <w:trPr>
          <w:trHeight w:val="241"/>
        </w:trPr>
        <w:tc>
          <w:tcPr>
            <w:tcW w:w="81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7,222,084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6,710,026</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00"/>
          </w:cols>
          <w:pgMar w:left="240" w:top="337" w:right="259" w:bottom="867"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337" w:right="259" w:bottom="867"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61"/>
        </w:trPr>
        <w:tc>
          <w:tcPr>
            <w:tcW w:w="5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2018</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w w:val="92"/>
              </w:rPr>
              <w:t>June 30, 2018</w:t>
            </w:r>
          </w:p>
        </w:tc>
        <w:tc>
          <w:tcPr>
            <w:tcW w:w="0" w:type="dxa"/>
            <w:vAlign w:val="bottom"/>
          </w:tcPr>
          <w:p>
            <w:pPr>
              <w:spacing w:after="0"/>
              <w:rPr>
                <w:sz w:val="1"/>
                <w:szCs w:val="1"/>
                <w:color w:val="auto"/>
              </w:rPr>
            </w:pPr>
          </w:p>
        </w:tc>
      </w:tr>
      <w:tr>
        <w:trPr>
          <w:trHeight w:val="266"/>
        </w:trPr>
        <w:tc>
          <w:tcPr>
            <w:tcW w:w="5960" w:type="dxa"/>
            <w:vAlign w:val="bottom"/>
          </w:tcPr>
          <w:p>
            <w:pPr>
              <w:ind w:left="40"/>
              <w:spacing w:after="0"/>
              <w:rPr>
                <w:sz w:val="20"/>
                <w:szCs w:val="20"/>
                <w:color w:val="auto"/>
              </w:rPr>
            </w:pPr>
            <w:r>
              <w:rPr>
                <w:rFonts w:ascii="Arial" w:cs="Arial" w:eastAsia="Arial" w:hAnsi="Arial"/>
                <w:sz w:val="15"/>
                <w:szCs w:val="15"/>
                <w:b w:val="1"/>
                <w:bCs w:val="1"/>
                <w:color w:val="auto"/>
              </w:rPr>
              <w:t>REVENUES</w:t>
            </w:r>
          </w:p>
        </w:tc>
        <w:tc>
          <w:tcPr>
            <w:tcW w:w="14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shd w:val="clear" w:color="auto" w:fill="CCEEFF"/>
              </w:rPr>
              <w:t>Income from real property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226,099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198,670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442,878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395,881</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Revenue from home sales</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47,242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41,217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86,860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76,117</w:t>
            </w:r>
          </w:p>
        </w:tc>
        <w:tc>
          <w:tcPr>
            <w:tcW w:w="0" w:type="dxa"/>
            <w:vAlign w:val="bottom"/>
          </w:tcPr>
          <w:p>
            <w:pPr>
              <w:spacing w:after="0"/>
              <w:rPr>
                <w:sz w:val="1"/>
                <w:szCs w:val="1"/>
                <w:color w:val="auto"/>
              </w:rPr>
            </w:pPr>
          </w:p>
        </w:tc>
      </w:tr>
      <w:tr>
        <w:trPr>
          <w:trHeight w:val="25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shd w:val="clear" w:color="auto" w:fill="CCEEFF"/>
              </w:rPr>
              <w:t>Rental home revenue</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14,412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13,348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28,383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26,368</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Ancillary revenue</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17,265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12,031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25,747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18,599</w:t>
            </w:r>
          </w:p>
        </w:tc>
        <w:tc>
          <w:tcPr>
            <w:tcW w:w="0" w:type="dxa"/>
            <w:vAlign w:val="bottom"/>
          </w:tcPr>
          <w:p>
            <w:pPr>
              <w:spacing w:after="0"/>
              <w:rPr>
                <w:sz w:val="1"/>
                <w:szCs w:val="1"/>
                <w:color w:val="auto"/>
              </w:rPr>
            </w:pPr>
          </w:p>
        </w:tc>
      </w:tr>
      <w:tr>
        <w:trPr>
          <w:trHeight w:val="25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shd w:val="clear" w:color="auto" w:fill="CCEEFF"/>
              </w:rPr>
              <w:t>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4,919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5,277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9,719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10,593</w:t>
            </w:r>
          </w:p>
        </w:tc>
        <w:tc>
          <w:tcPr>
            <w:tcW w:w="0" w:type="dxa"/>
            <w:vAlign w:val="bottom"/>
          </w:tcPr>
          <w:p>
            <w:pPr>
              <w:spacing w:after="0"/>
              <w:rPr>
                <w:sz w:val="1"/>
                <w:szCs w:val="1"/>
                <w:color w:val="auto"/>
              </w:rPr>
            </w:pPr>
          </w:p>
        </w:tc>
      </w:tr>
      <w:tr>
        <w:trPr>
          <w:trHeight w:val="266"/>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Brokerage commissions and other revenues, net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2,508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891</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6,188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1,851</w:t>
            </w:r>
          </w:p>
        </w:tc>
        <w:tc>
          <w:tcPr>
            <w:tcW w:w="0" w:type="dxa"/>
            <w:vAlign w:val="bottom"/>
          </w:tcPr>
          <w:p>
            <w:pPr>
              <w:spacing w:after="0"/>
              <w:rPr>
                <w:sz w:val="1"/>
                <w:szCs w:val="1"/>
                <w:color w:val="auto"/>
              </w:rPr>
            </w:pPr>
          </w:p>
        </w:tc>
      </w:tr>
      <w:tr>
        <w:trPr>
          <w:trHeight w:val="254"/>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shd w:val="clear" w:color="auto" w:fill="CCEEFF"/>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312,445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271,434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599,775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529,409</w:t>
            </w:r>
          </w:p>
        </w:tc>
        <w:tc>
          <w:tcPr>
            <w:tcW w:w="0" w:type="dxa"/>
            <w:vAlign w:val="bottom"/>
          </w:tcPr>
          <w:p>
            <w:pPr>
              <w:spacing w:after="0"/>
              <w:rPr>
                <w:sz w:val="1"/>
                <w:szCs w:val="1"/>
                <w:color w:val="auto"/>
              </w:rPr>
            </w:pPr>
          </w:p>
        </w:tc>
      </w:tr>
      <w:tr>
        <w:trPr>
          <w:trHeight w:val="260"/>
        </w:trPr>
        <w:tc>
          <w:tcPr>
            <w:tcW w:w="5960" w:type="dxa"/>
            <w:vAlign w:val="bottom"/>
          </w:tcPr>
          <w:p>
            <w:pPr>
              <w:ind w:left="40"/>
              <w:spacing w:after="0"/>
              <w:rPr>
                <w:sz w:val="20"/>
                <w:szCs w:val="20"/>
                <w:color w:val="auto"/>
              </w:rPr>
            </w:pPr>
            <w:r>
              <w:rPr>
                <w:rFonts w:ascii="Arial" w:cs="Arial" w:eastAsia="Arial" w:hAnsi="Arial"/>
                <w:sz w:val="15"/>
                <w:szCs w:val="15"/>
                <w:b w:val="1"/>
                <w:bCs w:val="1"/>
                <w:color w:val="auto"/>
              </w:rPr>
              <w:t>EXPENSES</w:t>
            </w: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shd w:val="clear" w:color="auto" w:fill="CCEEFF"/>
              </w:rPr>
              <w:t>Property operating and maintenance</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65,888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58,691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123,797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110,321</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Real estate taxes</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15,726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14,076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31,056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27,912</w:t>
            </w:r>
          </w:p>
        </w:tc>
        <w:tc>
          <w:tcPr>
            <w:tcW w:w="0" w:type="dxa"/>
            <w:vAlign w:val="bottom"/>
          </w:tcPr>
          <w:p>
            <w:pPr>
              <w:spacing w:after="0"/>
              <w:rPr>
                <w:sz w:val="1"/>
                <w:szCs w:val="1"/>
                <w:color w:val="auto"/>
              </w:rPr>
            </w:pPr>
          </w:p>
        </w:tc>
      </w:tr>
      <w:tr>
        <w:trPr>
          <w:trHeight w:val="25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shd w:val="clear" w:color="auto" w:fill="CCEEFF"/>
              </w:rPr>
              <w:t>Cost of home sales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34,435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30,932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63,712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57,503</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Rental home operating and maintenance</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5,091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5,315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9,879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10,542</w:t>
            </w:r>
          </w:p>
        </w:tc>
        <w:tc>
          <w:tcPr>
            <w:tcW w:w="0" w:type="dxa"/>
            <w:vAlign w:val="bottom"/>
          </w:tcPr>
          <w:p>
            <w:pPr>
              <w:spacing w:after="0"/>
              <w:rPr>
                <w:sz w:val="1"/>
                <w:szCs w:val="1"/>
                <w:color w:val="auto"/>
              </w:rPr>
            </w:pPr>
          </w:p>
        </w:tc>
      </w:tr>
      <w:tr>
        <w:trPr>
          <w:trHeight w:val="25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shd w:val="clear" w:color="auto" w:fill="CCEEFF"/>
              </w:rPr>
              <w:t>Ancillary expenses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12,480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8,241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19,581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13,624</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Home selling expenses</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3,626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3,986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6,950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7,276</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General and administrative</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23,697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21,452</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45,584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41,209</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Catastrophic weather related charges, net</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(2,160)</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76,153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67,773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152,709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134,210</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1,522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33,661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32,260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67,675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63,398</w:t>
            </w:r>
          </w:p>
        </w:tc>
        <w:tc>
          <w:tcPr>
            <w:tcW w:w="0" w:type="dxa"/>
            <w:vAlign w:val="bottom"/>
          </w:tcPr>
          <w:p>
            <w:pPr>
              <w:spacing w:after="0"/>
              <w:rPr>
                <w:sz w:val="1"/>
                <w:szCs w:val="1"/>
                <w:color w:val="auto"/>
              </w:rPr>
            </w:pPr>
          </w:p>
        </w:tc>
      </w:tr>
      <w:tr>
        <w:trPr>
          <w:trHeight w:val="266"/>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1,181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790</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2,275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1,409</w:t>
            </w:r>
          </w:p>
        </w:tc>
        <w:tc>
          <w:tcPr>
            <w:tcW w:w="0" w:type="dxa"/>
            <w:vAlign w:val="bottom"/>
          </w:tcPr>
          <w:p>
            <w:pPr>
              <w:spacing w:after="0"/>
              <w:rPr>
                <w:sz w:val="1"/>
                <w:szCs w:val="1"/>
                <w:color w:val="auto"/>
              </w:rPr>
            </w:pPr>
          </w:p>
        </w:tc>
      </w:tr>
      <w:tr>
        <w:trPr>
          <w:trHeight w:val="254"/>
        </w:trPr>
        <w:tc>
          <w:tcPr>
            <w:tcW w:w="59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expenses</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272,187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245,091</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524,902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466,962</w:t>
            </w:r>
          </w:p>
        </w:tc>
        <w:tc>
          <w:tcPr>
            <w:tcW w:w="0" w:type="dxa"/>
            <w:vAlign w:val="bottom"/>
          </w:tcPr>
          <w:p>
            <w:pPr>
              <w:spacing w:after="0"/>
              <w:rPr>
                <w:sz w:val="1"/>
                <w:szCs w:val="1"/>
                <w:color w:val="auto"/>
              </w:rPr>
            </w:pPr>
          </w:p>
        </w:tc>
      </w:tr>
      <w:tr>
        <w:trPr>
          <w:trHeight w:val="246"/>
        </w:trPr>
        <w:tc>
          <w:tcPr>
            <w:tcW w:w="5960" w:type="dxa"/>
            <w:vAlign w:val="bottom"/>
          </w:tcPr>
          <w:p>
            <w:pPr>
              <w:ind w:left="40"/>
              <w:spacing w:after="0"/>
              <w:rPr>
                <w:sz w:val="20"/>
                <w:szCs w:val="20"/>
                <w:color w:val="auto"/>
              </w:rPr>
            </w:pPr>
            <w:r>
              <w:rPr>
                <w:rFonts w:ascii="Arial" w:cs="Arial" w:eastAsia="Arial" w:hAnsi="Arial"/>
                <w:sz w:val="15"/>
                <w:szCs w:val="15"/>
                <w:b w:val="1"/>
                <w:bCs w:val="1"/>
                <w:color w:val="auto"/>
              </w:rPr>
              <w:t>Income Before Other Items</w:t>
            </w:r>
          </w:p>
        </w:tc>
        <w:tc>
          <w:tcPr>
            <w:tcW w:w="140" w:type="dxa"/>
            <w:vAlign w:val="bottom"/>
          </w:tcPr>
          <w:p>
            <w:pPr>
              <w:spacing w:after="0"/>
              <w:rPr>
                <w:sz w:val="21"/>
                <w:szCs w:val="21"/>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40,258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26,343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74,873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62,447</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Remeasurement of marketable securities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Other income / (expense), net</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(1,828)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2,919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(4,445)</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 (loss) from nonconsolidated affiliates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Current tax expense</w:t>
            </w:r>
          </w:p>
        </w:tc>
        <w:tc>
          <w:tcPr>
            <w:tcW w:w="140" w:type="dxa"/>
            <w:vAlign w:val="bottom"/>
          </w:tcPr>
          <w:p>
            <w:pPr>
              <w:spacing w:after="0"/>
              <w:rPr>
                <w:sz w:val="23"/>
                <w:szCs w:val="23"/>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(272)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tax benefit / (expense)</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246"/>
        </w:trPr>
        <w:tc>
          <w:tcPr>
            <w:tcW w:w="5960" w:type="dxa"/>
            <w:vAlign w:val="bottom"/>
          </w:tcPr>
          <w:p>
            <w:pPr>
              <w:ind w:left="40"/>
              <w:spacing w:after="0"/>
              <w:rPr>
                <w:sz w:val="20"/>
                <w:szCs w:val="20"/>
                <w:color w:val="auto"/>
              </w:rPr>
            </w:pPr>
            <w:r>
              <w:rPr>
                <w:rFonts w:ascii="Arial" w:cs="Arial" w:eastAsia="Arial" w:hAnsi="Arial"/>
                <w:sz w:val="15"/>
                <w:szCs w:val="15"/>
                <w:b w:val="1"/>
                <w:bCs w:val="1"/>
                <w:color w:val="auto"/>
              </w:rPr>
              <w:t>Net Income</w:t>
            </w:r>
          </w:p>
        </w:tc>
        <w:tc>
          <w:tcPr>
            <w:tcW w:w="140" w:type="dxa"/>
            <w:vAlign w:val="bottom"/>
          </w:tcPr>
          <w:p>
            <w:pPr>
              <w:spacing w:after="0"/>
              <w:rPr>
                <w:sz w:val="21"/>
                <w:szCs w:val="21"/>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45,116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24,170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82,243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57,771</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Preferred return to preferred OP units / equity</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(2,183)</w:t>
            </w:r>
          </w:p>
        </w:tc>
        <w:tc>
          <w:tcPr>
            <w:tcW w:w="0" w:type="dxa"/>
            <w:vAlign w:val="bottom"/>
          </w:tcPr>
          <w:p>
            <w:pPr>
              <w:spacing w:after="0"/>
              <w:rPr>
                <w:sz w:val="1"/>
                <w:szCs w:val="1"/>
                <w:color w:val="auto"/>
              </w:rPr>
            </w:pPr>
          </w:p>
        </w:tc>
      </w:tr>
      <w:tr>
        <w:trPr>
          <w:trHeight w:val="266"/>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Less: Amounts attributable to noncontrolling interests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(2,585)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(2,227)</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(4,321)</w:t>
            </w:r>
          </w:p>
        </w:tc>
        <w:tc>
          <w:tcPr>
            <w:tcW w:w="0" w:type="dxa"/>
            <w:vAlign w:val="bottom"/>
          </w:tcPr>
          <w:p>
            <w:pPr>
              <w:spacing w:after="0"/>
              <w:rPr>
                <w:sz w:val="1"/>
                <w:szCs w:val="1"/>
                <w:color w:val="auto"/>
              </w:rPr>
            </w:pPr>
          </w:p>
        </w:tc>
      </w:tr>
      <w:tr>
        <w:trPr>
          <w:trHeight w:val="214"/>
        </w:trPr>
        <w:tc>
          <w:tcPr>
            <w:tcW w:w="59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attributable to Sun Communities, Inc.</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40,813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20,840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75,576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51,267</w:t>
            </w:r>
          </w:p>
        </w:tc>
        <w:tc>
          <w:tcPr>
            <w:tcW w:w="0" w:type="dxa"/>
            <w:vAlign w:val="bottom"/>
          </w:tcPr>
          <w:p>
            <w:pPr>
              <w:spacing w:after="0"/>
              <w:rPr>
                <w:sz w:val="1"/>
                <w:szCs w:val="1"/>
                <w:color w:val="auto"/>
              </w:rPr>
            </w:pPr>
          </w:p>
        </w:tc>
      </w:tr>
      <w:tr>
        <w:trPr>
          <w:trHeight w:val="266"/>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Less: Preferred stock distribution</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w:t>
            </w:r>
          </w:p>
        </w:tc>
        <w:tc>
          <w:tcPr>
            <w:tcW w:w="0" w:type="dxa"/>
            <w:vAlign w:val="bottom"/>
          </w:tcPr>
          <w:p>
            <w:pPr>
              <w:spacing w:after="0"/>
              <w:rPr>
                <w:sz w:val="1"/>
                <w:szCs w:val="1"/>
                <w:color w:val="auto"/>
              </w:rPr>
            </w:pPr>
          </w:p>
        </w:tc>
      </w:tr>
      <w:tr>
        <w:trPr>
          <w:trHeight w:val="24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40,385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20,408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74,716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50,394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5"/>
                <w:szCs w:val="15"/>
                <w:color w:val="auto"/>
              </w:rPr>
              <w:t>Weighted average common shares outstanding</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Basic</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87,130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79,612</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86,325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79,233</w:t>
            </w: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Diluted</w:t>
            </w:r>
          </w:p>
        </w:tc>
        <w:tc>
          <w:tcPr>
            <w:tcW w:w="1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87,564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80,116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86,770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79,905</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 per share (Refer to Note 14):</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960" w:type="dxa"/>
            <w:vAlign w:val="bottom"/>
          </w:tcPr>
          <w:p>
            <w:pPr>
              <w:ind w:left="380"/>
              <w:spacing w:after="0"/>
              <w:rPr>
                <w:sz w:val="20"/>
                <w:szCs w:val="20"/>
                <w:color w:val="auto"/>
              </w:rPr>
            </w:pPr>
            <w:r>
              <w:rPr>
                <w:rFonts w:ascii="Arial" w:cs="Arial" w:eastAsia="Arial" w:hAnsi="Arial"/>
                <w:sz w:val="15"/>
                <w:szCs w:val="15"/>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0.46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0.25</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0.86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0.63</w:t>
            </w:r>
          </w:p>
        </w:tc>
        <w:tc>
          <w:tcPr>
            <w:tcW w:w="0" w:type="dxa"/>
            <w:vAlign w:val="bottom"/>
          </w:tcPr>
          <w:p>
            <w:pPr>
              <w:spacing w:after="0"/>
              <w:rPr>
                <w:sz w:val="1"/>
                <w:szCs w:val="1"/>
                <w:color w:val="auto"/>
              </w:rPr>
            </w:pPr>
          </w:p>
        </w:tc>
      </w:tr>
      <w:tr>
        <w:trPr>
          <w:trHeight w:val="274"/>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0.25</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3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5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2018</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w w:val="92"/>
              </w:rPr>
              <w:t>June 30, 2018</w:t>
            </w:r>
          </w:p>
        </w:tc>
      </w:tr>
      <w:tr>
        <w:trPr>
          <w:trHeight w:val="254"/>
        </w:trPr>
        <w:tc>
          <w:tcPr>
            <w:tcW w:w="5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45,116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24,170</w:t>
            </w:r>
          </w:p>
        </w:tc>
        <w:tc>
          <w:tcPr>
            <w:tcW w:w="2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82,243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57,771</w:t>
            </w:r>
          </w:p>
        </w:tc>
      </w:tr>
      <w:tr>
        <w:trPr>
          <w:trHeight w:val="266"/>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Foreign currency translation loss adjustment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(1,913)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(1,594)</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(3,455)</w:t>
            </w:r>
          </w:p>
        </w:tc>
      </w:tr>
      <w:tr>
        <w:trPr>
          <w:trHeight w:val="254"/>
        </w:trPr>
        <w:tc>
          <w:tcPr>
            <w:tcW w:w="596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comprehensive income</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43,203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22,576</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78,755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54,316</w:t>
            </w:r>
          </w:p>
        </w:tc>
      </w:tr>
      <w:tr>
        <w:trPr>
          <w:trHeight w:val="266"/>
        </w:trPr>
        <w:tc>
          <w:tcPr>
            <w:tcW w:w="596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(2,494)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(2,147)</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(4,152)</w:t>
            </w:r>
          </w:p>
        </w:tc>
      </w:tr>
      <w:tr>
        <w:trPr>
          <w:trHeight w:val="24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Comprehensive income attributable to Sun Communities, Inc.</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40,709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20,429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75,297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50,164</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w w:val="92"/>
              </w:rPr>
              <w:t>June 30, 2018</w:t>
            </w:r>
          </w:p>
        </w:tc>
        <w:tc>
          <w:tcPr>
            <w:tcW w:w="0" w:type="dxa"/>
            <w:vAlign w:val="bottom"/>
          </w:tcPr>
          <w:p>
            <w:pPr>
              <w:spacing w:after="0"/>
              <w:rPr>
                <w:sz w:val="1"/>
                <w:szCs w:val="1"/>
                <w:color w:val="auto"/>
              </w:rPr>
            </w:pPr>
          </w:p>
        </w:tc>
      </w:tr>
      <w:tr>
        <w:trPr>
          <w:trHeight w:val="253"/>
        </w:trPr>
        <w:tc>
          <w:tcPr>
            <w:tcW w:w="8700" w:type="dxa"/>
            <w:vAlign w:val="bottom"/>
            <w:gridSpan w:val="3"/>
          </w:tcPr>
          <w:p>
            <w:pPr>
              <w:ind w:left="40"/>
              <w:spacing w:after="0"/>
              <w:rPr>
                <w:sz w:val="20"/>
                <w:szCs w:val="20"/>
                <w:color w:val="auto"/>
              </w:rPr>
            </w:pPr>
            <w:r>
              <w:rPr>
                <w:rFonts w:ascii="Arial" w:cs="Arial" w:eastAsia="Arial" w:hAnsi="Arial"/>
                <w:sz w:val="15"/>
                <w:szCs w:val="15"/>
                <w:b w:val="1"/>
                <w:bCs w:val="1"/>
                <w:color w:val="auto"/>
              </w:rPr>
              <w:t>OPERATING ACTIVITIES</w:t>
            </w: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259,844</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198,682</w:t>
            </w:r>
          </w:p>
        </w:tc>
        <w:tc>
          <w:tcPr>
            <w:tcW w:w="0" w:type="dxa"/>
            <w:vAlign w:val="bottom"/>
          </w:tcPr>
          <w:p>
            <w:pPr>
              <w:spacing w:after="0"/>
              <w:rPr>
                <w:sz w:val="1"/>
                <w:szCs w:val="1"/>
                <w:color w:val="auto"/>
              </w:rPr>
            </w:pPr>
          </w:p>
        </w:tc>
      </w:tr>
      <w:tr>
        <w:trPr>
          <w:trHeight w:val="246"/>
        </w:trPr>
        <w:tc>
          <w:tcPr>
            <w:tcW w:w="8700" w:type="dxa"/>
            <w:vAlign w:val="bottom"/>
            <w:gridSpan w:val="3"/>
          </w:tcPr>
          <w:p>
            <w:pPr>
              <w:ind w:left="40"/>
              <w:spacing w:after="0"/>
              <w:rPr>
                <w:sz w:val="20"/>
                <w:szCs w:val="20"/>
                <w:color w:val="auto"/>
              </w:rPr>
            </w:pPr>
            <w:r>
              <w:rPr>
                <w:rFonts w:ascii="Arial" w:cs="Arial" w:eastAsia="Arial" w:hAnsi="Arial"/>
                <w:sz w:val="15"/>
                <w:szCs w:val="15"/>
                <w:b w:val="1"/>
                <w:bCs w:val="1"/>
                <w:color w:val="auto"/>
              </w:rPr>
              <w:t>INVESTING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2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6940" w:type="dxa"/>
            <w:vAlign w:val="bottom"/>
            <w:vMerge w:val="restart"/>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(262,944)</w:t>
            </w: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(157,863)</w:t>
            </w:r>
          </w:p>
        </w:tc>
        <w:tc>
          <w:tcPr>
            <w:tcW w:w="0" w:type="dxa"/>
            <w:vAlign w:val="bottom"/>
          </w:tcPr>
          <w:p>
            <w:pPr>
              <w:spacing w:after="0"/>
              <w:rPr>
                <w:sz w:val="1"/>
                <w:szCs w:val="1"/>
                <w:color w:val="auto"/>
              </w:rPr>
            </w:pPr>
          </w:p>
        </w:tc>
      </w:tr>
      <w:tr>
        <w:trPr>
          <w:trHeight w:val="169"/>
        </w:trPr>
        <w:tc>
          <w:tcPr>
            <w:tcW w:w="2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D2F0FF"/>
          </w:tcPr>
          <w:p>
            <w:pPr>
              <w:spacing w:after="0" w:line="162" w:lineRule="exact"/>
              <w:rPr>
                <w:sz w:val="20"/>
                <w:szCs w:val="20"/>
                <w:color w:val="auto"/>
              </w:rPr>
            </w:pPr>
            <w:r>
              <w:rPr>
                <w:rFonts w:ascii="Arial" w:cs="Arial" w:eastAsia="Arial" w:hAnsi="Arial"/>
                <w:sz w:val="15"/>
                <w:szCs w:val="15"/>
                <w:color w:val="auto"/>
                <w:w w:val="91"/>
                <w:shd w:val="clear" w:color="auto" w:fill="D2F0FF"/>
              </w:rPr>
              <w:t>Investment in properties</w:t>
            </w:r>
          </w:p>
        </w:tc>
        <w:tc>
          <w:tcPr>
            <w:tcW w:w="694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420" w:type="dxa"/>
            <w:vAlign w:val="bottom"/>
            <w:gridSpan w:val="2"/>
          </w:tcPr>
          <w:p>
            <w:pPr>
              <w:spacing w:after="0"/>
              <w:rPr>
                <w:sz w:val="20"/>
                <w:szCs w:val="20"/>
                <w:color w:val="auto"/>
              </w:rPr>
            </w:pPr>
            <w:r>
              <w:rPr>
                <w:rFonts w:ascii="Arial" w:cs="Arial" w:eastAsia="Arial" w:hAnsi="Arial"/>
                <w:sz w:val="15"/>
                <w:szCs w:val="15"/>
                <w:color w:val="auto"/>
              </w:rPr>
              <w:t>Acquisitions of properties, net of cash acquired</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(308,165)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(260,426)</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from dispositions of assets and depreciated homes, net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28,774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18,776</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420" w:type="dxa"/>
            <w:vAlign w:val="bottom"/>
            <w:gridSpan w:val="2"/>
          </w:tcPr>
          <w:p>
            <w:pPr>
              <w:spacing w:after="0"/>
              <w:rPr>
                <w:sz w:val="20"/>
                <w:szCs w:val="20"/>
                <w:color w:val="auto"/>
              </w:rPr>
            </w:pPr>
            <w:r>
              <w:rPr>
                <w:rFonts w:ascii="Arial" w:cs="Arial" w:eastAsia="Arial" w:hAnsi="Arial"/>
                <w:sz w:val="15"/>
                <w:szCs w:val="15"/>
                <w:color w:val="auto"/>
              </w:rPr>
              <w:t>Purchases of notes receivable</w:t>
            </w:r>
          </w:p>
        </w:tc>
        <w:tc>
          <w:tcPr>
            <w:tcW w:w="140" w:type="dxa"/>
            <w:vAlign w:val="bottom"/>
          </w:tcPr>
          <w:p>
            <w:pPr>
              <w:spacing w:after="0"/>
              <w:rPr>
                <w:sz w:val="23"/>
                <w:szCs w:val="2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Repayments of notes and other receivables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2,307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1,478</w:t>
            </w:r>
          </w:p>
        </w:tc>
        <w:tc>
          <w:tcPr>
            <w:tcW w:w="0" w:type="dxa"/>
            <w:vAlign w:val="bottom"/>
          </w:tcPr>
          <w:p>
            <w:pPr>
              <w:spacing w:after="0"/>
              <w:rPr>
                <w:sz w:val="1"/>
                <w:szCs w:val="1"/>
                <w:color w:val="auto"/>
              </w:rPr>
            </w:pPr>
          </w:p>
        </w:tc>
      </w:tr>
      <w:tr>
        <w:trPr>
          <w:trHeight w:val="266"/>
        </w:trPr>
        <w:tc>
          <w:tcPr>
            <w:tcW w:w="280" w:type="dxa"/>
            <w:vAlign w:val="bottom"/>
            <w:tcBorders>
              <w:bottom w:val="single" w:sz="8" w:color="CCEEFF"/>
            </w:tcBorders>
          </w:tcPr>
          <w:p>
            <w:pPr>
              <w:spacing w:after="0"/>
              <w:rPr>
                <w:sz w:val="23"/>
                <w:szCs w:val="23"/>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Investments in nonconsolidated affiliates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(30,502)</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(9,243)</w:t>
            </w:r>
          </w:p>
        </w:tc>
        <w:tc>
          <w:tcPr>
            <w:tcW w:w="0" w:type="dxa"/>
            <w:vAlign w:val="bottom"/>
          </w:tcPr>
          <w:p>
            <w:pPr>
              <w:spacing w:after="0"/>
              <w:rPr>
                <w:sz w:val="1"/>
                <w:szCs w:val="1"/>
                <w:color w:val="auto"/>
              </w:rPr>
            </w:pPr>
          </w:p>
        </w:tc>
      </w:tr>
      <w:tr>
        <w:trPr>
          <w:trHeight w:val="254"/>
        </w:trPr>
        <w:tc>
          <w:tcPr>
            <w:tcW w:w="280" w:type="dxa"/>
            <w:vAlign w:val="bottom"/>
            <w:shd w:val="clear" w:color="auto" w:fill="CCEEFF"/>
          </w:tcPr>
          <w:p>
            <w:pPr>
              <w:spacing w:after="0"/>
              <w:rPr>
                <w:sz w:val="22"/>
                <w:szCs w:val="22"/>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Cash Used For Investing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(570,530)</w:t>
            </w:r>
          </w:p>
        </w:tc>
        <w:tc>
          <w:tcPr>
            <w:tcW w:w="2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(407,491)</w:t>
            </w:r>
          </w:p>
        </w:tc>
        <w:tc>
          <w:tcPr>
            <w:tcW w:w="0" w:type="dxa"/>
            <w:vAlign w:val="bottom"/>
          </w:tcPr>
          <w:p>
            <w:pPr>
              <w:spacing w:after="0"/>
              <w:rPr>
                <w:sz w:val="1"/>
                <w:szCs w:val="1"/>
                <w:color w:val="auto"/>
              </w:rPr>
            </w:pPr>
          </w:p>
        </w:tc>
      </w:tr>
      <w:tr>
        <w:trPr>
          <w:trHeight w:val="246"/>
        </w:trPr>
        <w:tc>
          <w:tcPr>
            <w:tcW w:w="8700" w:type="dxa"/>
            <w:vAlign w:val="bottom"/>
            <w:gridSpan w:val="3"/>
          </w:tcPr>
          <w:p>
            <w:pPr>
              <w:ind w:left="40"/>
              <w:spacing w:after="0"/>
              <w:rPr>
                <w:sz w:val="20"/>
                <w:szCs w:val="20"/>
                <w:color w:val="auto"/>
              </w:rPr>
            </w:pPr>
            <w:r>
              <w:rPr>
                <w:rFonts w:ascii="Arial" w:cs="Arial" w:eastAsia="Arial" w:hAnsi="Arial"/>
                <w:sz w:val="15"/>
                <w:szCs w:val="15"/>
                <w:b w:val="1"/>
                <w:bCs w:val="1"/>
                <w:color w:val="auto"/>
              </w:rPr>
              <w:t>FINANCING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Issuance of common stock, OP units, and preferred OP units, net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443,420</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85,969</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420" w:type="dxa"/>
            <w:vAlign w:val="bottom"/>
            <w:gridSpan w:val="2"/>
          </w:tcPr>
          <w:p>
            <w:pPr>
              <w:spacing w:after="0"/>
              <w:rPr>
                <w:sz w:val="20"/>
                <w:szCs w:val="20"/>
                <w:color w:val="auto"/>
              </w:rPr>
            </w:pPr>
            <w:r>
              <w:rPr>
                <w:rFonts w:ascii="Arial" w:cs="Arial" w:eastAsia="Arial" w:hAnsi="Arial"/>
                <w:sz w:val="15"/>
                <w:szCs w:val="15"/>
                <w:color w:val="auto"/>
              </w:rPr>
              <w:t>Redemption of Series B-3 preferred OP units</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(2,675)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(4,105)</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Borrowings on lines of credit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2,345,659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1,041,876</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420" w:type="dxa"/>
            <w:vAlign w:val="bottom"/>
            <w:gridSpan w:val="2"/>
          </w:tcPr>
          <w:p>
            <w:pPr>
              <w:spacing w:after="0"/>
              <w:rPr>
                <w:sz w:val="20"/>
                <w:szCs w:val="20"/>
                <w:color w:val="auto"/>
              </w:rPr>
            </w:pPr>
            <w:r>
              <w:rPr>
                <w:rFonts w:ascii="Arial" w:cs="Arial" w:eastAsia="Arial" w:hAnsi="Arial"/>
                <w:sz w:val="15"/>
                <w:szCs w:val="15"/>
                <w:color w:val="auto"/>
              </w:rPr>
              <w:t>Payments on lines of credit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(2,397,580)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(546,839)</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from issuance of other debt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265,000</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420" w:type="dxa"/>
            <w:vAlign w:val="bottom"/>
            <w:gridSpan w:val="2"/>
          </w:tcPr>
          <w:p>
            <w:pPr>
              <w:spacing w:after="0"/>
              <w:rPr>
                <w:sz w:val="20"/>
                <w:szCs w:val="20"/>
                <w:color w:val="auto"/>
              </w:rPr>
            </w:pPr>
            <w:r>
              <w:rPr>
                <w:rFonts w:ascii="Arial" w:cs="Arial" w:eastAsia="Arial" w:hAnsi="Arial"/>
                <w:sz w:val="15"/>
                <w:szCs w:val="15"/>
                <w:color w:val="auto"/>
              </w:rPr>
              <w:t>Payments on other debt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(223,559)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(235,174)</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Prepayment penalty on debt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8420" w:type="dxa"/>
            <w:vAlign w:val="bottom"/>
            <w:gridSpan w:val="2"/>
          </w:tcPr>
          <w:p>
            <w:pPr>
              <w:spacing w:after="0"/>
              <w:rPr>
                <w:sz w:val="20"/>
                <w:szCs w:val="20"/>
                <w:color w:val="auto"/>
              </w:rPr>
            </w:pPr>
            <w:r>
              <w:rPr>
                <w:rFonts w:ascii="Arial" w:cs="Arial" w:eastAsia="Arial" w:hAnsi="Arial"/>
                <w:sz w:val="15"/>
                <w:szCs w:val="15"/>
                <w:color w:val="auto"/>
              </w:rPr>
              <w:t>Proceeds received from return of prepaid deferred financing costs</w:t>
            </w:r>
          </w:p>
        </w:tc>
        <w:tc>
          <w:tcPr>
            <w:tcW w:w="1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1,618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8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Distributions to stockholders, OP unit holders, and preferred OP unit holders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(133,989)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(117,054)</w:t>
            </w:r>
          </w:p>
        </w:tc>
        <w:tc>
          <w:tcPr>
            <w:tcW w:w="0" w:type="dxa"/>
            <w:vAlign w:val="bottom"/>
          </w:tcPr>
          <w:p>
            <w:pPr>
              <w:spacing w:after="0"/>
              <w:rPr>
                <w:sz w:val="1"/>
                <w:szCs w:val="1"/>
                <w:color w:val="auto"/>
              </w:rPr>
            </w:pPr>
          </w:p>
        </w:tc>
      </w:tr>
      <w:tr>
        <w:trPr>
          <w:trHeight w:val="266"/>
        </w:trPr>
        <w:tc>
          <w:tcPr>
            <w:tcW w:w="280" w:type="dxa"/>
            <w:vAlign w:val="bottom"/>
            <w:tcBorders>
              <w:bottom w:val="single" w:sz="8" w:color="CCEEFF"/>
            </w:tcBorders>
          </w:tcPr>
          <w:p>
            <w:pPr>
              <w:spacing w:after="0"/>
              <w:rPr>
                <w:sz w:val="23"/>
                <w:szCs w:val="23"/>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Payments for deferred financing costs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(3,875)</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w:t>
            </w:r>
          </w:p>
        </w:tc>
        <w:tc>
          <w:tcPr>
            <w:tcW w:w="0" w:type="dxa"/>
            <w:vAlign w:val="bottom"/>
          </w:tcPr>
          <w:p>
            <w:pPr>
              <w:spacing w:after="0"/>
              <w:rPr>
                <w:sz w:val="1"/>
                <w:szCs w:val="1"/>
                <w:color w:val="auto"/>
              </w:rPr>
            </w:pPr>
          </w:p>
        </w:tc>
      </w:tr>
      <w:tr>
        <w:trPr>
          <w:trHeight w:val="250"/>
        </w:trPr>
        <w:tc>
          <w:tcPr>
            <w:tcW w:w="280" w:type="dxa"/>
            <w:vAlign w:val="bottom"/>
            <w:shd w:val="clear" w:color="auto" w:fill="CCEEFF"/>
          </w:tcPr>
          <w:p>
            <w:pPr>
              <w:spacing w:after="0"/>
              <w:rPr>
                <w:sz w:val="21"/>
                <w:szCs w:val="21"/>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294,019</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222,353</w:t>
            </w:r>
          </w:p>
        </w:tc>
        <w:tc>
          <w:tcPr>
            <w:tcW w:w="0" w:type="dxa"/>
            <w:vAlign w:val="bottom"/>
          </w:tcPr>
          <w:p>
            <w:pPr>
              <w:spacing w:after="0"/>
              <w:rPr>
                <w:sz w:val="1"/>
                <w:szCs w:val="1"/>
                <w:color w:val="auto"/>
              </w:rPr>
            </w:pPr>
          </w:p>
        </w:tc>
      </w:tr>
      <w:tr>
        <w:trPr>
          <w:trHeight w:val="250"/>
        </w:trPr>
        <w:tc>
          <w:tcPr>
            <w:tcW w:w="8700" w:type="dxa"/>
            <w:vAlign w:val="bottom"/>
            <w:gridSpan w:val="3"/>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40" w:type="dxa"/>
            <w:vAlign w:val="bottom"/>
          </w:tcPr>
          <w:p>
            <w:pPr>
              <w:spacing w:after="0"/>
              <w:rPr>
                <w:sz w:val="21"/>
                <w:szCs w:val="21"/>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443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274"/>
        </w:trPr>
        <w:tc>
          <w:tcPr>
            <w:tcW w:w="87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Net change in cash, cash equivalents and restricted cash</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(16,224)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13,292</w:t>
            </w:r>
          </w:p>
        </w:tc>
        <w:tc>
          <w:tcPr>
            <w:tcW w:w="0" w:type="dxa"/>
            <w:vAlign w:val="bottom"/>
          </w:tcPr>
          <w:p>
            <w:pPr>
              <w:spacing w:after="0"/>
              <w:rPr>
                <w:sz w:val="1"/>
                <w:szCs w:val="1"/>
                <w:color w:val="auto"/>
              </w:rPr>
            </w:pPr>
          </w:p>
        </w:tc>
      </w:tr>
      <w:tr>
        <w:trPr>
          <w:trHeight w:val="266"/>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62,262</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23,509</w:t>
            </w:r>
          </w:p>
        </w:tc>
        <w:tc>
          <w:tcPr>
            <w:tcW w:w="0" w:type="dxa"/>
            <w:vAlign w:val="bottom"/>
          </w:tcPr>
          <w:p>
            <w:pPr>
              <w:spacing w:after="0"/>
              <w:rPr>
                <w:sz w:val="1"/>
                <w:szCs w:val="1"/>
                <w:color w:val="auto"/>
              </w:rPr>
            </w:pPr>
          </w:p>
        </w:tc>
      </w:tr>
      <w:tr>
        <w:trPr>
          <w:trHeight w:val="23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5"/>
                <w:szCs w:val="15"/>
                <w:b w:val="1"/>
                <w:bCs w:val="1"/>
                <w:color w:val="auto"/>
                <w:shd w:val="clear" w:color="auto" w:fill="CCEEFF"/>
              </w:rPr>
              <w:t>Cash, cash equivalents and restricted cash, end of period (see Note 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46,038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36,801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5"/>
                <w:szCs w:val="15"/>
                <w:b w:val="1"/>
                <w:bCs w:val="1"/>
                <w:color w:val="auto"/>
              </w:rPr>
              <w:t>Six Months Ended</w:t>
            </w:r>
          </w:p>
        </w:tc>
      </w:tr>
      <w:tr>
        <w:trPr>
          <w:trHeight w:val="261"/>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w w:val="92"/>
              </w:rPr>
              <w:t>June 30, 2018</w:t>
            </w:r>
          </w:p>
        </w:tc>
      </w:tr>
      <w:tr>
        <w:trPr>
          <w:trHeight w:val="253"/>
        </w:trPr>
        <w:tc>
          <w:tcPr>
            <w:tcW w:w="8700" w:type="dxa"/>
            <w:vAlign w:val="bottom"/>
          </w:tcPr>
          <w:p>
            <w:pPr>
              <w:ind w:left="40"/>
              <w:spacing w:after="0"/>
              <w:rPr>
                <w:sz w:val="20"/>
                <w:szCs w:val="20"/>
                <w:color w:val="auto"/>
              </w:rPr>
            </w:pPr>
            <w:r>
              <w:rPr>
                <w:rFonts w:ascii="Arial" w:cs="Arial" w:eastAsia="Arial" w:hAnsi="Arial"/>
                <w:sz w:val="15"/>
                <w:szCs w:val="15"/>
                <w:b w:val="1"/>
                <w:bCs w:val="1"/>
                <w:color w:val="auto"/>
              </w:rPr>
              <w:t>SUPPLEMENTAL INFORMATION</w:t>
            </w: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74"/>
        </w:trPr>
        <w:tc>
          <w:tcPr>
            <w:tcW w:w="87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for interest (net of capitalized interest of $3,283 and $2,205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66,947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62,648</w:t>
            </w:r>
          </w:p>
        </w:tc>
      </w:tr>
      <w:tr>
        <w:trPr>
          <w:trHeight w:val="266"/>
        </w:trPr>
        <w:tc>
          <w:tcPr>
            <w:tcW w:w="8700" w:type="dxa"/>
            <w:vAlign w:val="bottom"/>
          </w:tcPr>
          <w:p>
            <w:pPr>
              <w:ind w:left="40"/>
              <w:spacing w:after="0"/>
              <w:rPr>
                <w:sz w:val="20"/>
                <w:szCs w:val="20"/>
                <w:color w:val="auto"/>
              </w:rPr>
            </w:pPr>
            <w:r>
              <w:rPr>
                <w:rFonts w:ascii="Arial" w:cs="Arial" w:eastAsia="Arial" w:hAnsi="Arial"/>
                <w:sz w:val="15"/>
                <w:szCs w:val="15"/>
                <w:color w:val="auto"/>
              </w:rPr>
              <w:t>Cash paid for interest on mandatorily redeemable debt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2,275</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1,399</w:t>
            </w:r>
          </w:p>
        </w:tc>
      </w:tr>
      <w:tr>
        <w:trPr>
          <w:trHeight w:val="274"/>
        </w:trPr>
        <w:tc>
          <w:tcPr>
            <w:tcW w:w="87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703</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680</w:t>
            </w:r>
          </w:p>
        </w:tc>
      </w:tr>
      <w:tr>
        <w:trPr>
          <w:trHeight w:val="266"/>
        </w:trPr>
        <w:tc>
          <w:tcPr>
            <w:tcW w:w="8700" w:type="dxa"/>
            <w:vAlign w:val="bottom"/>
          </w:tcPr>
          <w:p>
            <w:pPr>
              <w:ind w:left="40"/>
              <w:spacing w:after="0"/>
              <w:rPr>
                <w:sz w:val="20"/>
                <w:szCs w:val="20"/>
                <w:color w:val="auto"/>
              </w:rPr>
            </w:pPr>
            <w:r>
              <w:rPr>
                <w:rFonts w:ascii="Arial" w:cs="Arial" w:eastAsia="Arial" w:hAnsi="Arial"/>
                <w:sz w:val="15"/>
                <w:szCs w:val="15"/>
                <w:color w:val="auto"/>
              </w:rPr>
              <w:t>Noncash investing and financing activities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shd w:val="clear" w:color="auto" w:fill="CCEEFF"/>
              </w:rPr>
              <w:t>Reduction in secured borrowing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9,432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10,940</w:t>
            </w:r>
          </w:p>
        </w:tc>
      </w:tr>
      <w:tr>
        <w:trPr>
          <w:trHeight w:val="266"/>
        </w:trPr>
        <w:tc>
          <w:tcPr>
            <w:tcW w:w="8700" w:type="dxa"/>
            <w:vAlign w:val="bottom"/>
          </w:tcPr>
          <w:p>
            <w:pPr>
              <w:ind w:left="280"/>
              <w:spacing w:after="0"/>
              <w:rPr>
                <w:sz w:val="20"/>
                <w:szCs w:val="20"/>
                <w:color w:val="auto"/>
              </w:rPr>
            </w:pPr>
            <w:r>
              <w:rPr>
                <w:rFonts w:ascii="Arial" w:cs="Arial" w:eastAsia="Arial" w:hAnsi="Arial"/>
                <w:sz w:val="15"/>
                <w:szCs w:val="15"/>
                <w:color w:val="auto"/>
              </w:rPr>
              <w:t>Change in distributions declared and outstanding</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6,401</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4,106</w:t>
            </w:r>
          </w:p>
        </w:tc>
      </w:tr>
      <w:tr>
        <w:trPr>
          <w:trHeight w:val="274"/>
        </w:trPr>
        <w:tc>
          <w:tcPr>
            <w:tcW w:w="87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Conversion of common and preferred OP units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1,120</w:t>
            </w:r>
          </w:p>
        </w:tc>
      </w:tr>
      <w:tr>
        <w:trPr>
          <w:trHeight w:val="266"/>
        </w:trPr>
        <w:tc>
          <w:tcPr>
            <w:tcW w:w="8700" w:type="dxa"/>
            <w:vAlign w:val="bottom"/>
          </w:tcPr>
          <w:p>
            <w:pPr>
              <w:ind w:left="280"/>
              <w:spacing w:after="0"/>
              <w:rPr>
                <w:sz w:val="20"/>
                <w:szCs w:val="20"/>
                <w:color w:val="auto"/>
              </w:rPr>
            </w:pPr>
            <w:r>
              <w:rPr>
                <w:rFonts w:ascii="Arial" w:cs="Arial" w:eastAsia="Arial" w:hAnsi="Arial"/>
                <w:sz w:val="15"/>
                <w:szCs w:val="15"/>
                <w:color w:val="auto"/>
              </w:rPr>
              <w:t>Conversion of Series A-4 preferred stock</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337</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675</w:t>
            </w:r>
          </w:p>
        </w:tc>
      </w:tr>
      <w:tr>
        <w:trPr>
          <w:trHeight w:val="274"/>
        </w:trPr>
        <w:tc>
          <w:tcPr>
            <w:tcW w:w="87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Noncash investing and financing activities at the date of acquisition:</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8700" w:type="dxa"/>
            <w:vAlign w:val="bottom"/>
          </w:tcPr>
          <w:p>
            <w:pPr>
              <w:ind w:left="280"/>
              <w:spacing w:after="0"/>
              <w:rPr>
                <w:sz w:val="20"/>
                <w:szCs w:val="20"/>
                <w:color w:val="auto"/>
              </w:rPr>
            </w:pPr>
            <w:r>
              <w:rPr>
                <w:rFonts w:ascii="Arial" w:cs="Arial" w:eastAsia="Arial" w:hAnsi="Arial"/>
                <w:sz w:val="15"/>
                <w:szCs w:val="15"/>
                <w:color w:val="auto"/>
              </w:rPr>
              <w:t>Acquisitions - Equity Interests - NG Sun LLC (see Note 8)</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21,869</w:t>
            </w:r>
          </w:p>
        </w:tc>
      </w:tr>
      <w:tr>
        <w:trPr>
          <w:trHeight w:val="274"/>
        </w:trPr>
        <w:tc>
          <w:tcPr>
            <w:tcW w:w="87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Preferred Equity - Sun NG RV Resorts LLC (see Note 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35,277</w:t>
            </w:r>
          </w:p>
        </w:tc>
      </w:tr>
      <w:tr>
        <w:trPr>
          <w:trHeight w:val="266"/>
        </w:trPr>
        <w:tc>
          <w:tcPr>
            <w:tcW w:w="8700" w:type="dxa"/>
            <w:vAlign w:val="bottom"/>
          </w:tcPr>
          <w:p>
            <w:pPr>
              <w:ind w:left="280"/>
              <w:spacing w:after="0"/>
              <w:rPr>
                <w:sz w:val="20"/>
                <w:szCs w:val="20"/>
                <w:color w:val="auto"/>
              </w:rPr>
            </w:pPr>
            <w:r>
              <w:rPr>
                <w:rFonts w:ascii="Arial" w:cs="Arial" w:eastAsia="Arial" w:hAnsi="Arial"/>
                <w:sz w:val="15"/>
                <w:szCs w:val="15"/>
                <w:color w:val="auto"/>
              </w:rPr>
              <w:t>Acquisitions - Debt assumed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3,012</w:t>
            </w:r>
          </w:p>
        </w:tc>
      </w:tr>
      <w:tr>
        <w:trPr>
          <w:trHeight w:val="274"/>
        </w:trPr>
        <w:tc>
          <w:tcPr>
            <w:tcW w:w="87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Series D preferred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51,930</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2"/>
        </w:trPr>
        <w:tc>
          <w:tcPr>
            <w:tcW w:w="8700" w:type="dxa"/>
            <w:vAlign w:val="bottom"/>
          </w:tcPr>
          <w:p>
            <w:pPr>
              <w:ind w:left="280"/>
              <w:spacing w:after="0"/>
              <w:rPr>
                <w:sz w:val="20"/>
                <w:szCs w:val="20"/>
                <w:color w:val="auto"/>
              </w:rPr>
            </w:pPr>
            <w:r>
              <w:rPr>
                <w:rFonts w:ascii="Arial" w:cs="Arial" w:eastAsia="Arial" w:hAnsi="Arial"/>
                <w:sz w:val="15"/>
                <w:szCs w:val="15"/>
                <w:color w:val="auto"/>
              </w:rPr>
              <w:t>Acquisitions - Escrow</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1,395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40" w:type="dxa"/>
            <w:vAlign w:val="bottom"/>
          </w:tcPr>
          <w:p>
            <w:pPr>
              <w:spacing w:after="0"/>
              <w:rPr>
                <w:sz w:val="13"/>
                <w:szCs w:val="13"/>
                <w:color w:val="auto"/>
              </w:rPr>
            </w:pPr>
          </w:p>
        </w:tc>
        <w:tc>
          <w:tcPr>
            <w:tcW w:w="1100" w:type="dxa"/>
            <w:vAlign w:val="bottom"/>
          </w:tcPr>
          <w:p>
            <w:pPr>
              <w:jc w:val="center"/>
              <w:ind w:right="4"/>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8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Excess of</w:t>
            </w:r>
          </w:p>
        </w:tc>
        <w:tc>
          <w:tcPr>
            <w:tcW w:w="140" w:type="dxa"/>
            <w:vAlign w:val="bottom"/>
          </w:tcPr>
          <w:p>
            <w:pPr>
              <w:spacing w:after="0"/>
              <w:rPr>
                <w:sz w:val="12"/>
                <w:szCs w:val="12"/>
                <w:color w:val="auto"/>
              </w:rPr>
            </w:pPr>
          </w:p>
        </w:tc>
        <w:tc>
          <w:tcPr>
            <w:tcW w:w="11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Non-controlling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1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66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100" w:type="dxa"/>
            <w:vAlign w:val="bottom"/>
          </w:tcPr>
          <w:p>
            <w:pPr>
              <w:jc w:val="center"/>
              <w:ind w:right="4"/>
              <w:spacing w:after="0"/>
              <w:rPr>
                <w:sz w:val="20"/>
                <w:szCs w:val="20"/>
                <w:color w:val="auto"/>
              </w:rPr>
            </w:pPr>
            <w:r>
              <w:rPr>
                <w:rFonts w:ascii="Arial" w:cs="Arial" w:eastAsia="Arial" w:hAnsi="Arial"/>
                <w:sz w:val="14"/>
                <w:szCs w:val="14"/>
                <w:b w:val="1"/>
                <w:bCs w:val="1"/>
                <w:color w:val="auto"/>
                <w:w w:val="91"/>
              </w:rPr>
              <w:t>Income / (Loss)</w:t>
            </w:r>
          </w:p>
        </w:tc>
        <w:tc>
          <w:tcPr>
            <w:tcW w:w="20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b w:val="1"/>
                <w:bCs w:val="1"/>
                <w:color w:val="auto"/>
                <w:w w:val="99"/>
              </w:rPr>
              <w:t>Interests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63,592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4,398,949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(1,288,486)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(4,504)</w:t>
            </w:r>
          </w:p>
        </w:tc>
        <w:tc>
          <w:tcPr>
            <w:tcW w:w="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60,499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3,167,322</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$ 3,230,914</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w w:val="95"/>
              </w:rPr>
              <w:t>Issuance of common stock and common OP</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40"/>
              <w:spacing w:after="0"/>
              <w:rPr>
                <w:sz w:val="20"/>
                <w:szCs w:val="20"/>
                <w:color w:val="auto"/>
              </w:rPr>
            </w:pPr>
            <w:r>
              <w:rPr>
                <w:rFonts w:ascii="Arial" w:cs="Arial" w:eastAsia="Arial" w:hAnsi="Arial"/>
                <w:sz w:val="15"/>
                <w:szCs w:val="15"/>
                <w:color w:val="auto"/>
              </w:rPr>
              <w:t>units, net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(4,322)</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(4,321)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(4,321)</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OP units</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280</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Accrued Equity Interests - NG Sun LLC</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(65)</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w w:val="91"/>
              </w:rPr>
              <w:t>Share-based compensation - amortization and</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forfeitures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3,719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3,793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3,793</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Issuance of Series D OP Units</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51,930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51,930</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1,498</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36,086</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863</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36,949</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37,127</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(65,214)</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(2,954)</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(68,153)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(68,681)</w:t>
            </w:r>
          </w:p>
        </w:tc>
        <w:tc>
          <w:tcPr>
            <w:tcW w:w="0" w:type="dxa"/>
            <w:vAlign w:val="bottom"/>
          </w:tcPr>
          <w:p>
            <w:pPr>
              <w:spacing w:after="0"/>
              <w:rPr>
                <w:sz w:val="1"/>
                <w:szCs w:val="1"/>
                <w:color w:val="auto"/>
              </w:rPr>
            </w:pPr>
          </w:p>
        </w:tc>
      </w:tr>
      <w:tr>
        <w:trPr>
          <w:trHeight w:val="281"/>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Balance at March 31,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115,428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4,398,641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(1,317,605)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(3,006)</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58,014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3,136,909</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$ 3,252,337</w:t>
            </w:r>
          </w:p>
        </w:tc>
        <w:tc>
          <w:tcPr>
            <w:tcW w:w="0" w:type="dxa"/>
            <w:vAlign w:val="bottom"/>
          </w:tcPr>
          <w:p>
            <w:pPr>
              <w:spacing w:after="0"/>
              <w:rPr>
                <w:sz w:val="1"/>
                <w:szCs w:val="1"/>
                <w:color w:val="auto"/>
              </w:rPr>
            </w:pPr>
          </w:p>
        </w:tc>
      </w:tr>
      <w:tr>
        <w:trPr>
          <w:trHeight w:val="129"/>
        </w:trPr>
        <w:tc>
          <w:tcPr>
            <w:tcW w:w="288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color w:val="auto"/>
              </w:rPr>
              <w:t>Issuance of common stock and common OP</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units, net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447,704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447,741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447,741</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Conversion of OP units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242</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(135)</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Series A-4 preferred stock</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337</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Accrued Equity Interests - NG Sun LLC</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(308)</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191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w w:val="91"/>
              </w:rPr>
              <w:t>Share-based compensation - amortization and</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forfeitures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4,414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4,498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4,498</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Issuance of Series D OP Units</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1,822</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1,913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1,913</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42,531</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2,570</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45,101</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45,116</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(68,494)</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(2,642)</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(71,151)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(71,709)</w:t>
            </w:r>
          </w:p>
        </w:tc>
        <w:tc>
          <w:tcPr>
            <w:tcW w:w="0" w:type="dxa"/>
            <w:vAlign w:val="bottom"/>
          </w:tcPr>
          <w:p>
            <w:pPr>
              <w:spacing w:after="0"/>
              <w:rPr>
                <w:sz w:val="1"/>
                <w:szCs w:val="1"/>
                <w:color w:val="auto"/>
              </w:rPr>
            </w:pPr>
          </w:p>
        </w:tc>
      </w:tr>
      <w:tr>
        <w:trPr>
          <w:trHeight w:val="241"/>
        </w:trPr>
        <w:tc>
          <w:tcPr>
            <w:tcW w:w="2880" w:type="dxa"/>
            <w:vAlign w:val="bottom"/>
          </w:tcPr>
          <w:p>
            <w:pPr>
              <w:ind w:left="40"/>
              <w:spacing w:after="0"/>
              <w:rPr>
                <w:sz w:val="20"/>
                <w:szCs w:val="20"/>
                <w:color w:val="auto"/>
              </w:rPr>
            </w:pPr>
            <w:r>
              <w:rPr>
                <w:rFonts w:ascii="Arial" w:cs="Arial" w:eastAsia="Arial" w:hAnsi="Arial"/>
                <w:sz w:val="15"/>
                <w:szCs w:val="15"/>
                <w:b w:val="1"/>
                <w:bCs w:val="1"/>
                <w:color w:val="auto"/>
              </w:rPr>
              <w:t>Balance at June 30,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114,553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4,851,323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(1,343,792)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(1,184)</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58,089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3,565,343</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$ 3,679,896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40" w:type="dxa"/>
            <w:vAlign w:val="bottom"/>
          </w:tcPr>
          <w:p>
            <w:pPr>
              <w:spacing w:after="0"/>
              <w:rPr>
                <w:sz w:val="13"/>
                <w:szCs w:val="13"/>
                <w:color w:val="auto"/>
              </w:rPr>
            </w:pPr>
          </w:p>
        </w:tc>
        <w:tc>
          <w:tcPr>
            <w:tcW w:w="1100" w:type="dxa"/>
            <w:vAlign w:val="bottom"/>
          </w:tcPr>
          <w:p>
            <w:pPr>
              <w:jc w:val="center"/>
              <w:ind w:right="4"/>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8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Excess of</w:t>
            </w:r>
          </w:p>
        </w:tc>
        <w:tc>
          <w:tcPr>
            <w:tcW w:w="140" w:type="dxa"/>
            <w:vAlign w:val="bottom"/>
          </w:tcPr>
          <w:p>
            <w:pPr>
              <w:spacing w:after="0"/>
              <w:rPr>
                <w:sz w:val="12"/>
                <w:szCs w:val="12"/>
                <w:color w:val="auto"/>
              </w:rPr>
            </w:pPr>
          </w:p>
        </w:tc>
        <w:tc>
          <w:tcPr>
            <w:tcW w:w="11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336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Comprehensive  Non-controlling  Stockholders’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66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100" w:type="dxa"/>
            <w:vAlign w:val="bottom"/>
          </w:tcPr>
          <w:p>
            <w:pPr>
              <w:jc w:val="center"/>
              <w:ind w:right="4"/>
              <w:spacing w:after="0"/>
              <w:rPr>
                <w:sz w:val="20"/>
                <w:szCs w:val="20"/>
                <w:color w:val="auto"/>
              </w:rPr>
            </w:pPr>
            <w:r>
              <w:rPr>
                <w:rFonts w:ascii="Arial" w:cs="Arial" w:eastAsia="Arial" w:hAnsi="Arial"/>
                <w:sz w:val="14"/>
                <w:szCs w:val="14"/>
                <w:b w:val="1"/>
                <w:bCs w:val="1"/>
                <w:color w:val="auto"/>
                <w:w w:val="91"/>
              </w:rPr>
              <w:t>Income / (Loss)</w:t>
            </w:r>
          </w:p>
        </w:tc>
        <w:tc>
          <w:tcPr>
            <w:tcW w:w="20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b w:val="1"/>
                <w:bCs w:val="1"/>
                <w:color w:val="auto"/>
                <w:w w:val="99"/>
              </w:rPr>
              <w:t>Interests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43,066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3,758,533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(1,162,001)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1,102</w:t>
            </w:r>
          </w:p>
        </w:tc>
        <w:tc>
          <w:tcPr>
            <w:tcW w:w="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65,256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2,663,687</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$ 2,706,753</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w w:val="95"/>
              </w:rPr>
              <w:t>Issuance of common stock and common OP</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40"/>
              <w:spacing w:after="0"/>
              <w:rPr>
                <w:sz w:val="20"/>
                <w:szCs w:val="20"/>
                <w:color w:val="auto"/>
              </w:rPr>
            </w:pPr>
            <w:r>
              <w:rPr>
                <w:rFonts w:ascii="Arial" w:cs="Arial" w:eastAsia="Arial" w:hAnsi="Arial"/>
                <w:sz w:val="15"/>
                <w:szCs w:val="15"/>
                <w:color w:val="auto"/>
              </w:rPr>
              <w:t>units, net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(3,298)</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(3,296)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(3,296)</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OP units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342</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w w:val="91"/>
              </w:rPr>
              <w:t>Share-based compensation - amortization and</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40"/>
              <w:spacing w:after="0"/>
              <w:rPr>
                <w:sz w:val="20"/>
                <w:szCs w:val="20"/>
                <w:color w:val="auto"/>
              </w:rPr>
            </w:pPr>
            <w:r>
              <w:rPr>
                <w:rFonts w:ascii="Arial" w:cs="Arial" w:eastAsia="Arial" w:hAnsi="Arial"/>
                <w:sz w:val="15"/>
                <w:szCs w:val="15"/>
                <w:color w:val="auto"/>
              </w:rPr>
              <w:t>forfeitures</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3,489</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90</w:t>
            </w:r>
          </w:p>
        </w:tc>
        <w:tc>
          <w:tcPr>
            <w:tcW w:w="1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3,579</w:t>
            </w:r>
          </w:p>
        </w:tc>
        <w:tc>
          <w:tcPr>
            <w:tcW w:w="10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3,579</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(1,772)</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31,507</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2,023</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33,530</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33,601</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Distributions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(57,159)</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(2,888)</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(60,047)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(60,218)</w:t>
            </w:r>
          </w:p>
        </w:tc>
        <w:tc>
          <w:tcPr>
            <w:tcW w:w="0" w:type="dxa"/>
            <w:vAlign w:val="bottom"/>
          </w:tcPr>
          <w:p>
            <w:pPr>
              <w:spacing w:after="0"/>
              <w:rPr>
                <w:sz w:val="1"/>
                <w:szCs w:val="1"/>
                <w:color w:val="auto"/>
              </w:rPr>
            </w:pPr>
          </w:p>
        </w:tc>
      </w:tr>
      <w:tr>
        <w:trPr>
          <w:trHeight w:val="281"/>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Balance at March 31,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42,906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3,759,066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(1,187,563)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2,635,651</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$ 2,678,557</w:t>
            </w:r>
          </w:p>
        </w:tc>
        <w:tc>
          <w:tcPr>
            <w:tcW w:w="0" w:type="dxa"/>
            <w:vAlign w:val="bottom"/>
          </w:tcPr>
          <w:p>
            <w:pPr>
              <w:spacing w:after="0"/>
              <w:rPr>
                <w:sz w:val="1"/>
                <w:szCs w:val="1"/>
                <w:color w:val="auto"/>
              </w:rPr>
            </w:pPr>
          </w:p>
        </w:tc>
      </w:tr>
      <w:tr>
        <w:trPr>
          <w:trHeight w:val="129"/>
        </w:trPr>
        <w:tc>
          <w:tcPr>
            <w:tcW w:w="288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color w:val="auto"/>
              </w:rPr>
              <w:t>Issuance of common stock and common OP</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units, net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89,255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89,265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89,265</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Conversion of OP units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778</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(544)</w:t>
            </w: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of Series A-4 preferred stock</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675</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675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880" w:type="dxa"/>
            <w:vAlign w:val="bottom"/>
          </w:tcPr>
          <w:p>
            <w:pPr>
              <w:ind w:left="40"/>
              <w:spacing w:after="0"/>
              <w:rPr>
                <w:sz w:val="20"/>
                <w:szCs w:val="20"/>
                <w:color w:val="auto"/>
              </w:rPr>
            </w:pPr>
            <w:r>
              <w:rPr>
                <w:rFonts w:ascii="Arial" w:cs="Arial" w:eastAsia="Arial" w:hAnsi="Arial"/>
                <w:sz w:val="15"/>
                <w:szCs w:val="15"/>
                <w:color w:val="auto"/>
                <w:w w:val="91"/>
              </w:rPr>
              <w:t>Share-based compensation - amortization and</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40"/>
              <w:spacing w:after="0"/>
              <w:rPr>
                <w:sz w:val="20"/>
                <w:szCs w:val="20"/>
                <w:color w:val="auto"/>
              </w:rPr>
            </w:pPr>
            <w:r>
              <w:rPr>
                <w:rFonts w:ascii="Arial" w:cs="Arial" w:eastAsia="Arial" w:hAnsi="Arial"/>
                <w:sz w:val="15"/>
                <w:szCs w:val="15"/>
                <w:color w:val="auto"/>
              </w:rPr>
              <w:t>forfeitures</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4,283</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91</w:t>
            </w:r>
          </w:p>
        </w:tc>
        <w:tc>
          <w:tcPr>
            <w:tcW w:w="1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4,374</w:t>
            </w:r>
          </w:p>
        </w:tc>
        <w:tc>
          <w:tcPr>
            <w:tcW w:w="10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4,374</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(1,594)</w:t>
            </w:r>
          </w:p>
        </w:tc>
        <w:tc>
          <w:tcPr>
            <w:tcW w:w="0" w:type="dxa"/>
            <w:vAlign w:val="bottom"/>
          </w:tcPr>
          <w:p>
            <w:pPr>
              <w:spacing w:after="0"/>
              <w:rPr>
                <w:sz w:val="1"/>
                <w:szCs w:val="1"/>
                <w:color w:val="auto"/>
              </w:rPr>
            </w:pPr>
          </w:p>
        </w:tc>
      </w:tr>
      <w:tr>
        <w:trPr>
          <w:trHeight w:val="266"/>
        </w:trPr>
        <w:tc>
          <w:tcPr>
            <w:tcW w:w="2880" w:type="dxa"/>
            <w:vAlign w:val="bottom"/>
          </w:tcPr>
          <w:p>
            <w:pPr>
              <w:ind w:left="40"/>
              <w:spacing w:after="0"/>
              <w:rPr>
                <w:sz w:val="20"/>
                <w:szCs w:val="20"/>
                <w:color w:val="auto"/>
              </w:rPr>
            </w:pPr>
            <w:r>
              <w:rPr>
                <w:rFonts w:ascii="Arial" w:cs="Arial" w:eastAsia="Arial" w:hAnsi="Arial"/>
                <w:sz w:val="15"/>
                <w:szCs w:val="15"/>
                <w:color w:val="auto"/>
              </w:rPr>
              <w:t>Acquisition of noncontrolling interests</w:t>
            </w:r>
          </w:p>
        </w:tc>
        <w:tc>
          <w:tcPr>
            <w:tcW w:w="14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21,869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21,869</w:t>
            </w:r>
          </w:p>
        </w:tc>
        <w:tc>
          <w:tcPr>
            <w:tcW w:w="0" w:type="dxa"/>
            <w:vAlign w:val="bottom"/>
          </w:tcPr>
          <w:p>
            <w:pPr>
              <w:spacing w:after="0"/>
              <w:rPr>
                <w:sz w:val="1"/>
                <w:szCs w:val="1"/>
                <w:color w:val="auto"/>
              </w:rPr>
            </w:pPr>
          </w:p>
        </w:tc>
      </w:tr>
      <w:tr>
        <w:trPr>
          <w:trHeight w:val="274"/>
        </w:trPr>
        <w:tc>
          <w:tcPr>
            <w:tcW w:w="2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21,943</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2,179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24,122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24,170</w:t>
            </w:r>
          </w:p>
        </w:tc>
        <w:tc>
          <w:tcPr>
            <w:tcW w:w="0" w:type="dxa"/>
            <w:vAlign w:val="bottom"/>
          </w:tcPr>
          <w:p>
            <w:pPr>
              <w:spacing w:after="0"/>
              <w:rPr>
                <w:sz w:val="1"/>
                <w:szCs w:val="1"/>
                <w:color w:val="auto"/>
              </w:rPr>
            </w:pPr>
          </w:p>
        </w:tc>
      </w:tr>
      <w:tr>
        <w:trPr>
          <w:trHeight w:val="266"/>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Distributions</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(57,865)</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(2,880)</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(60,745)</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(60,915)</w:t>
            </w: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June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63,745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3,854,057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(1,223,394)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(2,184)</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62,694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2,691,982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$ 2,755,727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151"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Sun Communities, Inc., a Maryland corporation, and all wholly-owned or majority-owned and controlled subsidiaries, including Sun Communities Operating Limited Partnership (the “Operating Partnership”) and Sun Home Services, Inc. (“SHS”) are referred to herein as the “Company,” “us,” “we,” and “our.”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follow accounting standards set by the Financial Accounting Standards Board (“FASB”). FASB sets generally accepted accounting principles (“GAAP”), which we follow to ensure that we consistently report our financial condition, results of operations, and cash flows. References to GAAP issued by the FASB in these footnotes are to the FASB Accounting Standards Codification (“ASC”).</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Consolidated Financial Statements have been prepared pursuant to the rules and regulations of the Securities and Exchange Commission (“SEC”) for interim financial information and in accordance with GAAP. Pursuant to the SEC rules and regulations we present interim disclosures and certain information and footnote disclosures as required.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 Certain reclassifications have been made to prior period financial statements in order to conform to current period presentation.</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2018 as filed with the SEC on February 21, 2019 (the “2018 Annual Report”). These statements have been prepared on a basis that is substantially consistent with the accounting principles applied in our 2018 Annual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details our revenue by major source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5"/>
                <w:szCs w:val="15"/>
                <w:b w:val="1"/>
                <w:bCs w:val="1"/>
                <w:color w:val="auto"/>
                <w:w w:val="94"/>
              </w:rPr>
              <w:t>Three Months Ended</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64"/>
        </w:trPr>
        <w:tc>
          <w:tcPr>
            <w:tcW w:w="3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June 30, 2018</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169"/>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8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89"/>
              </w:rPr>
              <w:t>Home Sales and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20" w:type="dxa"/>
            <w:vAlign w:val="bottom"/>
            <w:gridSpan w:val="3"/>
          </w:tcPr>
          <w:p>
            <w:pPr>
              <w:ind w:left="20"/>
              <w:spacing w:after="0" w:line="169" w:lineRule="exact"/>
              <w:rPr>
                <w:sz w:val="20"/>
                <w:szCs w:val="20"/>
                <w:color w:val="auto"/>
              </w:rPr>
            </w:pPr>
            <w:r>
              <w:rPr>
                <w:rFonts w:ascii="Arial" w:cs="Arial" w:eastAsia="Arial" w:hAnsi="Arial"/>
                <w:sz w:val="15"/>
                <w:szCs w:val="15"/>
                <w:b w:val="1"/>
                <w:bCs w:val="1"/>
                <w:color w:val="auto"/>
              </w:rPr>
              <w:t>Home Sales and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Operations</w:t>
            </w:r>
          </w:p>
        </w:tc>
        <w:tc>
          <w:tcPr>
            <w:tcW w:w="2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Rentals</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Operations</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Rentals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66"/>
        </w:trPr>
        <w:tc>
          <w:tcPr>
            <w:tcW w:w="3660" w:type="dxa"/>
            <w:vAlign w:val="bottom"/>
          </w:tcPr>
          <w:p>
            <w:pPr>
              <w:ind w:left="40"/>
              <w:spacing w:after="0"/>
              <w:rPr>
                <w:sz w:val="20"/>
                <w:szCs w:val="20"/>
                <w:color w:val="auto"/>
              </w:rPr>
            </w:pPr>
            <w:r>
              <w:rPr>
                <w:rFonts w:ascii="Arial" w:cs="Arial" w:eastAsia="Arial" w:hAnsi="Arial"/>
                <w:sz w:val="15"/>
                <w:szCs w:val="15"/>
                <w:b w:val="1"/>
                <w:bCs w:val="1"/>
                <w:color w:val="auto"/>
              </w:rPr>
              <w:t>Revenue</w:t>
            </w: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real 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226,099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226,099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198,670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198,670</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Revenue from home sales</w:t>
            </w:r>
          </w:p>
        </w:tc>
        <w:tc>
          <w:tcPr>
            <w:tcW w:w="16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47,242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47,242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41,217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41,217</w:t>
            </w: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 revenue</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14,412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14,412</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13,348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13,348</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Ancillary revenue</w:t>
            </w: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17,265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17,265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12,031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12,031</w:t>
            </w: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Income</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4,919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4,919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5,277</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Brokerage commissions and other revenues, net</w:t>
            </w: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2,508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2,508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891</w:t>
            </w:r>
          </w:p>
        </w:tc>
      </w:tr>
      <w:tr>
        <w:trPr>
          <w:trHeight w:val="241"/>
        </w:trPr>
        <w:tc>
          <w:tcPr>
            <w:tcW w:w="36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250,791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61,654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312,445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216,869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54,565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271,434</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98"/>
        </w:trPr>
        <w:tc>
          <w:tcPr>
            <w:tcW w:w="3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5"/>
                <w:szCs w:val="15"/>
                <w:b w:val="1"/>
                <w:bCs w:val="1"/>
                <w:color w:val="auto"/>
                <w:w w:val="92"/>
              </w:rPr>
              <w:t>Six Months Ended</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3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June 30, 2018</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169"/>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8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89"/>
              </w:rPr>
              <w:t>Home Sales and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20" w:type="dxa"/>
            <w:vAlign w:val="bottom"/>
            <w:gridSpan w:val="3"/>
          </w:tcPr>
          <w:p>
            <w:pPr>
              <w:ind w:left="20"/>
              <w:spacing w:after="0" w:line="169" w:lineRule="exact"/>
              <w:rPr>
                <w:sz w:val="20"/>
                <w:szCs w:val="20"/>
                <w:color w:val="auto"/>
              </w:rPr>
            </w:pPr>
            <w:r>
              <w:rPr>
                <w:rFonts w:ascii="Arial" w:cs="Arial" w:eastAsia="Arial" w:hAnsi="Arial"/>
                <w:sz w:val="15"/>
                <w:szCs w:val="15"/>
                <w:b w:val="1"/>
                <w:bCs w:val="1"/>
                <w:color w:val="auto"/>
              </w:rPr>
              <w:t>Home Sales and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Operations</w:t>
            </w:r>
          </w:p>
        </w:tc>
        <w:tc>
          <w:tcPr>
            <w:tcW w:w="2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Rentals</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Operations</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Rentals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66"/>
        </w:trPr>
        <w:tc>
          <w:tcPr>
            <w:tcW w:w="3660" w:type="dxa"/>
            <w:vAlign w:val="bottom"/>
          </w:tcPr>
          <w:p>
            <w:pPr>
              <w:ind w:left="40"/>
              <w:spacing w:after="0"/>
              <w:rPr>
                <w:sz w:val="20"/>
                <w:szCs w:val="20"/>
                <w:color w:val="auto"/>
              </w:rPr>
            </w:pPr>
            <w:r>
              <w:rPr>
                <w:rFonts w:ascii="Arial" w:cs="Arial" w:eastAsia="Arial" w:hAnsi="Arial"/>
                <w:sz w:val="15"/>
                <w:szCs w:val="15"/>
                <w:b w:val="1"/>
                <w:bCs w:val="1"/>
                <w:color w:val="auto"/>
              </w:rPr>
              <w:t>Revenue</w:t>
            </w: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real 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442,878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442,878</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395,881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395,881</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Revenue from home sales</w:t>
            </w:r>
          </w:p>
        </w:tc>
        <w:tc>
          <w:tcPr>
            <w:tcW w:w="16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86,860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86,860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76,117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76,117</w:t>
            </w: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 revenue</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28,383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28,383</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26,368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26,368</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Ancillary revenue</w:t>
            </w: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25,747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25,747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18,599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18,599</w:t>
            </w:r>
          </w:p>
        </w:tc>
      </w:tr>
      <w:tr>
        <w:trPr>
          <w:trHeight w:val="274"/>
        </w:trPr>
        <w:tc>
          <w:tcPr>
            <w:tcW w:w="3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9,719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9,719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10,593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10,593</w:t>
            </w:r>
          </w:p>
        </w:tc>
      </w:tr>
      <w:tr>
        <w:trPr>
          <w:trHeight w:val="266"/>
        </w:trPr>
        <w:tc>
          <w:tcPr>
            <w:tcW w:w="3660" w:type="dxa"/>
            <w:vAlign w:val="bottom"/>
          </w:tcPr>
          <w:p>
            <w:pPr>
              <w:ind w:left="280"/>
              <w:spacing w:after="0"/>
              <w:rPr>
                <w:sz w:val="20"/>
                <w:szCs w:val="20"/>
                <w:color w:val="auto"/>
              </w:rPr>
            </w:pPr>
            <w:r>
              <w:rPr>
                <w:rFonts w:ascii="Arial" w:cs="Arial" w:eastAsia="Arial" w:hAnsi="Arial"/>
                <w:sz w:val="15"/>
                <w:szCs w:val="15"/>
                <w:color w:val="auto"/>
              </w:rPr>
              <w:t>Brokerage commissions and other revenues, net</w:t>
            </w:r>
          </w:p>
        </w:tc>
        <w:tc>
          <w:tcPr>
            <w:tcW w:w="16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6,188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6,188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1,851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1,851</w:t>
            </w:r>
          </w:p>
        </w:tc>
      </w:tr>
      <w:tr>
        <w:trPr>
          <w:trHeight w:val="241"/>
        </w:trPr>
        <w:tc>
          <w:tcPr>
            <w:tcW w:w="36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484,532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115,243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599,775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426,924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102,485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529,409</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and Performance Obligations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 2018, we adopted FASB Accounting Standards Update (“ASU”) 2014-09 “Revenue from Contracts with Customers” and the other related ASUs and amendments to the codification (collectively “ASC 606”). The core principle of ASC 606 is that an entity should recognize revenue to depict the transfer of promised goods or services to customers in an amount that reflects the consideration to which the entity expects to be entitled in exchange for those goods or services. A five-step transactional analysis is required to determine how and when to recognize revenue. ASC 606 applies to all contracts with customers, except those that are within the scope of other topics in the FASB accounting standards codification.</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real estate owner and operator, the majority of our revenue is derived from site and home leases that are accounted for pursuant to ASC 842 “Leases.” For transactions in the scope of ASC 606, we recognize revenue when control of goods or services transfers to the customer, in the amount that we expect to receive for the transfer of goods or provision of services. The adoption of ASC 606 did not result in any change to our accounting policies for revenue recognition. Accordingly, retrospective application to prior periods or a cumulative catch-up adjustment was unnecessary.</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Income from real property </w:t>
      </w:r>
      <w:r>
        <w:rPr>
          <w:rFonts w:ascii="Arial" w:cs="Arial" w:eastAsia="Arial" w:hAnsi="Arial"/>
          <w:sz w:val="16"/>
          <w:szCs w:val="16"/>
          <w:color w:val="auto"/>
        </w:rPr>
        <w:t>- Residents in our communities lease the site on which their home is located, and either own or lease their home. Resident leases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for one-year or month-to-month terms, and are renewable by mutual agreement from us and the resident, or in some cases, as provided by jurisdictional statute. Lease revenues for sites and homes fall under the scope of ASC 842, and are accounted for as operating leases with straight-line recognition. Income from real property includes income from site leases for annual MH residents, site leases for annual recreational vehicle (“RV”) residents and site rentals to transient RV residents. Non-lease components of our site lease contracts, which are primarily provision of utility services, are accounted for with the site lease as a single lease under ASC 842. Additionally, we include collections of real estate taxes from residents within Income from real property.</w:t>
      </w:r>
    </w:p>
    <w:p>
      <w:pPr>
        <w:sectPr>
          <w:pgSz w:w="11900" w:h="16838" w:orient="portrait"/>
          <w:cols w:equalWidth="0" w:num="1">
            <w:col w:w="11420"/>
          </w:cols>
          <w:pgMar w:left="240" w:top="126"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Revenue from home sales </w:t>
      </w:r>
      <w:r>
        <w:rPr>
          <w:rFonts w:ascii="Arial" w:cs="Arial" w:eastAsia="Arial" w:hAnsi="Arial"/>
          <w:sz w:val="18"/>
          <w:szCs w:val="18"/>
          <w:color w:val="auto"/>
        </w:rPr>
        <w:t>- Our taxable REIT subsidiary, SHS, sells manufactured homes (“MH”) to current and prospective residents in our communities.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adoption of ASC 606, we recognized revenue for home sales pursuant to ASC 605 “Revenue Recognition,” as manufactured homes are tangible personal property that can be located on any land parcel. Manufactured homes are not permanent fixtures or improvements to the underlying real estate, and were therefore not considered to be subject to the guidance in ASC 360-20 “Real Estate Sales” by the Company. In accordance with the core principle of ASC 606, we recognize revenue from home sales at the time of closing when control of the home transfers to the customer. After closing of the sale transaction, we have no remaining performance obligation.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Rental home revenue </w:t>
      </w:r>
      <w:r>
        <w:rPr>
          <w:rFonts w:ascii="Arial" w:cs="Arial" w:eastAsia="Arial" w:hAnsi="Arial"/>
          <w:sz w:val="18"/>
          <w:szCs w:val="18"/>
          <w:color w:val="auto"/>
        </w:rPr>
        <w:t>- is comprised of rental agreements whereby we lease homes to residents in our communities. We account for these revenues under ASC</w:t>
      </w:r>
      <w:r>
        <w:rPr>
          <w:rFonts w:ascii="Arial" w:cs="Arial" w:eastAsia="Arial" w:hAnsi="Arial"/>
          <w:sz w:val="18"/>
          <w:szCs w:val="18"/>
          <w:i w:val="1"/>
          <w:iCs w:val="1"/>
          <w:color w:val="auto"/>
        </w:rPr>
        <w:t xml:space="preserve"> </w:t>
      </w:r>
      <w:r>
        <w:rPr>
          <w:rFonts w:ascii="Arial" w:cs="Arial" w:eastAsia="Arial" w:hAnsi="Arial"/>
          <w:sz w:val="18"/>
          <w:szCs w:val="18"/>
          <w:color w:val="auto"/>
        </w:rPr>
        <w:t>842.</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Ancillary revenue </w:t>
      </w:r>
      <w:r>
        <w:rPr>
          <w:rFonts w:ascii="Arial" w:cs="Arial" w:eastAsia="Arial" w:hAnsi="Arial"/>
          <w:sz w:val="17"/>
          <w:szCs w:val="17"/>
          <w:color w:val="auto"/>
        </w:rPr>
        <w:t>- is primarily composed of proceeds from restaurant, golf, merchandise and other activities at our RV communities and is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of ASC 606. Revenues are recognized at point of sale when control of the good or service transfers to the customer and our performance obligation is satisfied. In addition, leasing of short-term vacation home rentals is included within ancillary revenue and falls within the scope of ASC 842. Sales and other taxes that we collect concurrent with revenue-producing activities are excluded from the transaction price.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 is earned primarily on our notes and collateralized receivables, which includes installment loans for manufactured homes purchased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from loan originators and transferred loans that previously did not meet the requirements for sale accounting. Interest income on these receivables is accrued based on the unpaid principal balances of the underlying loans on a level yield basis over the life of the loans. Interest income is not in the scope of ASC 606. Refer to Note 4, “Collateralized Receivables and Transfers of Financial Assets” and Note 5, “Notes and Other Receivables, net” for additional information.</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Broker commissions and other revenues, net </w:t>
      </w:r>
      <w:r>
        <w:rPr>
          <w:rFonts w:ascii="Arial" w:cs="Arial" w:eastAsia="Arial" w:hAnsi="Arial"/>
          <w:sz w:val="17"/>
          <w:szCs w:val="17"/>
          <w:color w:val="auto"/>
        </w:rPr>
        <w:t>- is primarily comprised of brokerage commissions for sales of manufactured homes, where we act as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arrange for a third party to transfer a manufactured home to a customer within one of our communities. Brokerage commission revenues are recognized on a net basis at closing, when the transaction is completed and our performance obligations have been fulfilled. Loan loss reserve expenses for our collateralized receivables and notes receivables are also included herein. Refer to Note 4, “Collateralized Receivables and Transfers of Financial Assets” and Note 5, “Notes and Other Receivables, net” for additional information regarding our loan loss reserves.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2019 and December 31, 2018, we had $17.6 million and $16.1 million, respectively, of receivables from contracts with customers. Receivables from contracts with customers are presented as a component of Notes and other receivables on our Consolidated Balance Sheets. These receivables represent balances owed to us for previously completed performance obligations for sales of manufactured homes. Due to the nature of our revenue from contracts with customers, we do not have material contract assets or liabilities that fall under the scope of ASC 606.</w:t>
      </w:r>
    </w:p>
    <w:p>
      <w:pPr>
        <w:spacing w:after="0" w:line="16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2019 we acquired the following communities:</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268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236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Type</w:t>
            </w:r>
          </w:p>
        </w:tc>
        <w:tc>
          <w:tcPr>
            <w:tcW w:w="1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Sites</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State</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River Plantation</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RV</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ind w:left="1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TN</w:t>
            </w:r>
          </w:p>
        </w:tc>
        <w:tc>
          <w:tcPr>
            <w:tcW w:w="1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266"/>
        </w:trPr>
        <w:tc>
          <w:tcPr>
            <w:tcW w:w="2800" w:type="dxa"/>
            <w:vAlign w:val="bottom"/>
            <w:gridSpan w:val="2"/>
          </w:tcPr>
          <w:p>
            <w:pPr>
              <w:ind w:left="20"/>
              <w:spacing w:after="0"/>
              <w:rPr>
                <w:sz w:val="20"/>
                <w:szCs w:val="20"/>
                <w:color w:val="auto"/>
              </w:rPr>
            </w:pPr>
            <w:r>
              <w:rPr>
                <w:rFonts w:ascii="Arial" w:cs="Arial" w:eastAsia="Arial" w:hAnsi="Arial"/>
                <w:sz w:val="15"/>
                <w:szCs w:val="15"/>
                <w:color w:val="auto"/>
              </w:rPr>
              <w:t>Massey’s Landing RV</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RV</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23"/>
                <w:szCs w:val="23"/>
                <w:color w:val="auto"/>
              </w:rPr>
            </w:pPr>
          </w:p>
        </w:tc>
        <w:tc>
          <w:tcPr>
            <w:tcW w:w="1680" w:type="dxa"/>
            <w:vAlign w:val="bottom"/>
          </w:tcPr>
          <w:p>
            <w:pPr>
              <w:ind w:left="1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DE</w:t>
            </w:r>
          </w:p>
        </w:tc>
        <w:tc>
          <w:tcPr>
            <w:tcW w:w="168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4"/>
        </w:trPr>
        <w:tc>
          <w:tcPr>
            <w:tcW w:w="2800" w:type="dxa"/>
            <w:vAlign w:val="bottom"/>
            <w:gridSpan w:val="2"/>
            <w:shd w:val="clear" w:color="auto" w:fill="CCEEFF"/>
          </w:tcPr>
          <w:p>
            <w:pPr>
              <w:ind w:left="20"/>
              <w:spacing w:after="0" w:line="274" w:lineRule="exact"/>
              <w:rPr>
                <w:sz w:val="20"/>
                <w:szCs w:val="20"/>
                <w:color w:val="auto"/>
              </w:rPr>
            </w:pPr>
            <w:r>
              <w:rPr>
                <w:rFonts w:ascii="Arial" w:cs="Arial" w:eastAsia="Arial" w:hAnsi="Arial"/>
                <w:sz w:val="15"/>
                <w:szCs w:val="15"/>
                <w:color w:val="auto"/>
              </w:rPr>
              <w:t>Shelby Properties</w:t>
            </w:r>
            <w:r>
              <w:rPr>
                <w:rFonts w:ascii="Arial" w:cs="Arial" w:eastAsia="Arial" w:hAnsi="Arial"/>
                <w:sz w:val="25"/>
                <w:szCs w:val="25"/>
                <w:color w:val="auto"/>
                <w:vertAlign w:val="superscript"/>
              </w:rPr>
              <w:t>(1)</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1,308</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ind w:left="1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w:t>
            </w:r>
          </w:p>
        </w:tc>
        <w:tc>
          <w:tcPr>
            <w:tcW w:w="1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266"/>
        </w:trPr>
        <w:tc>
          <w:tcPr>
            <w:tcW w:w="2800" w:type="dxa"/>
            <w:vAlign w:val="bottom"/>
            <w:gridSpan w:val="2"/>
          </w:tcPr>
          <w:p>
            <w:pPr>
              <w:ind w:left="20"/>
              <w:spacing w:after="0"/>
              <w:rPr>
                <w:sz w:val="20"/>
                <w:szCs w:val="20"/>
                <w:color w:val="auto"/>
              </w:rPr>
            </w:pPr>
            <w:r>
              <w:rPr>
                <w:rFonts w:ascii="Arial" w:cs="Arial" w:eastAsia="Arial" w:hAnsi="Arial"/>
                <w:sz w:val="15"/>
                <w:szCs w:val="15"/>
                <w:color w:val="auto"/>
              </w:rPr>
              <w:t>Buena Vista</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MH</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23"/>
                <w:szCs w:val="23"/>
                <w:color w:val="auto"/>
              </w:rPr>
            </w:pPr>
          </w:p>
        </w:tc>
        <w:tc>
          <w:tcPr>
            <w:tcW w:w="1680" w:type="dxa"/>
            <w:vAlign w:val="bottom"/>
          </w:tcPr>
          <w:p>
            <w:pPr>
              <w:ind w:left="1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AZ</w:t>
            </w:r>
          </w:p>
        </w:tc>
        <w:tc>
          <w:tcPr>
            <w:tcW w:w="168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4"/>
        </w:trPr>
        <w:tc>
          <w:tcPr>
            <w:tcW w:w="2800" w:type="dxa"/>
            <w:vAlign w:val="bottom"/>
            <w:gridSpan w:val="2"/>
            <w:shd w:val="clear" w:color="auto" w:fill="CCEEFF"/>
          </w:tcPr>
          <w:p>
            <w:pPr>
              <w:ind w:left="20"/>
              <w:spacing w:after="0" w:line="274" w:lineRule="exact"/>
              <w:rPr>
                <w:sz w:val="20"/>
                <w:szCs w:val="20"/>
                <w:color w:val="auto"/>
              </w:rPr>
            </w:pPr>
            <w:r>
              <w:rPr>
                <w:rFonts w:ascii="Arial" w:cs="Arial" w:eastAsia="Arial" w:hAnsi="Arial"/>
                <w:sz w:val="15"/>
                <w:szCs w:val="15"/>
                <w:color w:val="auto"/>
              </w:rPr>
              <w:t xml:space="preserve">Country Village Estates </w:t>
            </w:r>
            <w:r>
              <w:rPr>
                <w:rFonts w:ascii="Arial" w:cs="Arial" w:eastAsia="Arial" w:hAnsi="Arial"/>
                <w:sz w:val="25"/>
                <w:szCs w:val="25"/>
                <w:color w:val="auto"/>
                <w:vertAlign w:val="superscript"/>
              </w:rPr>
              <w:t>(2)</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518</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ind w:left="1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OR</w:t>
            </w:r>
          </w:p>
        </w:tc>
        <w:tc>
          <w:tcPr>
            <w:tcW w:w="1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66"/>
        </w:trPr>
        <w:tc>
          <w:tcPr>
            <w:tcW w:w="2800" w:type="dxa"/>
            <w:vAlign w:val="bottom"/>
            <w:gridSpan w:val="2"/>
          </w:tcPr>
          <w:p>
            <w:pPr>
              <w:ind w:left="20"/>
              <w:spacing w:after="0"/>
              <w:rPr>
                <w:sz w:val="20"/>
                <w:szCs w:val="20"/>
                <w:color w:val="auto"/>
              </w:rPr>
            </w:pPr>
            <w:r>
              <w:rPr>
                <w:rFonts w:ascii="Arial" w:cs="Arial" w:eastAsia="Arial" w:hAnsi="Arial"/>
                <w:sz w:val="15"/>
                <w:szCs w:val="15"/>
                <w:color w:val="auto"/>
              </w:rPr>
              <w:t>Hid’n Pines RV</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RV</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23"/>
                <w:szCs w:val="23"/>
                <w:color w:val="auto"/>
              </w:rPr>
            </w:pPr>
          </w:p>
        </w:tc>
        <w:tc>
          <w:tcPr>
            <w:tcW w:w="1680" w:type="dxa"/>
            <w:vAlign w:val="bottom"/>
          </w:tcPr>
          <w:p>
            <w:pPr>
              <w:ind w:left="1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5"/>
                <w:szCs w:val="15"/>
                <w:color w:val="auto"/>
              </w:rPr>
              <w:t>ME</w:t>
            </w:r>
          </w:p>
        </w:tc>
        <w:tc>
          <w:tcPr>
            <w:tcW w:w="1680" w:type="dxa"/>
            <w:vAlign w:val="bottom"/>
          </w:tcPr>
          <w:p>
            <w:pPr>
              <w:ind w:left="20"/>
              <w:spacing w:after="0"/>
              <w:rPr>
                <w:sz w:val="20"/>
                <w:szCs w:val="20"/>
                <w:color w:val="auto"/>
              </w:rPr>
            </w:pPr>
            <w:r>
              <w:rPr>
                <w:rFonts w:ascii="Arial" w:cs="Arial" w:eastAsia="Arial" w:hAnsi="Arial"/>
                <w:sz w:val="15"/>
                <w:szCs w:val="15"/>
                <w:color w:val="auto"/>
              </w:rPr>
              <w:t>January</w:t>
            </w:r>
          </w:p>
        </w:tc>
      </w:tr>
      <w:tr>
        <w:trPr>
          <w:trHeight w:val="270"/>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Hacienda del Rio</w:t>
            </w:r>
          </w:p>
        </w:tc>
        <w:tc>
          <w:tcPr>
            <w:tcW w:w="2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 (Age-Restricted)</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730</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FL</w:t>
            </w:r>
          </w:p>
        </w:tc>
        <w:tc>
          <w:tcPr>
            <w:tcW w:w="1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46"/>
        </w:trPr>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w:t>
            </w:r>
          </w:p>
        </w:tc>
        <w:tc>
          <w:tcPr>
            <w:tcW w:w="1220" w:type="dxa"/>
            <w:vAlign w:val="bottom"/>
          </w:tcPr>
          <w:p>
            <w:pPr>
              <w:jc w:val="right"/>
              <w:ind w:right="23"/>
              <w:spacing w:after="0"/>
              <w:rPr>
                <w:sz w:val="20"/>
                <w:szCs w:val="20"/>
                <w:color w:val="auto"/>
              </w:rPr>
            </w:pPr>
            <w:r>
              <w:rPr>
                <w:rFonts w:ascii="Arial" w:cs="Arial" w:eastAsia="Arial" w:hAnsi="Arial"/>
                <w:sz w:val="15"/>
                <w:szCs w:val="15"/>
                <w:b w:val="1"/>
                <w:bCs w:val="1"/>
                <w:color w:val="auto"/>
              </w:rPr>
              <w:t>3,877</w:t>
            </w:r>
          </w:p>
        </w:tc>
        <w:tc>
          <w:tcPr>
            <w:tcW w:w="100" w:type="dxa"/>
            <w:vAlign w:val="bottom"/>
          </w:tcPr>
          <w:p>
            <w:pPr>
              <w:spacing w:after="0"/>
              <w:rPr>
                <w:sz w:val="21"/>
                <w:szCs w:val="21"/>
                <w:color w:val="auto"/>
              </w:rPr>
            </w:pPr>
          </w:p>
        </w:tc>
        <w:tc>
          <w:tcPr>
            <w:tcW w:w="1680" w:type="dxa"/>
            <w:vAlign w:val="bottom"/>
          </w:tcPr>
          <w:p>
            <w:pPr>
              <w:ind w:left="1420"/>
              <w:spacing w:after="0"/>
              <w:rPr>
                <w:sz w:val="20"/>
                <w:szCs w:val="20"/>
                <w:color w:val="auto"/>
              </w:rPr>
            </w:pPr>
            <w:r>
              <w:rPr>
                <w:rFonts w:ascii="Arial" w:cs="Arial" w:eastAsia="Arial" w:hAnsi="Arial"/>
                <w:sz w:val="15"/>
                <w:szCs w:val="15"/>
                <w:b w:val="1"/>
                <w:bCs w:val="1"/>
                <w:color w:val="auto"/>
              </w:rPr>
              <w:t>70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-2540</wp:posOffset>
            </wp:positionV>
            <wp:extent cx="1912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Contains two MH communities.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D Preferred Operating Partnership (“OP”) Units. As of June 30, 2019, 488,958 Series D Preferred OP Units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-208915</wp:posOffset>
            </wp:positionV>
            <wp:extent cx="1912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the six months ended June 30, 2019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xml:space="preserve">At Acquisition Date </w:t>
            </w:r>
            <w:r>
              <w:rPr>
                <w:rFonts w:ascii="Arial" w:cs="Arial" w:eastAsia="Arial" w:hAnsi="Arial"/>
                <w:sz w:val="25"/>
                <w:szCs w:val="25"/>
                <w:b w:val="1"/>
                <w:bCs w:val="1"/>
                <w:color w:val="auto"/>
                <w:vertAlign w:val="superscript"/>
              </w:rPr>
              <w:t>(1)</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5"/>
                <w:szCs w:val="15"/>
                <w:b w:val="1"/>
                <w:bCs w:val="1"/>
                <w:color w:val="auto"/>
              </w:rPr>
              <w:t>River</w:t>
            </w: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auto"/>
              </w:rPr>
              <w:t>Massey's</w:t>
            </w:r>
          </w:p>
        </w:tc>
        <w:tc>
          <w:tcPr>
            <w:tcW w:w="12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5"/>
                <w:szCs w:val="15"/>
                <w:b w:val="1"/>
                <w:bCs w:val="1"/>
                <w:color w:val="auto"/>
              </w:rPr>
              <w:t>Shelby</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Country</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5"/>
                <w:szCs w:val="15"/>
                <w:b w:val="1"/>
                <w:bCs w:val="1"/>
                <w:color w:val="auto"/>
              </w:rPr>
              <w:t>Hacienda del</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3"/>
              </w:rPr>
              <w:t>Plantation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9"/>
              </w:rPr>
              <w:t>Landing</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88"/>
              </w:rPr>
              <w:t>Properties</w:t>
            </w: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Buena Vista</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Village</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Hid'n Pines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Rio</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Investment in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22,589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19,780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85,969</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20,221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62,784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10,680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111,971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333,994</w:t>
            </w:r>
          </w:p>
        </w:tc>
        <w:tc>
          <w:tcPr>
            <w:tcW w:w="0" w:type="dxa"/>
            <w:vAlign w:val="bottom"/>
          </w:tcPr>
          <w:p>
            <w:pPr>
              <w:spacing w:after="0"/>
              <w:rPr>
                <w:sz w:val="1"/>
                <w:szCs w:val="1"/>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15"/>
                <w:szCs w:val="15"/>
                <w:color w:val="auto"/>
              </w:rPr>
              <w:t>Inventory of manufactured homes</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2,011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439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2,540</w:t>
            </w:r>
          </w:p>
        </w:tc>
        <w:tc>
          <w:tcPr>
            <w:tcW w:w="0" w:type="dxa"/>
            <w:vAlign w:val="bottom"/>
          </w:tcPr>
          <w:p>
            <w:pPr>
              <w:spacing w:after="0"/>
              <w:rPr>
                <w:sz w:val="1"/>
                <w:szCs w:val="1"/>
                <w:color w:val="auto"/>
              </w:rPr>
            </w:pPr>
          </w:p>
        </w:tc>
      </w:tr>
      <w:tr>
        <w:trPr>
          <w:trHeight w:val="27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In-place leases and other intangible assets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6,520</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1,590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13,700</w:t>
            </w:r>
          </w:p>
        </w:tc>
        <w:tc>
          <w:tcPr>
            <w:tcW w:w="0" w:type="dxa"/>
            <w:vAlign w:val="bottom"/>
          </w:tcPr>
          <w:p>
            <w:pPr>
              <w:spacing w:after="0"/>
              <w:rPr>
                <w:sz w:val="1"/>
                <w:szCs w:val="1"/>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15"/>
                <w:szCs w:val="15"/>
                <w:color w:val="auto"/>
              </w:rPr>
              <w:t>Other assets (liabilities), net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(446)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(1,993)</w:t>
            </w: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tcBorders>
            <w:gridSpan w:val="2"/>
            <w:shd w:val="clear" w:color="auto" w:fill="CCEEFF"/>
          </w:tcPr>
          <w:p>
            <w:pPr>
              <w:ind w:left="280"/>
              <w:spacing w:after="0" w:line="156" w:lineRule="exact"/>
              <w:rPr>
                <w:sz w:val="20"/>
                <w:szCs w:val="20"/>
                <w:color w:val="auto"/>
              </w:rPr>
            </w:pPr>
            <w:r>
              <w:rPr>
                <w:rFonts w:ascii="Arial" w:cs="Arial" w:eastAsia="Arial" w:hAnsi="Arial"/>
                <w:sz w:val="15"/>
                <w:szCs w:val="15"/>
                <w:b w:val="1"/>
                <w:bCs w:val="1"/>
                <w:color w:val="auto"/>
              </w:rPr>
              <w:t>Total identifiable assets acquired net of</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22,664</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19,554</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93,485</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22,157</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64,835</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10,517</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115,029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348,241</w:t>
            </w:r>
          </w:p>
        </w:tc>
        <w:tc>
          <w:tcPr>
            <w:tcW w:w="0" w:type="dxa"/>
            <w:vAlign w:val="bottom"/>
          </w:tcPr>
          <w:p>
            <w:pPr>
              <w:spacing w:after="0"/>
              <w:rPr>
                <w:sz w:val="1"/>
                <w:szCs w:val="1"/>
                <w:color w:val="auto"/>
              </w:rPr>
            </w:pPr>
          </w:p>
        </w:tc>
      </w:tr>
      <w:tr>
        <w:trPr>
          <w:trHeight w:val="193"/>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liabilities assumed</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Consideration</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15"/>
                <w:szCs w:val="15"/>
                <w:color w:val="auto"/>
              </w:rPr>
              <w:t>Cash and escrow</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22,664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19,554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93,485</w:t>
            </w:r>
          </w:p>
        </w:tc>
        <w:tc>
          <w:tcPr>
            <w:tcW w:w="14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22,157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12,905</w:t>
            </w:r>
          </w:p>
        </w:tc>
        <w:tc>
          <w:tcPr>
            <w:tcW w:w="100" w:type="dxa"/>
            <w:vAlign w:val="bottom"/>
          </w:tcPr>
          <w:p>
            <w:pPr>
              <w:spacing w:after="0"/>
              <w:rPr>
                <w:sz w:val="23"/>
                <w:szCs w:val="23"/>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10,517</w:t>
            </w:r>
          </w:p>
        </w:tc>
        <w:tc>
          <w:tcPr>
            <w:tcW w:w="10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115,029</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296,311</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D Preferred OP units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51,930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51,930</w:t>
            </w:r>
          </w:p>
        </w:tc>
        <w:tc>
          <w:tcPr>
            <w:tcW w:w="0" w:type="dxa"/>
            <w:vAlign w:val="bottom"/>
          </w:tcPr>
          <w:p>
            <w:pPr>
              <w:spacing w:after="0"/>
              <w:rPr>
                <w:sz w:val="1"/>
                <w:szCs w:val="1"/>
                <w:color w:val="auto"/>
              </w:rPr>
            </w:pPr>
          </w:p>
        </w:tc>
      </w:tr>
      <w:tr>
        <w:trPr>
          <w:trHeight w:val="246"/>
        </w:trPr>
        <w:tc>
          <w:tcPr>
            <w:tcW w:w="334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 consideration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22,664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19,554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93,485</w:t>
            </w:r>
          </w:p>
        </w:tc>
        <w:tc>
          <w:tcPr>
            <w:tcW w:w="140" w:type="dxa"/>
            <w:vAlign w:val="bottom"/>
          </w:tcPr>
          <w:p>
            <w:pPr>
              <w:spacing w:after="0"/>
              <w:rPr>
                <w:sz w:val="21"/>
                <w:szCs w:val="21"/>
                <w:color w:val="auto"/>
              </w:rPr>
            </w:pP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22,157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64,835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10,517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115,029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348,241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-2540</wp:posOffset>
            </wp:positionV>
            <wp:extent cx="513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purchase price allocations are preliminary and may be adjusted as final valuations are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the Company has incurred $7.1 million of additional capitalized transaction costs which have been allocated among the various categories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June 30, 2019, the Company opened 281 sites at a ground-up development, Carolina Pines RV Resort (“Carolina Pines”) in Conway, South Carolina.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2019, the Company acquired Strafford/Lake Winnipesaukee South KOA RV Resort ("Strafford") in Strafford, New Hampshire for total consideration of $2.7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the Company entered into a four year Temporary Occupancy and Use Permit with the Port of San Diego to operate an RV resort located in Chula Vista, CA until such time as a new RV resort is constructed in the area. Concurrent with the transaction, we purchased tangible personal property from the prior owner of the RV resort for $0.3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“Subsequent Events,” for information regarding real estate acquisition activity after June 30, 2019.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three and six months ended June 30, 2019 related to the acquisitions completed in 2019 are set forth in the following table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jc w:val="right"/>
              <w:ind w:right="503"/>
              <w:spacing w:after="0"/>
              <w:rPr>
                <w:sz w:val="20"/>
                <w:szCs w:val="20"/>
                <w:color w:val="auto"/>
              </w:rPr>
            </w:pPr>
            <w:r>
              <w:rPr>
                <w:rFonts w:ascii="Arial" w:cs="Arial" w:eastAsia="Arial" w:hAnsi="Arial"/>
                <w:sz w:val="15"/>
                <w:szCs w:val="15"/>
                <w:b w:val="1"/>
                <w:bCs w:val="1"/>
                <w:color w:val="auto"/>
              </w:rPr>
              <w:t>Six Months Ended</w:t>
            </w:r>
          </w:p>
        </w:tc>
      </w:tr>
      <w:tr>
        <w:trPr>
          <w:trHeight w:val="274"/>
        </w:trPr>
        <w:tc>
          <w:tcPr>
            <w:tcW w:w="6280" w:type="dxa"/>
            <w:vAlign w:val="bottom"/>
            <w:tcBorders>
              <w:bottom w:val="single" w:sz="8" w:color="D2F0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June 30, 2019</w:t>
            </w:r>
          </w:p>
        </w:tc>
        <w:tc>
          <w:tcPr>
            <w:tcW w:w="48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June 30, 2019</w:t>
            </w:r>
          </w:p>
        </w:tc>
      </w:tr>
      <w:tr>
        <w:trPr>
          <w:trHeight w:val="254"/>
        </w:trPr>
        <w:tc>
          <w:tcPr>
            <w:tcW w:w="6280" w:type="dxa"/>
            <w:vAlign w:val="bottom"/>
            <w:shd w:val="clear" w:color="auto" w:fill="D2F0FF"/>
          </w:tcPr>
          <w:p>
            <w:pPr>
              <w:ind w:left="40"/>
              <w:spacing w:after="0"/>
              <w:rPr>
                <w:sz w:val="20"/>
                <w:szCs w:val="20"/>
                <w:color w:val="auto"/>
              </w:rPr>
            </w:pPr>
            <w:r>
              <w:rPr>
                <w:rFonts w:ascii="Arial" w:cs="Arial" w:eastAsia="Arial" w:hAnsi="Arial"/>
                <w:sz w:val="15"/>
                <w:szCs w:val="15"/>
                <w:color w:val="auto"/>
              </w:rPr>
              <w:t>Total revenues</w:t>
            </w:r>
          </w:p>
        </w:tc>
        <w:tc>
          <w:tcPr>
            <w:tcW w:w="2060" w:type="dxa"/>
            <w:vAlign w:val="bottom"/>
            <w:gridSpan w:val="2"/>
            <w:shd w:val="clear" w:color="auto" w:fill="CCEEFF"/>
          </w:tcPr>
          <w:p>
            <w:pPr>
              <w:jc w:val="right"/>
              <w:ind w:right="17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0"/>
              </w:rPr>
              <w:t>9,163</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2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12,927</w:t>
            </w:r>
          </w:p>
        </w:tc>
      </w:tr>
      <w:tr>
        <w:trPr>
          <w:trHeight w:val="262"/>
        </w:trPr>
        <w:tc>
          <w:tcPr>
            <w:tcW w:w="628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2060" w:type="dxa"/>
            <w:vAlign w:val="bottom"/>
            <w:gridSpan w:val="2"/>
          </w:tcPr>
          <w:p>
            <w:pPr>
              <w:jc w:val="right"/>
              <w:ind w:right="1743"/>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43"/>
              <w:spacing w:after="0"/>
              <w:rPr>
                <w:sz w:val="20"/>
                <w:szCs w:val="20"/>
                <w:color w:val="auto"/>
              </w:rPr>
            </w:pPr>
            <w:r>
              <w:rPr>
                <w:rFonts w:ascii="Arial" w:cs="Arial" w:eastAsia="Arial" w:hAnsi="Arial"/>
                <w:sz w:val="15"/>
                <w:szCs w:val="15"/>
                <w:color w:val="auto"/>
                <w:w w:val="90"/>
              </w:rPr>
              <w:t>3,556</w:t>
            </w:r>
          </w:p>
        </w:tc>
        <w:tc>
          <w:tcPr>
            <w:tcW w:w="220" w:type="dxa"/>
            <w:vAlign w:val="bottom"/>
          </w:tcPr>
          <w:p>
            <w:pPr>
              <w:spacing w:after="0"/>
              <w:rPr>
                <w:sz w:val="22"/>
                <w:szCs w:val="22"/>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2040" w:type="dxa"/>
            <w:vAlign w:val="bottom"/>
          </w:tcPr>
          <w:p>
            <w:pPr>
              <w:jc w:val="right"/>
              <w:ind w:right="23"/>
              <w:spacing w:after="0"/>
              <w:rPr>
                <w:sz w:val="20"/>
                <w:szCs w:val="20"/>
                <w:color w:val="auto"/>
              </w:rPr>
            </w:pPr>
            <w:r>
              <w:rPr>
                <w:rFonts w:ascii="Arial" w:cs="Arial" w:eastAsia="Arial" w:hAnsi="Arial"/>
                <w:sz w:val="15"/>
                <w:szCs w:val="15"/>
                <w:color w:val="auto"/>
              </w:rPr>
              <w:t>4,873</w:t>
            </w:r>
          </w:p>
        </w:tc>
      </w:tr>
    </w:tbl>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unaudited pro forma financial information presents the results of our operations for the three and six months ended June 30, 2019 and 2018, as if the properties acquired in 2019 had been acquired on January 1, 2018. The unaudited pro forma results reflect certain adjustments for items that are not expected to have a continuing impact, such as adjustments for transaction costs incurred, management fees, and purchase accounting.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2018 (in thousands, except per-share data):</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5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5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2018</w:t>
            </w:r>
          </w:p>
        </w:tc>
        <w:tc>
          <w:tcPr>
            <w:tcW w:w="14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080" w:type="dxa"/>
            <w:vAlign w:val="bottom"/>
          </w:tcPr>
          <w:p>
            <w:pPr>
              <w:jc w:val="right"/>
              <w:ind w:right="83"/>
              <w:spacing w:after="0"/>
              <w:rPr>
                <w:sz w:val="20"/>
                <w:szCs w:val="20"/>
                <w:color w:val="auto"/>
              </w:rPr>
            </w:pPr>
            <w:r>
              <w:rPr>
                <w:rFonts w:ascii="Arial" w:cs="Arial" w:eastAsia="Arial" w:hAnsi="Arial"/>
                <w:sz w:val="15"/>
                <w:szCs w:val="15"/>
                <w:b w:val="1"/>
                <w:bCs w:val="1"/>
                <w:color w:val="auto"/>
                <w:w w:val="92"/>
              </w:rPr>
              <w:t>June 30, 2018</w:t>
            </w:r>
          </w:p>
        </w:tc>
      </w:tr>
      <w:tr>
        <w:trPr>
          <w:trHeight w:val="254"/>
        </w:trPr>
        <w:tc>
          <w:tcPr>
            <w:tcW w:w="5940" w:type="dxa"/>
            <w:vAlign w:val="bottom"/>
            <w:tcBorders>
              <w:top w:val="single" w:sz="8" w:color="D2F0FF"/>
            </w:tcBorders>
            <w:shd w:val="clear" w:color="auto" w:fill="D2F0FF"/>
          </w:tcPr>
          <w:p>
            <w:pPr>
              <w:ind w:left="20"/>
              <w:spacing w:after="0"/>
              <w:rPr>
                <w:sz w:val="20"/>
                <w:szCs w:val="20"/>
                <w:color w:val="auto"/>
              </w:rPr>
            </w:pPr>
            <w:r>
              <w:rPr>
                <w:rFonts w:ascii="Arial" w:cs="Arial" w:eastAsia="Arial" w:hAnsi="Arial"/>
                <w:sz w:val="15"/>
                <w:szCs w:val="15"/>
                <w:color w:val="auto"/>
              </w:rPr>
              <w:t>Total revenues</w:t>
            </w:r>
          </w:p>
        </w:tc>
        <w:tc>
          <w:tcPr>
            <w:tcW w:w="14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312,928</w:t>
            </w:r>
          </w:p>
        </w:tc>
        <w:tc>
          <w:tcPr>
            <w:tcW w:w="120" w:type="dxa"/>
            <w:vAlign w:val="bottom"/>
            <w:tcBorders>
              <w:top w:val="single" w:sz="8" w:color="D2F0FF"/>
            </w:tcBorders>
            <w:shd w:val="clear" w:color="auto" w:fill="D2F0FF"/>
          </w:tcPr>
          <w:p>
            <w:pPr>
              <w:spacing w:after="0"/>
              <w:rPr>
                <w:sz w:val="22"/>
                <w:szCs w:val="22"/>
                <w:color w:val="auto"/>
              </w:rPr>
            </w:pPr>
          </w:p>
        </w:tc>
        <w:tc>
          <w:tcPr>
            <w:tcW w:w="14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D2F0FF"/>
          </w:tcPr>
          <w:p>
            <w:pPr>
              <w:jc w:val="right"/>
              <w:ind w:right="63"/>
              <w:spacing w:after="0"/>
              <w:rPr>
                <w:sz w:val="20"/>
                <w:szCs w:val="20"/>
                <w:color w:val="auto"/>
              </w:rPr>
            </w:pPr>
            <w:r>
              <w:rPr>
                <w:rFonts w:ascii="Arial" w:cs="Arial" w:eastAsia="Arial" w:hAnsi="Arial"/>
                <w:sz w:val="15"/>
                <w:szCs w:val="15"/>
                <w:color w:val="auto"/>
              </w:rPr>
              <w:t>278,823</w:t>
            </w:r>
          </w:p>
        </w:tc>
        <w:tc>
          <w:tcPr>
            <w:tcW w:w="220" w:type="dxa"/>
            <w:vAlign w:val="bottom"/>
            <w:tcBorders>
              <w:top w:val="single" w:sz="8" w:color="D2F0FF"/>
            </w:tcBorders>
            <w:shd w:val="clear" w:color="auto" w:fill="D2F0FF"/>
          </w:tcPr>
          <w:p>
            <w:pPr>
              <w:spacing w:after="0"/>
              <w:rPr>
                <w:sz w:val="22"/>
                <w:szCs w:val="22"/>
                <w:color w:val="auto"/>
              </w:rPr>
            </w:pPr>
          </w:p>
        </w:tc>
        <w:tc>
          <w:tcPr>
            <w:tcW w:w="14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602,181</w:t>
            </w:r>
          </w:p>
        </w:tc>
        <w:tc>
          <w:tcPr>
            <w:tcW w:w="120" w:type="dxa"/>
            <w:vAlign w:val="bottom"/>
            <w:tcBorders>
              <w:top w:val="single" w:sz="8" w:color="D2F0FF"/>
            </w:tcBorders>
            <w:shd w:val="clear" w:color="auto" w:fill="D2F0FF"/>
          </w:tcPr>
          <w:p>
            <w:pPr>
              <w:spacing w:after="0"/>
              <w:rPr>
                <w:sz w:val="22"/>
                <w:szCs w:val="22"/>
                <w:color w:val="auto"/>
              </w:rPr>
            </w:pPr>
          </w:p>
        </w:tc>
        <w:tc>
          <w:tcPr>
            <w:tcW w:w="14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542,529</w:t>
            </w:r>
          </w:p>
        </w:tc>
      </w:tr>
      <w:tr>
        <w:trPr>
          <w:trHeight w:val="266"/>
        </w:trPr>
        <w:tc>
          <w:tcPr>
            <w:tcW w:w="5940" w:type="dxa"/>
            <w:vAlign w:val="bottom"/>
          </w:tcPr>
          <w:p>
            <w:pPr>
              <w:ind w:left="2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41,377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23,444</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75,406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54,312</w:t>
            </w:r>
          </w:p>
        </w:tc>
      </w:tr>
      <w:tr>
        <w:trPr>
          <w:trHeight w:val="274"/>
        </w:trPr>
        <w:tc>
          <w:tcPr>
            <w:tcW w:w="5940" w:type="dxa"/>
            <w:vAlign w:val="bottom"/>
            <w:shd w:val="clear" w:color="auto" w:fill="D2F0FF"/>
          </w:tcPr>
          <w:p>
            <w:pPr>
              <w:ind w:left="20"/>
              <w:spacing w:after="0"/>
              <w:rPr>
                <w:sz w:val="20"/>
                <w:szCs w:val="20"/>
                <w:color w:val="auto"/>
              </w:rPr>
            </w:pPr>
            <w:r>
              <w:rPr>
                <w:rFonts w:ascii="Arial" w:cs="Arial" w:eastAsia="Arial" w:hAnsi="Arial"/>
                <w:sz w:val="15"/>
                <w:szCs w:val="15"/>
                <w:color w:val="auto"/>
                <w:w w:val="99"/>
              </w:rPr>
              <w:t>Net income per share attributable to Sun Communities, Inc. common stockholders - basic</w:t>
            </w:r>
          </w:p>
        </w:tc>
        <w:tc>
          <w:tcPr>
            <w:tcW w:w="14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0.47</w:t>
            </w:r>
          </w:p>
        </w:tc>
        <w:tc>
          <w:tcPr>
            <w:tcW w:w="120" w:type="dxa"/>
            <w:vAlign w:val="bottom"/>
            <w:shd w:val="clear" w:color="auto" w:fill="D2F0FF"/>
          </w:tcPr>
          <w:p>
            <w:pPr>
              <w:spacing w:after="0"/>
              <w:rPr>
                <w:sz w:val="23"/>
                <w:szCs w:val="23"/>
                <w:color w:val="auto"/>
              </w:rPr>
            </w:pPr>
          </w:p>
        </w:tc>
        <w:tc>
          <w:tcPr>
            <w:tcW w:w="14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2F0FF"/>
          </w:tcPr>
          <w:p>
            <w:pPr>
              <w:jc w:val="right"/>
              <w:ind w:right="63"/>
              <w:spacing w:after="0"/>
              <w:rPr>
                <w:sz w:val="20"/>
                <w:szCs w:val="20"/>
                <w:color w:val="auto"/>
              </w:rPr>
            </w:pPr>
            <w:r>
              <w:rPr>
                <w:rFonts w:ascii="Arial" w:cs="Arial" w:eastAsia="Arial" w:hAnsi="Arial"/>
                <w:sz w:val="15"/>
                <w:szCs w:val="15"/>
                <w:color w:val="auto"/>
              </w:rPr>
              <w:t>0.29</w:t>
            </w:r>
          </w:p>
        </w:tc>
        <w:tc>
          <w:tcPr>
            <w:tcW w:w="220" w:type="dxa"/>
            <w:vAlign w:val="bottom"/>
            <w:shd w:val="clear" w:color="auto" w:fill="D2F0FF"/>
          </w:tcPr>
          <w:p>
            <w:pPr>
              <w:spacing w:after="0"/>
              <w:rPr>
                <w:sz w:val="23"/>
                <w:szCs w:val="23"/>
                <w:color w:val="auto"/>
              </w:rPr>
            </w:pPr>
          </w:p>
        </w:tc>
        <w:tc>
          <w:tcPr>
            <w:tcW w:w="14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0.87</w:t>
            </w:r>
          </w:p>
        </w:tc>
        <w:tc>
          <w:tcPr>
            <w:tcW w:w="120" w:type="dxa"/>
            <w:vAlign w:val="bottom"/>
            <w:shd w:val="clear" w:color="auto" w:fill="D2F0FF"/>
          </w:tcPr>
          <w:p>
            <w:pPr>
              <w:spacing w:after="0"/>
              <w:rPr>
                <w:sz w:val="23"/>
                <w:szCs w:val="23"/>
                <w:color w:val="auto"/>
              </w:rPr>
            </w:pPr>
          </w:p>
        </w:tc>
        <w:tc>
          <w:tcPr>
            <w:tcW w:w="14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0.69</w:t>
            </w:r>
          </w:p>
        </w:tc>
      </w:tr>
      <w:tr>
        <w:trPr>
          <w:trHeight w:val="262"/>
        </w:trPr>
        <w:tc>
          <w:tcPr>
            <w:tcW w:w="5940" w:type="dxa"/>
            <w:vAlign w:val="bottom"/>
          </w:tcPr>
          <w:p>
            <w:pPr>
              <w:ind w:left="20"/>
              <w:spacing w:after="0"/>
              <w:rPr>
                <w:sz w:val="20"/>
                <w:szCs w:val="20"/>
                <w:color w:val="auto"/>
              </w:rPr>
            </w:pPr>
            <w:r>
              <w:rPr>
                <w:rFonts w:ascii="Arial" w:cs="Arial" w:eastAsia="Arial" w:hAnsi="Arial"/>
                <w:sz w:val="15"/>
                <w:szCs w:val="15"/>
                <w:color w:val="auto"/>
                <w:w w:val="98"/>
              </w:rPr>
              <w:t>Net income per share attributable to Sun Communities, Inc. common stockholders -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0.29</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0.87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0.68</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2018 we acquired the following communities: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0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Sites</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Development Sites</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Leaf Verde RV Resort</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AZ</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October</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Archview</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UT</w:t>
            </w:r>
          </w:p>
        </w:tc>
        <w:tc>
          <w:tcPr>
            <w:tcW w:w="1600" w:type="dxa"/>
            <w:vAlign w:val="bottom"/>
          </w:tcPr>
          <w:p>
            <w:pPr>
              <w:ind w:left="40"/>
              <w:spacing w:after="0"/>
              <w:rPr>
                <w:sz w:val="20"/>
                <w:szCs w:val="20"/>
                <w:color w:val="auto"/>
              </w:rPr>
            </w:pPr>
            <w:r>
              <w:rPr>
                <w:rFonts w:ascii="Arial" w:cs="Arial" w:eastAsia="Arial" w:hAnsi="Arial"/>
                <w:sz w:val="15"/>
                <w:szCs w:val="15"/>
                <w:color w:val="auto"/>
              </w:rPr>
              <w:t>August</w:t>
            </w:r>
          </w:p>
        </w:tc>
      </w:tr>
      <w:tr>
        <w:trPr>
          <w:trHeight w:val="27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Petoskey KOA</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August</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The Sands RV and Golf Resort</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 (Age Restricted)</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600" w:type="dxa"/>
            <w:vAlign w:val="bottom"/>
          </w:tcPr>
          <w:p>
            <w:pPr>
              <w:ind w:left="40"/>
              <w:spacing w:after="0"/>
              <w:rPr>
                <w:sz w:val="20"/>
                <w:szCs w:val="20"/>
                <w:color w:val="auto"/>
              </w:rPr>
            </w:pPr>
            <w:r>
              <w:rPr>
                <w:rFonts w:ascii="Arial" w:cs="Arial" w:eastAsia="Arial" w:hAnsi="Arial"/>
                <w:sz w:val="15"/>
                <w:szCs w:val="15"/>
                <w:color w:val="auto"/>
              </w:rPr>
              <w:t>July</w:t>
            </w:r>
          </w:p>
        </w:tc>
      </w:tr>
      <w:tr>
        <w:trPr>
          <w:trHeight w:val="274"/>
        </w:trPr>
        <w:tc>
          <w:tcPr>
            <w:tcW w:w="322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Sun NG RV Resorts LLC </w:t>
            </w:r>
            <w:r>
              <w:rPr>
                <w:rFonts w:ascii="Arial" w:cs="Arial" w:eastAsia="Arial" w:hAnsi="Arial"/>
                <w:sz w:val="25"/>
                <w:szCs w:val="25"/>
                <w:color w:val="auto"/>
                <w:vertAlign w:val="superscript"/>
              </w:rPr>
              <w:t>(1)(2)</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2,700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940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Various</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June</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Silver Creek</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600" w:type="dxa"/>
            <w:vAlign w:val="bottom"/>
          </w:tcPr>
          <w:p>
            <w:pPr>
              <w:ind w:left="40"/>
              <w:spacing w:after="0"/>
              <w:rPr>
                <w:sz w:val="20"/>
                <w:szCs w:val="20"/>
                <w:color w:val="auto"/>
              </w:rPr>
            </w:pPr>
            <w:r>
              <w:rPr>
                <w:rFonts w:ascii="Arial" w:cs="Arial" w:eastAsia="Arial" w:hAnsi="Arial"/>
                <w:sz w:val="15"/>
                <w:szCs w:val="15"/>
                <w:color w:val="auto"/>
              </w:rPr>
              <w:t>June</w:t>
            </w:r>
          </w:p>
        </w:tc>
      </w:tr>
      <w:tr>
        <w:trPr>
          <w:trHeight w:val="274"/>
        </w:trPr>
        <w:tc>
          <w:tcPr>
            <w:tcW w:w="322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Highway West </w:t>
            </w:r>
            <w:r>
              <w:rPr>
                <w:rFonts w:ascii="Arial" w:cs="Arial" w:eastAsia="Arial" w:hAnsi="Arial"/>
                <w:sz w:val="25"/>
                <w:szCs w:val="25"/>
                <w:color w:val="auto"/>
                <w:vertAlign w:val="superscript"/>
              </w:rPr>
              <w:t>(1)</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UT &amp; OR</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June</w:t>
            </w:r>
          </w:p>
        </w:tc>
      </w:tr>
      <w:tr>
        <w:trPr>
          <w:trHeight w:val="266"/>
        </w:trPr>
        <w:tc>
          <w:tcPr>
            <w:tcW w:w="32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Compass RV</w:t>
            </w: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175</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FL</w:t>
            </w:r>
          </w:p>
        </w:tc>
        <w:tc>
          <w:tcPr>
            <w:tcW w:w="16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May</w:t>
            </w:r>
          </w:p>
        </w:tc>
      </w:tr>
      <w:tr>
        <w:trPr>
          <w:trHeight w:val="241"/>
        </w:trPr>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4,882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1,166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Highway West and Sun NG RV Resorts LLC are comprised of 4 RV and 10 RV resorts, respectively.</w:t>
      </w:r>
    </w:p>
    <w:p>
      <w:pPr>
        <w:spacing w:after="0" w:line="13" w:lineRule="exact"/>
        <w:rPr>
          <w:rFonts w:ascii="Arial" w:cs="Arial" w:eastAsia="Arial" w:hAnsi="Arial"/>
          <w:sz w:val="9"/>
          <w:szCs w:val="9"/>
          <w:color w:val="auto"/>
        </w:rPr>
      </w:pPr>
    </w:p>
    <w:p>
      <w:pPr>
        <w:ind w:right="20" w:firstLine="8"/>
        <w:spacing w:after="0" w:line="255" w:lineRule="auto"/>
        <w:tabs>
          <w:tab w:leader="none" w:pos="141" w:val="left"/>
        </w:tabs>
        <w:numPr>
          <w:ilvl w:val="0"/>
          <w:numId w:val="7"/>
        </w:numPr>
        <w:rPr>
          <w:rFonts w:ascii="Arial" w:cs="Arial" w:eastAsia="Arial" w:hAnsi="Arial"/>
          <w:sz w:val="9"/>
          <w:szCs w:val="9"/>
          <w:color w:val="auto"/>
        </w:rPr>
      </w:pPr>
      <w:r>
        <w:rPr>
          <w:rFonts w:ascii="Arial" w:cs="Arial" w:eastAsia="Arial" w:hAnsi="Arial"/>
          <w:sz w:val="14"/>
          <w:szCs w:val="14"/>
          <w:color w:val="auto"/>
        </w:rPr>
        <w:t>Refer to Note 8, “Consolidated Variable Interest Entities,” Note 9, “Debt and Lines of Credit,” and Note 10, “Equity and Temporary Equity” in our accompanying Consolidated Financial Statements for additional information.</w:t>
      </w: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2018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5"/>
                <w:szCs w:val="15"/>
                <w:b w:val="1"/>
                <w:bCs w:val="1"/>
                <w:color w:val="auto"/>
              </w:rPr>
              <w:t>Petoskey</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Sun NG</w:t>
            </w: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5"/>
                <w:szCs w:val="15"/>
                <w:b w:val="1"/>
                <w:bCs w:val="1"/>
                <w:color w:val="auto"/>
              </w:rPr>
              <w:t>Silver</w:t>
            </w:r>
          </w:p>
        </w:tc>
        <w:tc>
          <w:tcPr>
            <w:tcW w:w="880" w:type="dxa"/>
            <w:vAlign w:val="bottom"/>
            <w:gridSpan w:val="3"/>
          </w:tcPr>
          <w:p>
            <w:pPr>
              <w:ind w:left="100"/>
              <w:spacing w:after="0"/>
              <w:rPr>
                <w:sz w:val="20"/>
                <w:szCs w:val="20"/>
                <w:color w:val="auto"/>
              </w:rPr>
            </w:pPr>
            <w:r>
              <w:rPr>
                <w:rFonts w:ascii="Arial" w:cs="Arial" w:eastAsia="Arial" w:hAnsi="Arial"/>
                <w:sz w:val="15"/>
                <w:szCs w:val="15"/>
                <w:b w:val="1"/>
                <w:bCs w:val="1"/>
                <w:color w:val="auto"/>
              </w:rPr>
              <w:t>Highway</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At Acquisition Date</w:t>
            </w:r>
          </w:p>
        </w:tc>
        <w:tc>
          <w:tcPr>
            <w:tcW w:w="140" w:type="dxa"/>
            <w:vAlign w:val="bottom"/>
            <w:tcBorders>
              <w:bottom w:val="single" w:sz="8" w:color="D2F0FF"/>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Leaf Verde</w:t>
            </w:r>
          </w:p>
        </w:tc>
        <w:tc>
          <w:tcPr>
            <w:tcW w:w="120" w:type="dxa"/>
            <w:vAlign w:val="bottom"/>
            <w:tcBorders>
              <w:bottom w:val="single" w:sz="8" w:color="D2F0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Archview</w:t>
            </w:r>
          </w:p>
        </w:tc>
        <w:tc>
          <w:tcPr>
            <w:tcW w:w="120" w:type="dxa"/>
            <w:vAlign w:val="bottom"/>
            <w:tcBorders>
              <w:bottom w:val="single" w:sz="8" w:color="D2F0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KOA</w:t>
            </w:r>
          </w:p>
        </w:tc>
        <w:tc>
          <w:tcPr>
            <w:tcW w:w="120" w:type="dxa"/>
            <w:vAlign w:val="bottom"/>
            <w:tcBorders>
              <w:bottom w:val="single" w:sz="8" w:color="D2F0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3"/>
              </w:rPr>
              <w:t>Sands</w:t>
            </w:r>
          </w:p>
        </w:tc>
        <w:tc>
          <w:tcPr>
            <w:tcW w:w="100" w:type="dxa"/>
            <w:vAlign w:val="bottom"/>
            <w:tcBorders>
              <w:bottom w:val="single" w:sz="8" w:color="D2F0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3"/>
              </w:rPr>
              <w:t>Resorts</w:t>
            </w:r>
          </w:p>
        </w:tc>
        <w:tc>
          <w:tcPr>
            <w:tcW w:w="100" w:type="dxa"/>
            <w:vAlign w:val="bottom"/>
            <w:tcBorders>
              <w:bottom w:val="single" w:sz="8" w:color="D2F0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Creek</w:t>
            </w:r>
          </w:p>
        </w:tc>
        <w:tc>
          <w:tcPr>
            <w:tcW w:w="120" w:type="dxa"/>
            <w:vAlign w:val="bottom"/>
            <w:tcBorders>
              <w:bottom w:val="single" w:sz="8" w:color="D2F0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West</w:t>
            </w:r>
          </w:p>
        </w:tc>
        <w:tc>
          <w:tcPr>
            <w:tcW w:w="100" w:type="dxa"/>
            <w:vAlign w:val="bottom"/>
            <w:tcBorders>
              <w:bottom w:val="single" w:sz="8" w:color="D2F0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8"/>
              </w:rPr>
              <w:t>Compass</w:t>
            </w:r>
          </w:p>
        </w:tc>
        <w:tc>
          <w:tcPr>
            <w:tcW w:w="100" w:type="dxa"/>
            <w:vAlign w:val="bottom"/>
            <w:tcBorders>
              <w:bottom w:val="single" w:sz="8" w:color="D2F0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54"/>
        </w:trPr>
        <w:tc>
          <w:tcPr>
            <w:tcW w:w="2880" w:type="dxa"/>
            <w:vAlign w:val="bottom"/>
            <w:gridSpan w:val="2"/>
            <w:shd w:val="clear" w:color="auto" w:fill="D2F0FF"/>
          </w:tcPr>
          <w:p>
            <w:pPr>
              <w:ind w:left="40"/>
              <w:spacing w:after="0"/>
              <w:rPr>
                <w:sz w:val="20"/>
                <w:szCs w:val="20"/>
                <w:color w:val="auto"/>
              </w:rPr>
            </w:pPr>
            <w:r>
              <w:rPr>
                <w:rFonts w:ascii="Arial" w:cs="Arial" w:eastAsia="Arial" w:hAnsi="Arial"/>
                <w:sz w:val="15"/>
                <w:szCs w:val="15"/>
                <w:color w:val="auto"/>
              </w:rPr>
              <w:t>Investment in property</w:t>
            </w:r>
          </w:p>
        </w:tc>
        <w:tc>
          <w:tcPr>
            <w:tcW w:w="180" w:type="dxa"/>
            <w:vAlign w:val="bottom"/>
            <w:shd w:val="clear" w:color="auto" w:fill="D2F0FF"/>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11,587</w:t>
            </w:r>
          </w:p>
        </w:tc>
        <w:tc>
          <w:tcPr>
            <w:tcW w:w="120" w:type="dxa"/>
            <w:vAlign w:val="bottom"/>
            <w:shd w:val="clear" w:color="auto" w:fill="D2F0FF"/>
          </w:tcPr>
          <w:p>
            <w:pPr>
              <w:spacing w:after="0"/>
              <w:rPr>
                <w:sz w:val="22"/>
                <w:szCs w:val="22"/>
                <w:color w:val="auto"/>
              </w:rPr>
            </w:pPr>
          </w:p>
        </w:tc>
        <w:tc>
          <w:tcPr>
            <w:tcW w:w="12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14,550</w:t>
            </w:r>
          </w:p>
        </w:tc>
        <w:tc>
          <w:tcPr>
            <w:tcW w:w="120" w:type="dxa"/>
            <w:vAlign w:val="bottom"/>
            <w:shd w:val="clear" w:color="auto" w:fill="D2F0FF"/>
          </w:tcPr>
          <w:p>
            <w:pPr>
              <w:spacing w:after="0"/>
              <w:rPr>
                <w:sz w:val="22"/>
                <w:szCs w:val="22"/>
                <w:color w:val="auto"/>
              </w:rPr>
            </w:pPr>
          </w:p>
        </w:tc>
        <w:tc>
          <w:tcPr>
            <w:tcW w:w="12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8,730</w:t>
            </w:r>
          </w:p>
        </w:tc>
        <w:tc>
          <w:tcPr>
            <w:tcW w:w="120" w:type="dxa"/>
            <w:vAlign w:val="bottom"/>
            <w:shd w:val="clear" w:color="auto" w:fill="D2F0FF"/>
          </w:tcPr>
          <w:p>
            <w:pPr>
              <w:spacing w:after="0"/>
              <w:rPr>
                <w:sz w:val="22"/>
                <w:szCs w:val="22"/>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13,790</w:t>
            </w:r>
          </w:p>
        </w:tc>
        <w:tc>
          <w:tcPr>
            <w:tcW w:w="100" w:type="dxa"/>
            <w:vAlign w:val="bottom"/>
            <w:shd w:val="clear" w:color="auto" w:fill="D2F0FF"/>
          </w:tcPr>
          <w:p>
            <w:pPr>
              <w:spacing w:after="0"/>
              <w:rPr>
                <w:sz w:val="22"/>
                <w:szCs w:val="22"/>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240,649</w:t>
            </w:r>
          </w:p>
        </w:tc>
        <w:tc>
          <w:tcPr>
            <w:tcW w:w="100" w:type="dxa"/>
            <w:vAlign w:val="bottom"/>
            <w:shd w:val="clear" w:color="auto" w:fill="D2F0FF"/>
          </w:tcPr>
          <w:p>
            <w:pPr>
              <w:spacing w:after="0"/>
              <w:rPr>
                <w:sz w:val="22"/>
                <w:szCs w:val="22"/>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7,250</w:t>
            </w:r>
          </w:p>
        </w:tc>
        <w:tc>
          <w:tcPr>
            <w:tcW w:w="120" w:type="dxa"/>
            <w:vAlign w:val="bottom"/>
            <w:shd w:val="clear" w:color="auto" w:fill="D2F0FF"/>
          </w:tcPr>
          <w:p>
            <w:pPr>
              <w:spacing w:after="0"/>
              <w:rPr>
                <w:sz w:val="22"/>
                <w:szCs w:val="22"/>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36,500</w:t>
            </w:r>
          </w:p>
        </w:tc>
        <w:tc>
          <w:tcPr>
            <w:tcW w:w="100" w:type="dxa"/>
            <w:vAlign w:val="bottom"/>
            <w:shd w:val="clear" w:color="auto" w:fill="D2F0FF"/>
          </w:tcPr>
          <w:p>
            <w:pPr>
              <w:spacing w:after="0"/>
              <w:rPr>
                <w:sz w:val="22"/>
                <w:szCs w:val="22"/>
                <w:color w:val="auto"/>
              </w:rPr>
            </w:pPr>
          </w:p>
        </w:tc>
        <w:tc>
          <w:tcPr>
            <w:tcW w:w="14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13,930</w:t>
            </w:r>
          </w:p>
        </w:tc>
        <w:tc>
          <w:tcPr>
            <w:tcW w:w="100" w:type="dxa"/>
            <w:vAlign w:val="bottom"/>
            <w:shd w:val="clear" w:color="auto" w:fill="D2F0FF"/>
          </w:tcPr>
          <w:p>
            <w:pPr>
              <w:spacing w:after="0"/>
              <w:rPr>
                <w:sz w:val="22"/>
                <w:szCs w:val="22"/>
                <w:color w:val="auto"/>
              </w:rPr>
            </w:pPr>
          </w:p>
        </w:tc>
        <w:tc>
          <w:tcPr>
            <w:tcW w:w="200" w:type="dxa"/>
            <w:vAlign w:val="bottom"/>
            <w:shd w:val="clear" w:color="auto" w:fill="D2F0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346,986</w:t>
            </w:r>
          </w:p>
        </w:tc>
        <w:tc>
          <w:tcPr>
            <w:tcW w:w="0" w:type="dxa"/>
            <w:vAlign w:val="bottom"/>
          </w:tcPr>
          <w:p>
            <w:pPr>
              <w:spacing w:after="0"/>
              <w:rPr>
                <w:sz w:val="1"/>
                <w:szCs w:val="1"/>
                <w:color w:val="auto"/>
              </w:rPr>
            </w:pPr>
          </w:p>
        </w:tc>
      </w:tr>
      <w:tr>
        <w:trPr>
          <w:trHeight w:val="266"/>
        </w:trPr>
        <w:tc>
          <w:tcPr>
            <w:tcW w:w="2880" w:type="dxa"/>
            <w:vAlign w:val="bottom"/>
            <w:gridSpan w:val="2"/>
          </w:tcPr>
          <w:p>
            <w:pPr>
              <w:ind w:left="40"/>
              <w:spacing w:after="0"/>
              <w:rPr>
                <w:sz w:val="20"/>
                <w:szCs w:val="20"/>
                <w:color w:val="auto"/>
              </w:rPr>
            </w:pPr>
            <w:r>
              <w:rPr>
                <w:rFonts w:ascii="Arial" w:cs="Arial" w:eastAsia="Arial" w:hAnsi="Arial"/>
                <w:sz w:val="15"/>
                <w:szCs w:val="15"/>
                <w:color w:val="auto"/>
                <w:w w:val="99"/>
              </w:rPr>
              <w:t>In-place leases and other intangible assets</w:t>
            </w:r>
          </w:p>
        </w:tc>
        <w:tc>
          <w:tcPr>
            <w:tcW w:w="180" w:type="dxa"/>
            <w:vAlign w:val="bottom"/>
          </w:tcPr>
          <w:p>
            <w:pPr>
              <w:spacing w:after="0"/>
              <w:rPr>
                <w:sz w:val="23"/>
                <w:szCs w:val="23"/>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460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16,339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17,199</w:t>
            </w:r>
          </w:p>
        </w:tc>
        <w:tc>
          <w:tcPr>
            <w:tcW w:w="0" w:type="dxa"/>
            <w:vAlign w:val="bottom"/>
          </w:tcPr>
          <w:p>
            <w:pPr>
              <w:spacing w:after="0"/>
              <w:rPr>
                <w:sz w:val="1"/>
                <w:szCs w:val="1"/>
                <w:color w:val="auto"/>
              </w:rPr>
            </w:pPr>
          </w:p>
        </w:tc>
      </w:tr>
      <w:tr>
        <w:trPr>
          <w:trHeight w:val="274"/>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Debt assumed</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(3,120)</w:t>
            </w:r>
          </w:p>
        </w:tc>
        <w:tc>
          <w:tcPr>
            <w:tcW w:w="0" w:type="dxa"/>
            <w:vAlign w:val="bottom"/>
          </w:tcPr>
          <w:p>
            <w:pPr>
              <w:spacing w:after="0"/>
              <w:rPr>
                <w:sz w:val="1"/>
                <w:szCs w:val="1"/>
                <w:color w:val="auto"/>
              </w:rPr>
            </w:pPr>
          </w:p>
        </w:tc>
      </w:tr>
      <w:tr>
        <w:trPr>
          <w:trHeight w:val="266"/>
        </w:trPr>
        <w:tc>
          <w:tcPr>
            <w:tcW w:w="2880" w:type="dxa"/>
            <w:vAlign w:val="bottom"/>
            <w:gridSpan w:val="2"/>
          </w:tcPr>
          <w:p>
            <w:pPr>
              <w:ind w:left="40"/>
              <w:spacing w:after="0"/>
              <w:rPr>
                <w:sz w:val="20"/>
                <w:szCs w:val="20"/>
                <w:color w:val="auto"/>
              </w:rPr>
            </w:pPr>
            <w:r>
              <w:rPr>
                <w:rFonts w:ascii="Arial" w:cs="Arial" w:eastAsia="Arial" w:hAnsi="Arial"/>
                <w:sz w:val="15"/>
                <w:szCs w:val="15"/>
                <w:color w:val="auto"/>
              </w:rPr>
              <w:t>Other liabilities, net</w:t>
            </w: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(11,990)</w:t>
            </w:r>
          </w:p>
        </w:tc>
        <w:tc>
          <w:tcPr>
            <w:tcW w:w="0" w:type="dxa"/>
            <w:vAlign w:val="bottom"/>
          </w:tcPr>
          <w:p>
            <w:pPr>
              <w:spacing w:after="0"/>
              <w:rPr>
                <w:sz w:val="1"/>
                <w:szCs w:val="1"/>
                <w:color w:val="auto"/>
              </w:rPr>
            </w:pPr>
          </w:p>
        </w:tc>
      </w:tr>
      <w:tr>
        <w:trPr>
          <w:trHeight w:val="156"/>
        </w:trPr>
        <w:tc>
          <w:tcPr>
            <w:tcW w:w="2880" w:type="dxa"/>
            <w:vAlign w:val="bottom"/>
            <w:tcBorders>
              <w:top w:val="single" w:sz="8" w:color="D2F0FF"/>
            </w:tcBorders>
            <w:gridSpan w:val="2"/>
            <w:shd w:val="clear" w:color="auto" w:fill="D2F0FF"/>
          </w:tcPr>
          <w:p>
            <w:pPr>
              <w:ind w:left="280"/>
              <w:spacing w:after="0" w:line="156" w:lineRule="exact"/>
              <w:rPr>
                <w:sz w:val="20"/>
                <w:szCs w:val="20"/>
                <w:color w:val="auto"/>
              </w:rPr>
            </w:pPr>
            <w:r>
              <w:rPr>
                <w:rFonts w:ascii="Arial" w:cs="Arial" w:eastAsia="Arial" w:hAnsi="Arial"/>
                <w:sz w:val="15"/>
                <w:szCs w:val="15"/>
                <w:b w:val="1"/>
                <w:bCs w:val="1"/>
                <w:color w:val="auto"/>
                <w:w w:val="97"/>
              </w:rPr>
              <w:t>Total identifiable assets acquired net</w:t>
            </w:r>
          </w:p>
        </w:tc>
        <w:tc>
          <w:tcPr>
            <w:tcW w:w="180" w:type="dxa"/>
            <w:vAlign w:val="bottom"/>
            <w:tcBorders>
              <w:top w:val="single" w:sz="8" w:color="auto"/>
            </w:tcBorders>
            <w:vMerge w:val="restart"/>
            <w:shd w:val="clear" w:color="auto" w:fill="D2F0FF"/>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shd w:val="clear" w:color="auto" w:fill="D2F0FF"/>
          </w:tcPr>
          <w:p>
            <w:pPr>
              <w:jc w:val="right"/>
              <w:ind w:right="43"/>
              <w:spacing w:after="0"/>
              <w:rPr>
                <w:sz w:val="20"/>
                <w:szCs w:val="20"/>
                <w:color w:val="auto"/>
              </w:rPr>
            </w:pPr>
            <w:r>
              <w:rPr>
                <w:rFonts w:ascii="Arial" w:cs="Arial" w:eastAsia="Arial" w:hAnsi="Arial"/>
                <w:sz w:val="15"/>
                <w:szCs w:val="15"/>
                <w:color w:val="auto"/>
              </w:rPr>
              <w:t>11,647</w:t>
            </w:r>
          </w:p>
        </w:tc>
        <w:tc>
          <w:tcPr>
            <w:tcW w:w="120" w:type="dxa"/>
            <w:vAlign w:val="bottom"/>
            <w:tcBorders>
              <w:top w:val="single" w:sz="8" w:color="D2F0FF"/>
            </w:tcBorders>
            <w:shd w:val="clear" w:color="auto" w:fill="D2F0FF"/>
          </w:tcPr>
          <w:p>
            <w:pPr>
              <w:spacing w:after="0"/>
              <w:rPr>
                <w:sz w:val="13"/>
                <w:szCs w:val="13"/>
                <w:color w:val="auto"/>
              </w:rPr>
            </w:pPr>
          </w:p>
        </w:tc>
        <w:tc>
          <w:tcPr>
            <w:tcW w:w="120" w:type="dxa"/>
            <w:vAlign w:val="bottom"/>
            <w:tcBorders>
              <w:top w:val="single" w:sz="8" w:color="auto"/>
            </w:tcBorders>
            <w:vMerge w:val="restart"/>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vMerge w:val="restart"/>
            <w:shd w:val="clear" w:color="auto" w:fill="D2F0FF"/>
          </w:tcPr>
          <w:p>
            <w:pPr>
              <w:jc w:val="right"/>
              <w:ind w:right="43"/>
              <w:spacing w:after="0"/>
              <w:rPr>
                <w:sz w:val="20"/>
                <w:szCs w:val="20"/>
                <w:color w:val="auto"/>
              </w:rPr>
            </w:pPr>
            <w:r>
              <w:rPr>
                <w:rFonts w:ascii="Arial" w:cs="Arial" w:eastAsia="Arial" w:hAnsi="Arial"/>
                <w:sz w:val="15"/>
                <w:szCs w:val="15"/>
                <w:color w:val="auto"/>
              </w:rPr>
              <w:t>14,550</w:t>
            </w:r>
          </w:p>
        </w:tc>
        <w:tc>
          <w:tcPr>
            <w:tcW w:w="120" w:type="dxa"/>
            <w:vAlign w:val="bottom"/>
            <w:tcBorders>
              <w:top w:val="single" w:sz="8" w:color="D2F0FF"/>
            </w:tcBorders>
            <w:shd w:val="clear" w:color="auto" w:fill="D2F0FF"/>
          </w:tcPr>
          <w:p>
            <w:pPr>
              <w:spacing w:after="0"/>
              <w:rPr>
                <w:sz w:val="13"/>
                <w:szCs w:val="13"/>
                <w:color w:val="auto"/>
              </w:rPr>
            </w:pPr>
          </w:p>
        </w:tc>
        <w:tc>
          <w:tcPr>
            <w:tcW w:w="120" w:type="dxa"/>
            <w:vAlign w:val="bottom"/>
            <w:tcBorders>
              <w:top w:val="single" w:sz="8" w:color="auto"/>
            </w:tcBorders>
            <w:vMerge w:val="restart"/>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vMerge w:val="restart"/>
            <w:shd w:val="clear" w:color="auto" w:fill="D2F0FF"/>
          </w:tcPr>
          <w:p>
            <w:pPr>
              <w:jc w:val="right"/>
              <w:ind w:right="43"/>
              <w:spacing w:after="0"/>
              <w:rPr>
                <w:sz w:val="20"/>
                <w:szCs w:val="20"/>
                <w:color w:val="auto"/>
              </w:rPr>
            </w:pPr>
            <w:r>
              <w:rPr>
                <w:rFonts w:ascii="Arial" w:cs="Arial" w:eastAsia="Arial" w:hAnsi="Arial"/>
                <w:sz w:val="15"/>
                <w:szCs w:val="15"/>
                <w:color w:val="auto"/>
              </w:rPr>
              <w:t>9,000</w:t>
            </w:r>
          </w:p>
        </w:tc>
        <w:tc>
          <w:tcPr>
            <w:tcW w:w="120" w:type="dxa"/>
            <w:vAlign w:val="bottom"/>
            <w:tcBorders>
              <w:top w:val="single" w:sz="8" w:color="D2F0FF"/>
            </w:tcBorders>
            <w:shd w:val="clear" w:color="auto" w:fill="D2F0FF"/>
          </w:tcPr>
          <w:p>
            <w:pPr>
              <w:spacing w:after="0"/>
              <w:rPr>
                <w:sz w:val="13"/>
                <w:szCs w:val="13"/>
                <w:color w:val="auto"/>
              </w:rPr>
            </w:pPr>
          </w:p>
        </w:tc>
        <w:tc>
          <w:tcPr>
            <w:tcW w:w="160" w:type="dxa"/>
            <w:vAlign w:val="bottom"/>
            <w:tcBorders>
              <w:top w:val="single" w:sz="8" w:color="auto"/>
            </w:tcBorders>
            <w:vMerge w:val="restart"/>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D2F0FF"/>
          </w:tcPr>
          <w:p>
            <w:pPr>
              <w:jc w:val="right"/>
              <w:ind w:right="43"/>
              <w:spacing w:after="0"/>
              <w:rPr>
                <w:sz w:val="20"/>
                <w:szCs w:val="20"/>
                <w:color w:val="auto"/>
              </w:rPr>
            </w:pPr>
            <w:r>
              <w:rPr>
                <w:rFonts w:ascii="Arial" w:cs="Arial" w:eastAsia="Arial" w:hAnsi="Arial"/>
                <w:sz w:val="15"/>
                <w:szCs w:val="15"/>
                <w:color w:val="auto"/>
              </w:rPr>
              <w:t>14,250</w:t>
            </w:r>
          </w:p>
        </w:tc>
        <w:tc>
          <w:tcPr>
            <w:tcW w:w="100" w:type="dxa"/>
            <w:vAlign w:val="bottom"/>
            <w:tcBorders>
              <w:top w:val="single" w:sz="8" w:color="D2F0FF"/>
            </w:tcBorders>
            <w:shd w:val="clear" w:color="auto" w:fill="D2F0FF"/>
          </w:tcPr>
          <w:p>
            <w:pPr>
              <w:spacing w:after="0"/>
              <w:rPr>
                <w:sz w:val="13"/>
                <w:szCs w:val="13"/>
                <w:color w:val="auto"/>
              </w:rPr>
            </w:pPr>
          </w:p>
        </w:tc>
        <w:tc>
          <w:tcPr>
            <w:tcW w:w="160" w:type="dxa"/>
            <w:vAlign w:val="bottom"/>
            <w:tcBorders>
              <w:top w:val="single" w:sz="8" w:color="auto"/>
            </w:tcBorders>
            <w:vMerge w:val="restart"/>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vMerge w:val="restart"/>
            <w:shd w:val="clear" w:color="auto" w:fill="D2F0FF"/>
          </w:tcPr>
          <w:p>
            <w:pPr>
              <w:jc w:val="right"/>
              <w:ind w:right="23"/>
              <w:spacing w:after="0"/>
              <w:rPr>
                <w:sz w:val="20"/>
                <w:szCs w:val="20"/>
                <w:color w:val="auto"/>
              </w:rPr>
            </w:pPr>
            <w:r>
              <w:rPr>
                <w:rFonts w:ascii="Arial" w:cs="Arial" w:eastAsia="Arial" w:hAnsi="Arial"/>
                <w:sz w:val="15"/>
                <w:szCs w:val="15"/>
                <w:color w:val="auto"/>
              </w:rPr>
              <w:t>241,878</w:t>
            </w:r>
          </w:p>
        </w:tc>
        <w:tc>
          <w:tcPr>
            <w:tcW w:w="100" w:type="dxa"/>
            <w:vAlign w:val="bottom"/>
            <w:tcBorders>
              <w:top w:val="single" w:sz="8" w:color="D2F0FF"/>
            </w:tcBorders>
            <w:shd w:val="clear" w:color="auto" w:fill="D2F0FF"/>
          </w:tcPr>
          <w:p>
            <w:pPr>
              <w:spacing w:after="0"/>
              <w:rPr>
                <w:sz w:val="13"/>
                <w:szCs w:val="13"/>
                <w:color w:val="auto"/>
              </w:rPr>
            </w:pPr>
          </w:p>
        </w:tc>
        <w:tc>
          <w:tcPr>
            <w:tcW w:w="160" w:type="dxa"/>
            <w:vAlign w:val="bottom"/>
            <w:tcBorders>
              <w:top w:val="single" w:sz="8" w:color="auto"/>
            </w:tcBorders>
            <w:vMerge w:val="restart"/>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vMerge w:val="restart"/>
            <w:shd w:val="clear" w:color="auto" w:fill="D2F0FF"/>
          </w:tcPr>
          <w:p>
            <w:pPr>
              <w:jc w:val="right"/>
              <w:ind w:right="23"/>
              <w:spacing w:after="0"/>
              <w:rPr>
                <w:sz w:val="20"/>
                <w:szCs w:val="20"/>
                <w:color w:val="auto"/>
              </w:rPr>
            </w:pPr>
            <w:r>
              <w:rPr>
                <w:rFonts w:ascii="Arial" w:cs="Arial" w:eastAsia="Arial" w:hAnsi="Arial"/>
                <w:sz w:val="15"/>
                <w:szCs w:val="15"/>
                <w:color w:val="auto"/>
              </w:rPr>
              <w:t>7,250</w:t>
            </w:r>
          </w:p>
        </w:tc>
        <w:tc>
          <w:tcPr>
            <w:tcW w:w="120" w:type="dxa"/>
            <w:vAlign w:val="bottom"/>
            <w:tcBorders>
              <w:top w:val="single" w:sz="8" w:color="D2F0FF"/>
            </w:tcBorders>
            <w:shd w:val="clear" w:color="auto" w:fill="D2F0FF"/>
          </w:tcPr>
          <w:p>
            <w:pPr>
              <w:spacing w:after="0"/>
              <w:rPr>
                <w:sz w:val="13"/>
                <w:szCs w:val="13"/>
                <w:color w:val="auto"/>
              </w:rPr>
            </w:pPr>
          </w:p>
        </w:tc>
        <w:tc>
          <w:tcPr>
            <w:tcW w:w="160" w:type="dxa"/>
            <w:vAlign w:val="bottom"/>
            <w:tcBorders>
              <w:top w:val="single" w:sz="8" w:color="auto"/>
            </w:tcBorders>
            <w:vMerge w:val="restart"/>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vMerge w:val="restart"/>
            <w:shd w:val="clear" w:color="auto" w:fill="D2F0FF"/>
          </w:tcPr>
          <w:p>
            <w:pPr>
              <w:jc w:val="right"/>
              <w:ind w:right="23"/>
              <w:spacing w:after="0"/>
              <w:rPr>
                <w:sz w:val="20"/>
                <w:szCs w:val="20"/>
                <w:color w:val="auto"/>
              </w:rPr>
            </w:pPr>
            <w:r>
              <w:rPr>
                <w:rFonts w:ascii="Arial" w:cs="Arial" w:eastAsia="Arial" w:hAnsi="Arial"/>
                <w:sz w:val="15"/>
                <w:szCs w:val="15"/>
                <w:color w:val="auto"/>
              </w:rPr>
              <w:t>36,500</w:t>
            </w:r>
          </w:p>
        </w:tc>
        <w:tc>
          <w:tcPr>
            <w:tcW w:w="100" w:type="dxa"/>
            <w:vAlign w:val="bottom"/>
            <w:tcBorders>
              <w:top w:val="single" w:sz="8" w:color="D2F0FF"/>
            </w:tcBorders>
            <w:shd w:val="clear" w:color="auto" w:fill="D2F0FF"/>
          </w:tcPr>
          <w:p>
            <w:pPr>
              <w:spacing w:after="0"/>
              <w:rPr>
                <w:sz w:val="13"/>
                <w:szCs w:val="13"/>
                <w:color w:val="auto"/>
              </w:rPr>
            </w:pPr>
          </w:p>
        </w:tc>
        <w:tc>
          <w:tcPr>
            <w:tcW w:w="140" w:type="dxa"/>
            <w:vAlign w:val="bottom"/>
            <w:tcBorders>
              <w:top w:val="single" w:sz="8" w:color="auto"/>
            </w:tcBorders>
            <w:vMerge w:val="restart"/>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vMerge w:val="restart"/>
            <w:shd w:val="clear" w:color="auto" w:fill="D2F0FF"/>
          </w:tcPr>
          <w:p>
            <w:pPr>
              <w:jc w:val="right"/>
              <w:ind w:right="23"/>
              <w:spacing w:after="0"/>
              <w:rPr>
                <w:sz w:val="20"/>
                <w:szCs w:val="20"/>
                <w:color w:val="auto"/>
              </w:rPr>
            </w:pPr>
            <w:r>
              <w:rPr>
                <w:rFonts w:ascii="Arial" w:cs="Arial" w:eastAsia="Arial" w:hAnsi="Arial"/>
                <w:sz w:val="15"/>
                <w:szCs w:val="15"/>
                <w:color w:val="auto"/>
              </w:rPr>
              <w:t>14,000</w:t>
            </w:r>
          </w:p>
        </w:tc>
        <w:tc>
          <w:tcPr>
            <w:tcW w:w="100" w:type="dxa"/>
            <w:vAlign w:val="bottom"/>
            <w:tcBorders>
              <w:top w:val="single" w:sz="8" w:color="D2F0FF"/>
            </w:tcBorders>
            <w:shd w:val="clear" w:color="auto" w:fill="D2F0FF"/>
          </w:tcPr>
          <w:p>
            <w:pPr>
              <w:spacing w:after="0"/>
              <w:rPr>
                <w:sz w:val="13"/>
                <w:szCs w:val="13"/>
                <w:color w:val="auto"/>
              </w:rPr>
            </w:pPr>
          </w:p>
        </w:tc>
        <w:tc>
          <w:tcPr>
            <w:tcW w:w="200" w:type="dxa"/>
            <w:vAlign w:val="bottom"/>
            <w:tcBorders>
              <w:top w:val="single" w:sz="8" w:color="auto"/>
            </w:tcBorders>
            <w:vMerge w:val="restart"/>
            <w:shd w:val="clear" w:color="auto" w:fill="D2F0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vMerge w:val="restart"/>
            <w:shd w:val="clear" w:color="auto" w:fill="D2F0FF"/>
          </w:tcPr>
          <w:p>
            <w:pPr>
              <w:jc w:val="right"/>
              <w:ind w:right="23"/>
              <w:spacing w:after="0"/>
              <w:rPr>
                <w:sz w:val="20"/>
                <w:szCs w:val="20"/>
                <w:color w:val="auto"/>
              </w:rPr>
            </w:pPr>
            <w:r>
              <w:rPr>
                <w:rFonts w:ascii="Arial" w:cs="Arial" w:eastAsia="Arial" w:hAnsi="Arial"/>
                <w:sz w:val="15"/>
                <w:szCs w:val="15"/>
                <w:color w:val="auto"/>
              </w:rPr>
              <w:t>349,075</w:t>
            </w:r>
          </w:p>
        </w:tc>
        <w:tc>
          <w:tcPr>
            <w:tcW w:w="0" w:type="dxa"/>
            <w:vAlign w:val="bottom"/>
          </w:tcPr>
          <w:p>
            <w:pPr>
              <w:spacing w:after="0"/>
              <w:rPr>
                <w:sz w:val="1"/>
                <w:szCs w:val="1"/>
                <w:color w:val="auto"/>
              </w:rPr>
            </w:pPr>
          </w:p>
        </w:tc>
      </w:tr>
      <w:tr>
        <w:trPr>
          <w:trHeight w:val="193"/>
        </w:trPr>
        <w:tc>
          <w:tcPr>
            <w:tcW w:w="2880" w:type="dxa"/>
            <w:vAlign w:val="bottom"/>
            <w:tcBorders>
              <w:bottom w:val="single" w:sz="8" w:color="D2F0FF"/>
            </w:tcBorders>
            <w:gridSpan w:val="2"/>
            <w:shd w:val="clear" w:color="auto" w:fill="D2F0FF"/>
          </w:tcPr>
          <w:p>
            <w:pPr>
              <w:ind w:left="280"/>
              <w:spacing w:after="0"/>
              <w:rPr>
                <w:sz w:val="20"/>
                <w:szCs w:val="20"/>
                <w:color w:val="auto"/>
              </w:rPr>
            </w:pPr>
            <w:r>
              <w:rPr>
                <w:rFonts w:ascii="Arial" w:cs="Arial" w:eastAsia="Arial" w:hAnsi="Arial"/>
                <w:sz w:val="15"/>
                <w:szCs w:val="15"/>
                <w:b w:val="1"/>
                <w:bCs w:val="1"/>
                <w:color w:val="auto"/>
              </w:rPr>
              <w:t>of liabilities assumed</w:t>
            </w:r>
          </w:p>
        </w:tc>
        <w:tc>
          <w:tcPr>
            <w:tcW w:w="180" w:type="dxa"/>
            <w:vAlign w:val="bottom"/>
            <w:tcBorders>
              <w:bottom w:val="single" w:sz="8" w:color="auto"/>
            </w:tcBorders>
            <w:vMerge w:val="continue"/>
            <w:shd w:val="clear" w:color="auto" w:fill="D2F0FF"/>
          </w:tcPr>
          <w:p>
            <w:pPr>
              <w:spacing w:after="0"/>
              <w:rPr>
                <w:sz w:val="16"/>
                <w:szCs w:val="16"/>
                <w:color w:val="auto"/>
              </w:rPr>
            </w:pPr>
          </w:p>
        </w:tc>
        <w:tc>
          <w:tcPr>
            <w:tcW w:w="640" w:type="dxa"/>
            <w:vAlign w:val="bottom"/>
            <w:tcBorders>
              <w:bottom w:val="single" w:sz="8" w:color="auto"/>
            </w:tcBorders>
            <w:vMerge w:val="continue"/>
            <w:shd w:val="clear" w:color="auto" w:fill="D2F0FF"/>
          </w:tcPr>
          <w:p>
            <w:pPr>
              <w:spacing w:after="0"/>
              <w:rPr>
                <w:sz w:val="16"/>
                <w:szCs w:val="16"/>
                <w:color w:val="auto"/>
              </w:rPr>
            </w:pPr>
          </w:p>
        </w:tc>
        <w:tc>
          <w:tcPr>
            <w:tcW w:w="120" w:type="dxa"/>
            <w:vAlign w:val="bottom"/>
            <w:tcBorders>
              <w:bottom w:val="single" w:sz="8" w:color="D2F0FF"/>
            </w:tcBorders>
            <w:shd w:val="clear" w:color="auto" w:fill="D2F0FF"/>
          </w:tcPr>
          <w:p>
            <w:pPr>
              <w:spacing w:after="0"/>
              <w:rPr>
                <w:sz w:val="16"/>
                <w:szCs w:val="16"/>
                <w:color w:val="auto"/>
              </w:rPr>
            </w:pPr>
          </w:p>
        </w:tc>
        <w:tc>
          <w:tcPr>
            <w:tcW w:w="120" w:type="dxa"/>
            <w:vAlign w:val="bottom"/>
            <w:tcBorders>
              <w:bottom w:val="single" w:sz="8" w:color="auto"/>
            </w:tcBorders>
            <w:vMerge w:val="continue"/>
            <w:shd w:val="clear" w:color="auto" w:fill="D2F0FF"/>
          </w:tcPr>
          <w:p>
            <w:pPr>
              <w:spacing w:after="0"/>
              <w:rPr>
                <w:sz w:val="16"/>
                <w:szCs w:val="16"/>
                <w:color w:val="auto"/>
              </w:rPr>
            </w:pPr>
          </w:p>
        </w:tc>
        <w:tc>
          <w:tcPr>
            <w:tcW w:w="800" w:type="dxa"/>
            <w:vAlign w:val="bottom"/>
            <w:tcBorders>
              <w:bottom w:val="single" w:sz="8" w:color="auto"/>
            </w:tcBorders>
            <w:vMerge w:val="continue"/>
            <w:shd w:val="clear" w:color="auto" w:fill="D2F0FF"/>
          </w:tcPr>
          <w:p>
            <w:pPr>
              <w:spacing w:after="0"/>
              <w:rPr>
                <w:sz w:val="16"/>
                <w:szCs w:val="16"/>
                <w:color w:val="auto"/>
              </w:rPr>
            </w:pPr>
          </w:p>
        </w:tc>
        <w:tc>
          <w:tcPr>
            <w:tcW w:w="120" w:type="dxa"/>
            <w:vAlign w:val="bottom"/>
            <w:tcBorders>
              <w:bottom w:val="single" w:sz="8" w:color="D2F0FF"/>
            </w:tcBorders>
            <w:shd w:val="clear" w:color="auto" w:fill="D2F0FF"/>
          </w:tcPr>
          <w:p>
            <w:pPr>
              <w:spacing w:after="0"/>
              <w:rPr>
                <w:sz w:val="16"/>
                <w:szCs w:val="16"/>
                <w:color w:val="auto"/>
              </w:rPr>
            </w:pPr>
          </w:p>
        </w:tc>
        <w:tc>
          <w:tcPr>
            <w:tcW w:w="120" w:type="dxa"/>
            <w:vAlign w:val="bottom"/>
            <w:tcBorders>
              <w:bottom w:val="single" w:sz="8" w:color="auto"/>
            </w:tcBorders>
            <w:vMerge w:val="continue"/>
            <w:shd w:val="clear" w:color="auto" w:fill="D2F0FF"/>
          </w:tcPr>
          <w:p>
            <w:pPr>
              <w:spacing w:after="0"/>
              <w:rPr>
                <w:sz w:val="16"/>
                <w:szCs w:val="16"/>
                <w:color w:val="auto"/>
              </w:rPr>
            </w:pPr>
          </w:p>
        </w:tc>
        <w:tc>
          <w:tcPr>
            <w:tcW w:w="720" w:type="dxa"/>
            <w:vAlign w:val="bottom"/>
            <w:tcBorders>
              <w:bottom w:val="single" w:sz="8" w:color="auto"/>
            </w:tcBorders>
            <w:vMerge w:val="continue"/>
            <w:shd w:val="clear" w:color="auto" w:fill="D2F0FF"/>
          </w:tcPr>
          <w:p>
            <w:pPr>
              <w:spacing w:after="0"/>
              <w:rPr>
                <w:sz w:val="16"/>
                <w:szCs w:val="16"/>
                <w:color w:val="auto"/>
              </w:rPr>
            </w:pPr>
          </w:p>
        </w:tc>
        <w:tc>
          <w:tcPr>
            <w:tcW w:w="120" w:type="dxa"/>
            <w:vAlign w:val="bottom"/>
            <w:tcBorders>
              <w:bottom w:val="single" w:sz="8" w:color="D2F0FF"/>
            </w:tcBorders>
            <w:shd w:val="clear" w:color="auto" w:fill="D2F0FF"/>
          </w:tcPr>
          <w:p>
            <w:pPr>
              <w:spacing w:after="0"/>
              <w:rPr>
                <w:sz w:val="16"/>
                <w:szCs w:val="16"/>
                <w:color w:val="auto"/>
              </w:rPr>
            </w:pPr>
          </w:p>
        </w:tc>
        <w:tc>
          <w:tcPr>
            <w:tcW w:w="160" w:type="dxa"/>
            <w:vAlign w:val="bottom"/>
            <w:tcBorders>
              <w:bottom w:val="single" w:sz="8" w:color="auto"/>
            </w:tcBorders>
            <w:vMerge w:val="continue"/>
            <w:shd w:val="clear" w:color="auto" w:fill="D2F0FF"/>
          </w:tcPr>
          <w:p>
            <w:pPr>
              <w:spacing w:after="0"/>
              <w:rPr>
                <w:sz w:val="16"/>
                <w:szCs w:val="16"/>
                <w:color w:val="auto"/>
              </w:rPr>
            </w:pPr>
          </w:p>
        </w:tc>
        <w:tc>
          <w:tcPr>
            <w:tcW w:w="660" w:type="dxa"/>
            <w:vAlign w:val="bottom"/>
            <w:tcBorders>
              <w:bottom w:val="single" w:sz="8" w:color="auto"/>
            </w:tcBorders>
            <w:vMerge w:val="continue"/>
            <w:shd w:val="clear" w:color="auto" w:fill="D2F0FF"/>
          </w:tcPr>
          <w:p>
            <w:pPr>
              <w:spacing w:after="0"/>
              <w:rPr>
                <w:sz w:val="16"/>
                <w:szCs w:val="16"/>
                <w:color w:val="auto"/>
              </w:rPr>
            </w:pPr>
          </w:p>
        </w:tc>
        <w:tc>
          <w:tcPr>
            <w:tcW w:w="100" w:type="dxa"/>
            <w:vAlign w:val="bottom"/>
            <w:tcBorders>
              <w:bottom w:val="single" w:sz="8" w:color="D2F0FF"/>
            </w:tcBorders>
            <w:shd w:val="clear" w:color="auto" w:fill="D2F0FF"/>
          </w:tcPr>
          <w:p>
            <w:pPr>
              <w:spacing w:after="0"/>
              <w:rPr>
                <w:sz w:val="16"/>
                <w:szCs w:val="16"/>
                <w:color w:val="auto"/>
              </w:rPr>
            </w:pPr>
          </w:p>
        </w:tc>
        <w:tc>
          <w:tcPr>
            <w:tcW w:w="160" w:type="dxa"/>
            <w:vAlign w:val="bottom"/>
            <w:tcBorders>
              <w:bottom w:val="single" w:sz="8" w:color="auto"/>
            </w:tcBorders>
            <w:vMerge w:val="continue"/>
            <w:shd w:val="clear" w:color="auto" w:fill="D2F0FF"/>
          </w:tcPr>
          <w:p>
            <w:pPr>
              <w:spacing w:after="0"/>
              <w:rPr>
                <w:sz w:val="16"/>
                <w:szCs w:val="16"/>
                <w:color w:val="auto"/>
              </w:rPr>
            </w:pPr>
          </w:p>
        </w:tc>
        <w:tc>
          <w:tcPr>
            <w:tcW w:w="740" w:type="dxa"/>
            <w:vAlign w:val="bottom"/>
            <w:tcBorders>
              <w:bottom w:val="single" w:sz="8" w:color="auto"/>
            </w:tcBorders>
            <w:vMerge w:val="continue"/>
            <w:shd w:val="clear" w:color="auto" w:fill="D2F0FF"/>
          </w:tcPr>
          <w:p>
            <w:pPr>
              <w:spacing w:after="0"/>
              <w:rPr>
                <w:sz w:val="16"/>
                <w:szCs w:val="16"/>
                <w:color w:val="auto"/>
              </w:rPr>
            </w:pPr>
          </w:p>
        </w:tc>
        <w:tc>
          <w:tcPr>
            <w:tcW w:w="100" w:type="dxa"/>
            <w:vAlign w:val="bottom"/>
            <w:tcBorders>
              <w:bottom w:val="single" w:sz="8" w:color="D2F0FF"/>
            </w:tcBorders>
            <w:shd w:val="clear" w:color="auto" w:fill="D2F0FF"/>
          </w:tcPr>
          <w:p>
            <w:pPr>
              <w:spacing w:after="0"/>
              <w:rPr>
                <w:sz w:val="16"/>
                <w:szCs w:val="16"/>
                <w:color w:val="auto"/>
              </w:rPr>
            </w:pPr>
          </w:p>
        </w:tc>
        <w:tc>
          <w:tcPr>
            <w:tcW w:w="160" w:type="dxa"/>
            <w:vAlign w:val="bottom"/>
            <w:tcBorders>
              <w:bottom w:val="single" w:sz="8" w:color="auto"/>
            </w:tcBorders>
            <w:vMerge w:val="continue"/>
            <w:shd w:val="clear" w:color="auto" w:fill="D2F0FF"/>
          </w:tcPr>
          <w:p>
            <w:pPr>
              <w:spacing w:after="0"/>
              <w:rPr>
                <w:sz w:val="16"/>
                <w:szCs w:val="16"/>
                <w:color w:val="auto"/>
              </w:rPr>
            </w:pPr>
          </w:p>
        </w:tc>
        <w:tc>
          <w:tcPr>
            <w:tcW w:w="620" w:type="dxa"/>
            <w:vAlign w:val="bottom"/>
            <w:tcBorders>
              <w:bottom w:val="single" w:sz="8" w:color="auto"/>
            </w:tcBorders>
            <w:vMerge w:val="continue"/>
            <w:shd w:val="clear" w:color="auto" w:fill="D2F0FF"/>
          </w:tcPr>
          <w:p>
            <w:pPr>
              <w:spacing w:after="0"/>
              <w:rPr>
                <w:sz w:val="16"/>
                <w:szCs w:val="16"/>
                <w:color w:val="auto"/>
              </w:rPr>
            </w:pPr>
          </w:p>
        </w:tc>
        <w:tc>
          <w:tcPr>
            <w:tcW w:w="120" w:type="dxa"/>
            <w:vAlign w:val="bottom"/>
            <w:tcBorders>
              <w:bottom w:val="single" w:sz="8" w:color="D2F0FF"/>
            </w:tcBorders>
            <w:shd w:val="clear" w:color="auto" w:fill="D2F0FF"/>
          </w:tcPr>
          <w:p>
            <w:pPr>
              <w:spacing w:after="0"/>
              <w:rPr>
                <w:sz w:val="16"/>
                <w:szCs w:val="16"/>
                <w:color w:val="auto"/>
              </w:rPr>
            </w:pPr>
          </w:p>
        </w:tc>
        <w:tc>
          <w:tcPr>
            <w:tcW w:w="160" w:type="dxa"/>
            <w:vAlign w:val="bottom"/>
            <w:tcBorders>
              <w:bottom w:val="single" w:sz="8" w:color="auto"/>
            </w:tcBorders>
            <w:vMerge w:val="continue"/>
            <w:shd w:val="clear" w:color="auto" w:fill="D2F0FF"/>
          </w:tcPr>
          <w:p>
            <w:pPr>
              <w:spacing w:after="0"/>
              <w:rPr>
                <w:sz w:val="16"/>
                <w:szCs w:val="16"/>
                <w:color w:val="auto"/>
              </w:rPr>
            </w:pPr>
          </w:p>
        </w:tc>
        <w:tc>
          <w:tcPr>
            <w:tcW w:w="620" w:type="dxa"/>
            <w:vAlign w:val="bottom"/>
            <w:tcBorders>
              <w:bottom w:val="single" w:sz="8" w:color="auto"/>
            </w:tcBorders>
            <w:vMerge w:val="continue"/>
            <w:shd w:val="clear" w:color="auto" w:fill="D2F0FF"/>
          </w:tcPr>
          <w:p>
            <w:pPr>
              <w:spacing w:after="0"/>
              <w:rPr>
                <w:sz w:val="16"/>
                <w:szCs w:val="16"/>
                <w:color w:val="auto"/>
              </w:rPr>
            </w:pPr>
          </w:p>
        </w:tc>
        <w:tc>
          <w:tcPr>
            <w:tcW w:w="100" w:type="dxa"/>
            <w:vAlign w:val="bottom"/>
            <w:tcBorders>
              <w:bottom w:val="single" w:sz="8" w:color="D2F0FF"/>
            </w:tcBorders>
            <w:shd w:val="clear" w:color="auto" w:fill="D2F0FF"/>
          </w:tcPr>
          <w:p>
            <w:pPr>
              <w:spacing w:after="0"/>
              <w:rPr>
                <w:sz w:val="16"/>
                <w:szCs w:val="16"/>
                <w:color w:val="auto"/>
              </w:rPr>
            </w:pPr>
          </w:p>
        </w:tc>
        <w:tc>
          <w:tcPr>
            <w:tcW w:w="140" w:type="dxa"/>
            <w:vAlign w:val="bottom"/>
            <w:tcBorders>
              <w:bottom w:val="single" w:sz="8" w:color="auto"/>
            </w:tcBorders>
            <w:vMerge w:val="continue"/>
            <w:shd w:val="clear" w:color="auto" w:fill="D2F0FF"/>
          </w:tcPr>
          <w:p>
            <w:pPr>
              <w:spacing w:after="0"/>
              <w:rPr>
                <w:sz w:val="16"/>
                <w:szCs w:val="16"/>
                <w:color w:val="auto"/>
              </w:rPr>
            </w:pPr>
          </w:p>
        </w:tc>
        <w:tc>
          <w:tcPr>
            <w:tcW w:w="760" w:type="dxa"/>
            <w:vAlign w:val="bottom"/>
            <w:tcBorders>
              <w:bottom w:val="single" w:sz="8" w:color="auto"/>
            </w:tcBorders>
            <w:vMerge w:val="continue"/>
            <w:shd w:val="clear" w:color="auto" w:fill="D2F0FF"/>
          </w:tcPr>
          <w:p>
            <w:pPr>
              <w:spacing w:after="0"/>
              <w:rPr>
                <w:sz w:val="16"/>
                <w:szCs w:val="16"/>
                <w:color w:val="auto"/>
              </w:rPr>
            </w:pPr>
          </w:p>
        </w:tc>
        <w:tc>
          <w:tcPr>
            <w:tcW w:w="100" w:type="dxa"/>
            <w:vAlign w:val="bottom"/>
            <w:tcBorders>
              <w:bottom w:val="single" w:sz="8" w:color="D2F0FF"/>
            </w:tcBorders>
            <w:shd w:val="clear" w:color="auto" w:fill="D2F0FF"/>
          </w:tcPr>
          <w:p>
            <w:pPr>
              <w:spacing w:after="0"/>
              <w:rPr>
                <w:sz w:val="16"/>
                <w:szCs w:val="16"/>
                <w:color w:val="auto"/>
              </w:rPr>
            </w:pPr>
          </w:p>
        </w:tc>
        <w:tc>
          <w:tcPr>
            <w:tcW w:w="200" w:type="dxa"/>
            <w:vAlign w:val="bottom"/>
            <w:tcBorders>
              <w:bottom w:val="single" w:sz="8" w:color="auto"/>
            </w:tcBorders>
            <w:vMerge w:val="continue"/>
            <w:shd w:val="clear" w:color="auto" w:fill="D2F0FF"/>
          </w:tcPr>
          <w:p>
            <w:pPr>
              <w:spacing w:after="0"/>
              <w:rPr>
                <w:sz w:val="16"/>
                <w:szCs w:val="16"/>
                <w:color w:val="auto"/>
              </w:rPr>
            </w:pPr>
          </w:p>
        </w:tc>
        <w:tc>
          <w:tcPr>
            <w:tcW w:w="700" w:type="dxa"/>
            <w:vAlign w:val="bottom"/>
            <w:tcBorders>
              <w:bottom w:val="single" w:sz="8" w:color="auto"/>
            </w:tcBorders>
            <w:vMerge w:val="continue"/>
            <w:shd w:val="clear" w:color="auto" w:fill="D2F0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Consideration</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880" w:type="dxa"/>
            <w:vAlign w:val="bottom"/>
            <w:gridSpan w:val="2"/>
            <w:shd w:val="clear" w:color="auto" w:fill="D2F0FF"/>
          </w:tcPr>
          <w:p>
            <w:pPr>
              <w:ind w:left="40"/>
              <w:spacing w:after="0"/>
              <w:rPr>
                <w:sz w:val="20"/>
                <w:szCs w:val="20"/>
                <w:color w:val="auto"/>
              </w:rPr>
            </w:pPr>
            <w:r>
              <w:rPr>
                <w:rFonts w:ascii="Arial" w:cs="Arial" w:eastAsia="Arial" w:hAnsi="Arial"/>
                <w:sz w:val="15"/>
                <w:szCs w:val="15"/>
                <w:color w:val="auto"/>
              </w:rPr>
              <w:t>Cash</w:t>
            </w:r>
          </w:p>
        </w:tc>
        <w:tc>
          <w:tcPr>
            <w:tcW w:w="180" w:type="dxa"/>
            <w:vAlign w:val="bottom"/>
            <w:shd w:val="clear" w:color="auto" w:fill="D2F0FF"/>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11,647</w:t>
            </w:r>
          </w:p>
        </w:tc>
        <w:tc>
          <w:tcPr>
            <w:tcW w:w="120" w:type="dxa"/>
            <w:vAlign w:val="bottom"/>
            <w:shd w:val="clear" w:color="auto" w:fill="D2F0FF"/>
          </w:tcPr>
          <w:p>
            <w:pPr>
              <w:spacing w:after="0"/>
              <w:rPr>
                <w:sz w:val="23"/>
                <w:szCs w:val="23"/>
                <w:color w:val="auto"/>
              </w:rPr>
            </w:pPr>
          </w:p>
        </w:tc>
        <w:tc>
          <w:tcPr>
            <w:tcW w:w="12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14,550</w:t>
            </w:r>
          </w:p>
        </w:tc>
        <w:tc>
          <w:tcPr>
            <w:tcW w:w="120" w:type="dxa"/>
            <w:vAlign w:val="bottom"/>
            <w:shd w:val="clear" w:color="auto" w:fill="D2F0FF"/>
          </w:tcPr>
          <w:p>
            <w:pPr>
              <w:spacing w:after="0"/>
              <w:rPr>
                <w:sz w:val="23"/>
                <w:szCs w:val="23"/>
                <w:color w:val="auto"/>
              </w:rPr>
            </w:pPr>
          </w:p>
        </w:tc>
        <w:tc>
          <w:tcPr>
            <w:tcW w:w="12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9,000</w:t>
            </w:r>
          </w:p>
        </w:tc>
        <w:tc>
          <w:tcPr>
            <w:tcW w:w="120" w:type="dxa"/>
            <w:vAlign w:val="bottom"/>
            <w:shd w:val="clear" w:color="auto" w:fill="D2F0FF"/>
          </w:tcPr>
          <w:p>
            <w:pPr>
              <w:spacing w:after="0"/>
              <w:rPr>
                <w:sz w:val="23"/>
                <w:szCs w:val="23"/>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14,250</w:t>
            </w:r>
          </w:p>
        </w:tc>
        <w:tc>
          <w:tcPr>
            <w:tcW w:w="100" w:type="dxa"/>
            <w:vAlign w:val="bottom"/>
            <w:shd w:val="clear" w:color="auto" w:fill="D2F0FF"/>
          </w:tcPr>
          <w:p>
            <w:pPr>
              <w:spacing w:after="0"/>
              <w:rPr>
                <w:sz w:val="23"/>
                <w:szCs w:val="23"/>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184,625</w:t>
            </w:r>
          </w:p>
        </w:tc>
        <w:tc>
          <w:tcPr>
            <w:tcW w:w="100" w:type="dxa"/>
            <w:vAlign w:val="bottom"/>
            <w:shd w:val="clear" w:color="auto" w:fill="D2F0FF"/>
          </w:tcPr>
          <w:p>
            <w:pPr>
              <w:spacing w:after="0"/>
              <w:rPr>
                <w:sz w:val="23"/>
                <w:szCs w:val="23"/>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7,250</w:t>
            </w:r>
          </w:p>
        </w:tc>
        <w:tc>
          <w:tcPr>
            <w:tcW w:w="120" w:type="dxa"/>
            <w:vAlign w:val="bottom"/>
            <w:shd w:val="clear" w:color="auto" w:fill="D2F0FF"/>
          </w:tcPr>
          <w:p>
            <w:pPr>
              <w:spacing w:after="0"/>
              <w:rPr>
                <w:sz w:val="23"/>
                <w:szCs w:val="23"/>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36,500</w:t>
            </w:r>
          </w:p>
        </w:tc>
        <w:tc>
          <w:tcPr>
            <w:tcW w:w="100" w:type="dxa"/>
            <w:vAlign w:val="bottom"/>
            <w:shd w:val="clear" w:color="auto" w:fill="D2F0FF"/>
          </w:tcPr>
          <w:p>
            <w:pPr>
              <w:spacing w:after="0"/>
              <w:rPr>
                <w:sz w:val="23"/>
                <w:szCs w:val="23"/>
                <w:color w:val="auto"/>
              </w:rPr>
            </w:pPr>
          </w:p>
        </w:tc>
        <w:tc>
          <w:tcPr>
            <w:tcW w:w="14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14,000</w:t>
            </w:r>
          </w:p>
        </w:tc>
        <w:tc>
          <w:tcPr>
            <w:tcW w:w="100" w:type="dxa"/>
            <w:vAlign w:val="bottom"/>
            <w:shd w:val="clear" w:color="auto" w:fill="D2F0FF"/>
          </w:tcPr>
          <w:p>
            <w:pPr>
              <w:spacing w:after="0"/>
              <w:rPr>
                <w:sz w:val="23"/>
                <w:szCs w:val="23"/>
                <w:color w:val="auto"/>
              </w:rPr>
            </w:pPr>
          </w:p>
        </w:tc>
        <w:tc>
          <w:tcPr>
            <w:tcW w:w="200" w:type="dxa"/>
            <w:vAlign w:val="bottom"/>
            <w:shd w:val="clear" w:color="auto" w:fill="D2F0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291,822</w:t>
            </w:r>
          </w:p>
        </w:tc>
        <w:tc>
          <w:tcPr>
            <w:tcW w:w="0" w:type="dxa"/>
            <w:vAlign w:val="bottom"/>
          </w:tcPr>
          <w:p>
            <w:pPr>
              <w:spacing w:after="0"/>
              <w:rPr>
                <w:sz w:val="1"/>
                <w:szCs w:val="1"/>
                <w:color w:val="auto"/>
              </w:rPr>
            </w:pPr>
          </w:p>
        </w:tc>
      </w:tr>
      <w:tr>
        <w:trPr>
          <w:trHeight w:val="266"/>
        </w:trPr>
        <w:tc>
          <w:tcPr>
            <w:tcW w:w="2880" w:type="dxa"/>
            <w:vAlign w:val="bottom"/>
            <w:gridSpan w:val="2"/>
          </w:tcPr>
          <w:p>
            <w:pPr>
              <w:ind w:left="40"/>
              <w:spacing w:after="0"/>
              <w:rPr>
                <w:sz w:val="20"/>
                <w:szCs w:val="20"/>
                <w:color w:val="auto"/>
              </w:rPr>
            </w:pPr>
            <w:r>
              <w:rPr>
                <w:rFonts w:ascii="Arial" w:cs="Arial" w:eastAsia="Arial" w:hAnsi="Arial"/>
                <w:sz w:val="15"/>
                <w:szCs w:val="15"/>
                <w:color w:val="auto"/>
              </w:rPr>
              <w:t>Preferred Equity - Sun NG Resorts</w:t>
            </w: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35,277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35,277</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Equity Interests - NG Sun LLC</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21,976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21,976</w:t>
            </w:r>
          </w:p>
        </w:tc>
        <w:tc>
          <w:tcPr>
            <w:tcW w:w="0" w:type="dxa"/>
            <w:vAlign w:val="bottom"/>
          </w:tcPr>
          <w:p>
            <w:pPr>
              <w:spacing w:after="0"/>
              <w:rPr>
                <w:sz w:val="1"/>
                <w:szCs w:val="1"/>
                <w:color w:val="auto"/>
              </w:rPr>
            </w:pPr>
          </w:p>
        </w:tc>
      </w:tr>
      <w:tr>
        <w:trPr>
          <w:trHeight w:val="241"/>
        </w:trPr>
        <w:tc>
          <w:tcPr>
            <w:tcW w:w="288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 consideration</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11,647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14,550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9,000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14,250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241,878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7,250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36,500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14,000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349,075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2018, we acquired the following land for expansion /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Location</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Expansion / Development Sites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2"/>
              </w:rPr>
              <w:t>Cost (millions)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Ocean West</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McKinleyville, CA</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December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Water Oak Country Club Estates</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Lady Lake, FL</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296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November</w:t>
            </w:r>
          </w:p>
        </w:tc>
      </w:tr>
      <w:tr>
        <w:trPr>
          <w:trHeight w:val="27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Oak Crest</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Austin, TX</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October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Pecan Park</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Jacksonville, FL</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September</w:t>
            </w:r>
          </w:p>
        </w:tc>
      </w:tr>
      <w:tr>
        <w:trPr>
          <w:trHeight w:val="27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Smith Creek Crossing</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Granby, CO</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September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Apple Carr</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Egelston, MI</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May</w:t>
            </w: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River Run Ranch</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Granby, CO</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 RV</w:t>
            </w:r>
          </w:p>
        </w:tc>
        <w:tc>
          <w:tcPr>
            <w:tcW w:w="2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1,144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May</w:t>
            </w:r>
          </w:p>
        </w:tc>
      </w:tr>
      <w:tr>
        <w:trPr>
          <w:trHeight w:val="241"/>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2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2,275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Collateralized Receivables and Transfers of Financial Assets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previously completed various transactions with an unrelated entity involving our notes receivable under which we received cash proceeds in exchange for relinquishing our right, title, and interest in certain notes receivable. We have no further obligations or rights with respect to the control, management, administration, servicing, or collection of the installment notes receivable. However, we are subject to certain recourse provisions requiring us to purchase the underlying homes collateralizing such notes, in the event of a note default and subsequent repossession of the home by the unrelated entity. The recourse provisions are considered to be a form of continuing involvement, and therefore these transferred loans did not meet the requirements for sale accounting. We continue to recognize these transferred loans on our Consolidated Balance Sheets and refer to them as collateralized receivables. The cash proceeds from the transfer have been recognized as secured borrowings on collateralized receivables within the Consolidated Balance Sheets. The collateralized receivables earn interest income, and the secured borrowings accrue interest expense at the same interest rates.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of a note default and subsequent repossession of a manufactured home by the unrelated entity, the terms of the agreement require us to repurchase the manufactured home. Default is defined as the failure to repay the installment note receivable according to contractual terms. The repurchase price is calculated as a percentage of the outstanding principal balance of the collateralized receivable, plus any outstanding late fees, accrued interest, legal fees, and escrow advances associated with the installment note receivable. The percentage used to determine the repurchase price of the outstanding principal balance on the installment note receivable is based on the number of payments made on the note. In general, the repurchase price is determined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Number of Payments</w:t>
            </w:r>
          </w:p>
        </w:tc>
        <w:tc>
          <w:tcPr>
            <w:tcW w:w="542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Repurchase Percentage</w:t>
            </w:r>
          </w:p>
        </w:tc>
      </w:tr>
      <w:tr>
        <w:trPr>
          <w:trHeight w:val="196"/>
        </w:trPr>
        <w:tc>
          <w:tcPr>
            <w:tcW w:w="6000" w:type="dxa"/>
            <w:vAlign w:val="bottom"/>
            <w:shd w:val="clear" w:color="auto" w:fill="D2F0FF"/>
          </w:tcPr>
          <w:p>
            <w:pPr>
              <w:ind w:left="40"/>
              <w:spacing w:after="0"/>
              <w:rPr>
                <w:sz w:val="20"/>
                <w:szCs w:val="20"/>
                <w:color w:val="auto"/>
              </w:rPr>
            </w:pPr>
            <w:r>
              <w:rPr>
                <w:rFonts w:ascii="Arial" w:cs="Arial" w:eastAsia="Arial" w:hAnsi="Arial"/>
                <w:sz w:val="15"/>
                <w:szCs w:val="15"/>
                <w:color w:val="auto"/>
              </w:rPr>
              <w:t>Fewer than or equal to 15</w:t>
            </w:r>
          </w:p>
        </w:tc>
        <w:tc>
          <w:tcPr>
            <w:tcW w:w="5420" w:type="dxa"/>
            <w:vAlign w:val="bottom"/>
            <w:shd w:val="clear" w:color="auto" w:fill="D2F0FF"/>
          </w:tcPr>
          <w:p>
            <w:pPr>
              <w:jc w:val="right"/>
              <w:spacing w:after="0"/>
              <w:rPr>
                <w:sz w:val="20"/>
                <w:szCs w:val="20"/>
                <w:color w:val="auto"/>
              </w:rPr>
            </w:pPr>
            <w:r>
              <w:rPr>
                <w:rFonts w:ascii="Arial" w:cs="Arial" w:eastAsia="Arial" w:hAnsi="Arial"/>
                <w:sz w:val="15"/>
                <w:szCs w:val="15"/>
                <w:color w:val="auto"/>
              </w:rPr>
              <w:t>100%</w:t>
            </w:r>
          </w:p>
        </w:tc>
      </w:tr>
      <w:tr>
        <w:trPr>
          <w:trHeight w:val="216"/>
        </w:trPr>
        <w:tc>
          <w:tcPr>
            <w:tcW w:w="6000" w:type="dxa"/>
            <w:vAlign w:val="bottom"/>
          </w:tcPr>
          <w:p>
            <w:pPr>
              <w:ind w:left="40"/>
              <w:spacing w:after="0"/>
              <w:rPr>
                <w:sz w:val="20"/>
                <w:szCs w:val="20"/>
                <w:color w:val="auto"/>
              </w:rPr>
            </w:pPr>
            <w:r>
              <w:rPr>
                <w:rFonts w:ascii="Arial" w:cs="Arial" w:eastAsia="Arial" w:hAnsi="Arial"/>
                <w:sz w:val="15"/>
                <w:szCs w:val="15"/>
                <w:color w:val="auto"/>
              </w:rPr>
              <w:t>Greater than 15 but fewer than 64</w:t>
            </w:r>
          </w:p>
        </w:tc>
        <w:tc>
          <w:tcPr>
            <w:tcW w:w="54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16"/>
        </w:trPr>
        <w:tc>
          <w:tcPr>
            <w:tcW w:w="6000" w:type="dxa"/>
            <w:vAlign w:val="bottom"/>
            <w:shd w:val="clear" w:color="auto" w:fill="D2F0FF"/>
          </w:tcPr>
          <w:p>
            <w:pPr>
              <w:ind w:left="40"/>
              <w:spacing w:after="0"/>
              <w:rPr>
                <w:sz w:val="20"/>
                <w:szCs w:val="20"/>
                <w:color w:val="auto"/>
              </w:rPr>
            </w:pPr>
            <w:r>
              <w:rPr>
                <w:rFonts w:ascii="Arial" w:cs="Arial" w:eastAsia="Arial" w:hAnsi="Arial"/>
                <w:sz w:val="15"/>
                <w:szCs w:val="15"/>
                <w:color w:val="auto"/>
              </w:rPr>
              <w:t>Equal to or greater than 64 but fewer than 120</w:t>
            </w:r>
          </w:p>
        </w:tc>
        <w:tc>
          <w:tcPr>
            <w:tcW w:w="5420" w:type="dxa"/>
            <w:vAlign w:val="bottom"/>
            <w:shd w:val="clear" w:color="auto" w:fill="D2F0FF"/>
          </w:tcPr>
          <w:p>
            <w:pPr>
              <w:jc w:val="right"/>
              <w:spacing w:after="0"/>
              <w:rPr>
                <w:sz w:val="20"/>
                <w:szCs w:val="20"/>
                <w:color w:val="auto"/>
              </w:rPr>
            </w:pPr>
            <w:r>
              <w:rPr>
                <w:rFonts w:ascii="Arial" w:cs="Arial" w:eastAsia="Arial" w:hAnsi="Arial"/>
                <w:sz w:val="15"/>
                <w:szCs w:val="15"/>
                <w:color w:val="auto"/>
              </w:rPr>
              <w:t>65%</w:t>
            </w:r>
          </w:p>
        </w:tc>
      </w:tr>
      <w:tr>
        <w:trPr>
          <w:trHeight w:val="208"/>
        </w:trPr>
        <w:tc>
          <w:tcPr>
            <w:tcW w:w="6000" w:type="dxa"/>
            <w:vAlign w:val="bottom"/>
          </w:tcPr>
          <w:p>
            <w:pPr>
              <w:ind w:left="40"/>
              <w:spacing w:after="0"/>
              <w:rPr>
                <w:sz w:val="20"/>
                <w:szCs w:val="20"/>
                <w:color w:val="auto"/>
              </w:rPr>
            </w:pPr>
            <w:r>
              <w:rPr>
                <w:rFonts w:ascii="Arial" w:cs="Arial" w:eastAsia="Arial" w:hAnsi="Arial"/>
                <w:sz w:val="15"/>
                <w:szCs w:val="15"/>
                <w:color w:val="auto"/>
              </w:rPr>
              <w:t>120 or more</w:t>
            </w:r>
          </w:p>
        </w:tc>
        <w:tc>
          <w:tcPr>
            <w:tcW w:w="5420" w:type="dxa"/>
            <w:vAlign w:val="bottom"/>
          </w:tcPr>
          <w:p>
            <w:pPr>
              <w:jc w:val="right"/>
              <w:spacing w:after="0"/>
              <w:rPr>
                <w:sz w:val="20"/>
                <w:szCs w:val="20"/>
                <w:color w:val="auto"/>
              </w:rPr>
            </w:pPr>
            <w:r>
              <w:rPr>
                <w:rFonts w:ascii="Arial" w:cs="Arial" w:eastAsia="Arial" w:hAnsi="Arial"/>
                <w:sz w:val="15"/>
                <w:szCs w:val="15"/>
                <w:color w:val="auto"/>
              </w:rPr>
              <w:t>50%</w:t>
            </w:r>
          </w:p>
        </w:tc>
      </w:tr>
    </w:tbl>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 of the collateralized receivables was $97.7 million (net of allowance of $0.6 million) and $106.9 million (net of allowance of $0.8 million) as of June 30, 2019 and December 31, 2018, respectively. The receivables have a weighted average interest rate and maturity of 9.9 percent and 13.7 years as of June 30, 2019, and 9.9 percent and 14.1 years as of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balance on the secured borrowing was $98.3 million and $107.7 million as of June 30, 2019 and December 31, 2018, respectively.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interest income and expense recognized was $2.4 million and $2.9 million for the three months ended June 30, 2019 and 2018, respectively, and $4.8 million and $5.7 million for the six months ended June 30, 2019 and 2018,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balances of the collateralized receivables and secured borrowings are reduced as the related collateralized receivables are collected from the customers, or as the underlying collateral is repurchased. The change in the aggregate gross principal balance of the collateralized receivables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223"/>
              <w:spacing w:after="0"/>
              <w:rPr>
                <w:sz w:val="20"/>
                <w:szCs w:val="20"/>
                <w:color w:val="auto"/>
              </w:rPr>
            </w:pPr>
            <w:r>
              <w:rPr>
                <w:rFonts w:ascii="Arial" w:cs="Arial" w:eastAsia="Arial" w:hAnsi="Arial"/>
                <w:sz w:val="15"/>
                <w:szCs w:val="15"/>
                <w:b w:val="1"/>
                <w:bCs w:val="1"/>
                <w:color w:val="auto"/>
                <w:w w:val="99"/>
              </w:rPr>
              <w:t>Six Months Ended</w:t>
            </w:r>
          </w:p>
        </w:tc>
      </w:tr>
      <w:tr>
        <w:trPr>
          <w:trHeight w:val="328"/>
        </w:trPr>
        <w:tc>
          <w:tcPr>
            <w:tcW w:w="96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June 30, 2019</w:t>
            </w:r>
          </w:p>
        </w:tc>
      </w:tr>
      <w:tr>
        <w:trPr>
          <w:trHeight w:val="214"/>
        </w:trPr>
        <w:tc>
          <w:tcPr>
            <w:tcW w:w="9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107,731</w:t>
            </w:r>
          </w:p>
        </w:tc>
      </w:tr>
      <w:tr>
        <w:trPr>
          <w:trHeight w:val="216"/>
        </w:trPr>
        <w:tc>
          <w:tcPr>
            <w:tcW w:w="9600" w:type="dxa"/>
            <w:vAlign w:val="bottom"/>
          </w:tcPr>
          <w:p>
            <w:pPr>
              <w:ind w:left="360"/>
              <w:spacing w:after="0"/>
              <w:rPr>
                <w:sz w:val="20"/>
                <w:szCs w:val="20"/>
                <w:color w:val="auto"/>
              </w:rPr>
            </w:pPr>
            <w:r>
              <w:rPr>
                <w:rFonts w:ascii="Arial" w:cs="Arial" w:eastAsia="Arial" w:hAnsi="Arial"/>
                <w:sz w:val="15"/>
                <w:szCs w:val="15"/>
                <w:color w:val="auto"/>
              </w:rPr>
              <w:t>Principal payments and payoffs from our customers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(6,063)</w:t>
            </w: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Principal reduction from repurchased homes</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(3,369)</w:t>
            </w:r>
          </w:p>
        </w:tc>
      </w:tr>
      <w:tr>
        <w:trPr>
          <w:trHeight w:val="210"/>
        </w:trPr>
        <w:tc>
          <w:tcPr>
            <w:tcW w:w="96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activity</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(9,432)</w:t>
            </w:r>
          </w:p>
        </w:tc>
      </w:tr>
      <w:tr>
        <w:trPr>
          <w:trHeight w:val="21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Ending balance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98,299</w:t>
            </w:r>
          </w:p>
        </w:tc>
      </w:tr>
      <w:tr>
        <w:trPr>
          <w:trHeight w:val="20"/>
        </w:trPr>
        <w:tc>
          <w:tcPr>
            <w:tcW w:w="9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allowance for the collateralized receivables as of June 30, 2019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223"/>
              <w:spacing w:after="0"/>
              <w:rPr>
                <w:sz w:val="20"/>
                <w:szCs w:val="20"/>
                <w:color w:val="auto"/>
              </w:rPr>
            </w:pPr>
            <w:r>
              <w:rPr>
                <w:rFonts w:ascii="Arial" w:cs="Arial" w:eastAsia="Arial" w:hAnsi="Arial"/>
                <w:sz w:val="15"/>
                <w:szCs w:val="15"/>
                <w:b w:val="1"/>
                <w:bCs w:val="1"/>
                <w:color w:val="auto"/>
                <w:w w:val="99"/>
              </w:rPr>
              <w:t>Six Months Ended</w:t>
            </w:r>
          </w:p>
        </w:tc>
      </w:tr>
      <w:tr>
        <w:trPr>
          <w:trHeight w:val="328"/>
        </w:trPr>
        <w:tc>
          <w:tcPr>
            <w:tcW w:w="96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June 30, 2019</w:t>
            </w:r>
          </w:p>
        </w:tc>
      </w:tr>
      <w:tr>
        <w:trPr>
          <w:trHeight w:val="214"/>
        </w:trPr>
        <w:tc>
          <w:tcPr>
            <w:tcW w:w="9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w:t>
            </w:r>
          </w:p>
        </w:tc>
      </w:tr>
      <w:tr>
        <w:trPr>
          <w:trHeight w:val="212"/>
        </w:trPr>
        <w:tc>
          <w:tcPr>
            <w:tcW w:w="9600" w:type="dxa"/>
            <w:vAlign w:val="bottom"/>
          </w:tcPr>
          <w:p>
            <w:pPr>
              <w:ind w:left="360"/>
              <w:spacing w:after="0"/>
              <w:rPr>
                <w:sz w:val="20"/>
                <w:szCs w:val="20"/>
                <w:color w:val="auto"/>
              </w:rPr>
            </w:pPr>
            <w:r>
              <w:rPr>
                <w:rFonts w:ascii="Arial" w:cs="Arial" w:eastAsia="Arial" w:hAnsi="Arial"/>
                <w:sz w:val="15"/>
                <w:szCs w:val="15"/>
                <w:color w:val="auto"/>
              </w:rPr>
              <w:t>Lower of cost or market write-downs</w:t>
            </w:r>
          </w:p>
        </w:tc>
        <w:tc>
          <w:tcPr>
            <w:tcW w:w="200" w:type="dxa"/>
            <w:vAlign w:val="bottom"/>
          </w:tcPr>
          <w:p>
            <w:pPr>
              <w:spacing w:after="0"/>
              <w:rPr>
                <w:sz w:val="18"/>
                <w:szCs w:val="18"/>
                <w:color w:val="auto"/>
              </w:rPr>
            </w:pPr>
          </w:p>
        </w:tc>
        <w:tc>
          <w:tcPr>
            <w:tcW w:w="1620" w:type="dxa"/>
            <w:vAlign w:val="bottom"/>
          </w:tcPr>
          <w:p>
            <w:pPr>
              <w:jc w:val="right"/>
              <w:ind w:right="23"/>
              <w:spacing w:after="0"/>
              <w:rPr>
                <w:sz w:val="20"/>
                <w:szCs w:val="20"/>
                <w:color w:val="auto"/>
              </w:rPr>
            </w:pPr>
            <w:r>
              <w:rPr>
                <w:rFonts w:ascii="Arial" w:cs="Arial" w:eastAsia="Arial" w:hAnsi="Arial"/>
                <w:sz w:val="15"/>
                <w:szCs w:val="15"/>
                <w:color w:val="auto"/>
              </w:rPr>
              <w:t>85</w:t>
            </w: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Decrease to reserve balance</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w:t>
            </w:r>
          </w:p>
        </w:tc>
      </w:tr>
      <w:tr>
        <w:trPr>
          <w:trHeight w:val="210"/>
        </w:trPr>
        <w:tc>
          <w:tcPr>
            <w:tcW w:w="96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activity</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166</w:t>
            </w:r>
          </w:p>
        </w:tc>
      </w:tr>
      <w:tr>
        <w:trPr>
          <w:trHeight w:val="21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Ending balance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(641)</w:t>
            </w:r>
          </w:p>
        </w:tc>
      </w:tr>
      <w:tr>
        <w:trPr>
          <w:trHeight w:val="20"/>
        </w:trPr>
        <w:tc>
          <w:tcPr>
            <w:tcW w:w="9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400" w:type="dxa"/>
            <w:vAlign w:val="bottom"/>
          </w:tcPr>
          <w:p>
            <w:pPr>
              <w:ind w:left="160"/>
              <w:spacing w:after="0"/>
              <w:rPr>
                <w:sz w:val="20"/>
                <w:szCs w:val="20"/>
                <w:color w:val="auto"/>
              </w:rPr>
            </w:pPr>
            <w:r>
              <w:rPr>
                <w:rFonts w:ascii="Arial" w:cs="Arial" w:eastAsia="Arial" w:hAnsi="Arial"/>
                <w:sz w:val="18"/>
                <w:szCs w:val="18"/>
                <w:b w:val="1"/>
                <w:bCs w:val="1"/>
                <w:color w:val="auto"/>
              </w:rPr>
              <w:t>Notes and Other Receivables</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w w:val="93"/>
              </w:rPr>
              <w:t>The following table sets forth certain information regarding notes and other receivables (in thousands):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05"/>
        </w:trPr>
        <w:tc>
          <w:tcPr>
            <w:tcW w:w="2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2019</w:t>
            </w:r>
          </w:p>
        </w:tc>
        <w:tc>
          <w:tcPr>
            <w:tcW w:w="180" w:type="dxa"/>
            <w:vAlign w:val="bottom"/>
          </w:tcPr>
          <w:p>
            <w:pPr>
              <w:spacing w:after="0"/>
              <w:rPr>
                <w:sz w:val="24"/>
                <w:szCs w:val="24"/>
                <w:color w:val="auto"/>
              </w:rPr>
            </w:pPr>
          </w:p>
        </w:tc>
        <w:tc>
          <w:tcPr>
            <w:tcW w:w="1620" w:type="dxa"/>
            <w:vAlign w:val="bottom"/>
          </w:tcPr>
          <w:p>
            <w:pPr>
              <w:jc w:val="right"/>
              <w:ind w:right="203"/>
              <w:spacing w:after="0"/>
              <w:rPr>
                <w:sz w:val="20"/>
                <w:szCs w:val="20"/>
                <w:color w:val="auto"/>
              </w:rPr>
            </w:pPr>
            <w:r>
              <w:rPr>
                <w:rFonts w:ascii="Arial" w:cs="Arial" w:eastAsia="Arial" w:hAnsi="Arial"/>
                <w:sz w:val="15"/>
                <w:szCs w:val="15"/>
                <w:b w:val="1"/>
                <w:bCs w:val="1"/>
                <w:color w:val="auto"/>
                <w:w w:val="97"/>
              </w:rPr>
              <w:t>December 31, 2018</w:t>
            </w:r>
          </w:p>
        </w:tc>
      </w:tr>
      <w:tr>
        <w:trPr>
          <w:trHeight w:val="250"/>
        </w:trPr>
        <w:tc>
          <w:tcPr>
            <w:tcW w:w="76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Installment notes receivable on manufactured homes, net</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104,559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112,798</w:t>
            </w:r>
          </w:p>
        </w:tc>
      </w:tr>
      <w:tr>
        <w:trPr>
          <w:trHeight w:val="266"/>
        </w:trPr>
        <w:tc>
          <w:tcPr>
            <w:tcW w:w="76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Other receivables, net</w:t>
            </w: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59,744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47,279</w:t>
            </w:r>
          </w:p>
        </w:tc>
      </w:tr>
      <w:tr>
        <w:trPr>
          <w:trHeight w:val="241"/>
        </w:trPr>
        <w:tc>
          <w:tcPr>
            <w:tcW w:w="26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 notes and other receivables, net</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164,303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160,077</w:t>
            </w:r>
          </w:p>
        </w:tc>
      </w:tr>
      <w:tr>
        <w:trPr>
          <w:trHeight w:val="20"/>
        </w:trPr>
        <w:tc>
          <w:tcPr>
            <w:tcW w:w="2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investment in installment notes of $104.6 million (net of allowance of $0.7 million) and $112.8 million (net of allowance of $0.7 million) as of June 30, 2019 and December 31, 2018, respectively, are collateralized by manufactured homes. The notes represent financing to purchasers of manufactured homes primarily located in our communities and require monthly principal and interest payments. The notes have a net weighted average interest rate (net of servicing costs) and maturity of 8.0 percent and 16.2 years as of June 30, 2019, and 8.0 percent and 16.6 years as of December 31,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gross principal balance of the installment notes receivable is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223"/>
              <w:spacing w:after="0"/>
              <w:rPr>
                <w:sz w:val="20"/>
                <w:szCs w:val="20"/>
                <w:color w:val="auto"/>
              </w:rPr>
            </w:pPr>
            <w:r>
              <w:rPr>
                <w:rFonts w:ascii="Arial" w:cs="Arial" w:eastAsia="Arial" w:hAnsi="Arial"/>
                <w:sz w:val="15"/>
                <w:szCs w:val="15"/>
                <w:b w:val="1"/>
                <w:bCs w:val="1"/>
                <w:color w:val="auto"/>
                <w:w w:val="99"/>
              </w:rPr>
              <w:t>Six Months Ended</w:t>
            </w:r>
          </w:p>
        </w:tc>
      </w:tr>
      <w:tr>
        <w:trPr>
          <w:trHeight w:val="328"/>
        </w:trPr>
        <w:tc>
          <w:tcPr>
            <w:tcW w:w="96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June 30, 2019</w:t>
            </w:r>
          </w:p>
        </w:tc>
      </w:tr>
      <w:tr>
        <w:trPr>
          <w:trHeight w:val="214"/>
        </w:trPr>
        <w:tc>
          <w:tcPr>
            <w:tcW w:w="9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113,495</w:t>
            </w:r>
          </w:p>
        </w:tc>
      </w:tr>
      <w:tr>
        <w:trPr>
          <w:trHeight w:val="212"/>
        </w:trPr>
        <w:tc>
          <w:tcPr>
            <w:tcW w:w="9600" w:type="dxa"/>
            <w:vAlign w:val="bottom"/>
          </w:tcPr>
          <w:p>
            <w:pPr>
              <w:ind w:left="360"/>
              <w:spacing w:after="0"/>
              <w:rPr>
                <w:sz w:val="20"/>
                <w:szCs w:val="20"/>
                <w:color w:val="auto"/>
              </w:rPr>
            </w:pPr>
            <w:r>
              <w:rPr>
                <w:rFonts w:ascii="Arial" w:cs="Arial" w:eastAsia="Arial" w:hAnsi="Arial"/>
                <w:sz w:val="15"/>
                <w:szCs w:val="15"/>
                <w:color w:val="auto"/>
              </w:rPr>
              <w:t>Investment in installment notes</w:t>
            </w:r>
          </w:p>
        </w:tc>
        <w:tc>
          <w:tcPr>
            <w:tcW w:w="200" w:type="dxa"/>
            <w:vAlign w:val="bottom"/>
          </w:tcPr>
          <w:p>
            <w:pPr>
              <w:spacing w:after="0"/>
              <w:rPr>
                <w:sz w:val="18"/>
                <w:szCs w:val="18"/>
                <w:color w:val="auto"/>
              </w:rPr>
            </w:pPr>
          </w:p>
        </w:tc>
        <w:tc>
          <w:tcPr>
            <w:tcW w:w="1620" w:type="dxa"/>
            <w:vAlign w:val="bottom"/>
          </w:tcPr>
          <w:p>
            <w:pPr>
              <w:jc w:val="right"/>
              <w:ind w:right="23"/>
              <w:spacing w:after="0"/>
              <w:rPr>
                <w:sz w:val="20"/>
                <w:szCs w:val="20"/>
                <w:color w:val="auto"/>
              </w:rPr>
            </w:pPr>
            <w:r>
              <w:rPr>
                <w:rFonts w:ascii="Arial" w:cs="Arial" w:eastAsia="Arial" w:hAnsi="Arial"/>
                <w:sz w:val="15"/>
                <w:szCs w:val="15"/>
                <w:color w:val="auto"/>
              </w:rPr>
              <w:t>163</w:t>
            </w:r>
          </w:p>
        </w:tc>
      </w:tr>
      <w:tr>
        <w:trPr>
          <w:trHeight w:val="220"/>
        </w:trPr>
        <w:tc>
          <w:tcPr>
            <w:tcW w:w="9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Principal payments and payoffs from customers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(4,093)</w:t>
            </w:r>
          </w:p>
        </w:tc>
      </w:tr>
      <w:tr>
        <w:trPr>
          <w:trHeight w:val="212"/>
        </w:trPr>
        <w:tc>
          <w:tcPr>
            <w:tcW w:w="96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Principal reduction from repossessed homes</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(4,326)</w:t>
            </w:r>
          </w:p>
        </w:tc>
      </w:tr>
      <w:tr>
        <w:trPr>
          <w:trHeight w:val="210"/>
        </w:trPr>
        <w:tc>
          <w:tcPr>
            <w:tcW w:w="96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activity</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(8,256)</w:t>
            </w:r>
          </w:p>
        </w:tc>
      </w:tr>
      <w:tr>
        <w:trPr>
          <w:trHeight w:val="214"/>
        </w:trPr>
        <w:tc>
          <w:tcPr>
            <w:tcW w:w="9600" w:type="dxa"/>
            <w:vAlign w:val="bottom"/>
          </w:tcPr>
          <w:p>
            <w:pPr>
              <w:ind w:left="40"/>
              <w:spacing w:after="0"/>
              <w:rPr>
                <w:sz w:val="20"/>
                <w:szCs w:val="20"/>
                <w:color w:val="auto"/>
              </w:rPr>
            </w:pPr>
            <w:r>
              <w:rPr>
                <w:rFonts w:ascii="Arial" w:cs="Arial" w:eastAsia="Arial" w:hAnsi="Arial"/>
                <w:sz w:val="15"/>
                <w:szCs w:val="15"/>
                <w:b w:val="1"/>
                <w:bCs w:val="1"/>
                <w:color w:val="auto"/>
              </w:rPr>
              <w:t>Ending balance</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105,239</w:t>
            </w:r>
          </w:p>
        </w:tc>
      </w:tr>
      <w:tr>
        <w:trPr>
          <w:trHeight w:val="20"/>
        </w:trPr>
        <w:tc>
          <w:tcPr>
            <w:tcW w:w="9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6"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9600" w:type="dxa"/>
            <w:vAlign w:val="bottom"/>
          </w:tcPr>
          <w:p>
            <w:pPr>
              <w:jc w:val="center"/>
              <w:ind w:left="1759"/>
              <w:spacing w:after="0"/>
              <w:rPr>
                <w:sz w:val="20"/>
                <w:szCs w:val="20"/>
                <w:color w:val="auto"/>
              </w:rPr>
            </w:pPr>
            <w:r>
              <w:rPr>
                <w:rFonts w:ascii="Arial" w:cs="Arial" w:eastAsia="Arial" w:hAnsi="Arial"/>
                <w:sz w:val="16"/>
                <w:szCs w:val="16"/>
                <w:b w:val="1"/>
                <w:bCs w:val="1"/>
                <w:color w:val="auto"/>
              </w:rPr>
              <w:t>SUN COMMUNITIES, INC.</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57"/>
        </w:trPr>
        <w:tc>
          <w:tcPr>
            <w:tcW w:w="9600" w:type="dxa"/>
            <w:vAlign w:val="bottom"/>
          </w:tcPr>
          <w:p>
            <w:pPr>
              <w:jc w:val="center"/>
              <w:ind w:left="1739"/>
              <w:spacing w:after="0"/>
              <w:rPr>
                <w:sz w:val="20"/>
                <w:szCs w:val="20"/>
                <w:color w:val="auto"/>
              </w:rPr>
            </w:pPr>
            <w:r>
              <w:rPr>
                <w:rFonts w:ascii="Arial" w:cs="Arial" w:eastAsia="Arial" w:hAnsi="Arial"/>
                <w:sz w:val="16"/>
                <w:szCs w:val="16"/>
                <w:b w:val="1"/>
                <w:bCs w:val="1"/>
                <w:color w:val="auto"/>
              </w:rPr>
              <w:t>NOTES TO CONSOLIDATED FINANCIAL STATEMENTS - (Continued)</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0"/>
        </w:trPr>
        <w:tc>
          <w:tcPr>
            <w:tcW w:w="9600" w:type="dxa"/>
            <w:vAlign w:val="bottom"/>
          </w:tcPr>
          <w:p>
            <w:pPr>
              <w:jc w:val="center"/>
              <w:ind w:left="1759"/>
              <w:spacing w:after="0"/>
              <w:rPr>
                <w:sz w:val="20"/>
                <w:szCs w:val="20"/>
                <w:color w:val="auto"/>
              </w:rPr>
            </w:pPr>
            <w:r>
              <w:rPr>
                <w:rFonts w:ascii="Arial" w:cs="Arial" w:eastAsia="Arial" w:hAnsi="Arial"/>
                <w:sz w:val="16"/>
                <w:szCs w:val="16"/>
                <w:b w:val="1"/>
                <w:bCs w:val="1"/>
                <w:color w:val="auto"/>
                <w:w w:val="94"/>
              </w:rPr>
              <w:t>(Unaudited)</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830"/>
        </w:trPr>
        <w:tc>
          <w:tcPr>
            <w:tcW w:w="9600" w:type="dxa"/>
            <w:vAlign w:val="bottom"/>
          </w:tcPr>
          <w:p>
            <w:pPr>
              <w:spacing w:after="0"/>
              <w:rPr>
                <w:sz w:val="20"/>
                <w:szCs w:val="20"/>
                <w:color w:val="auto"/>
              </w:rPr>
            </w:pPr>
            <w:r>
              <w:rPr>
                <w:rFonts w:ascii="Arial" w:cs="Arial" w:eastAsia="Arial" w:hAnsi="Arial"/>
                <w:sz w:val="18"/>
                <w:szCs w:val="18"/>
                <w:i w:val="1"/>
                <w:iCs w:val="1"/>
                <w:color w:val="auto"/>
              </w:rPr>
              <w:t>Allowance for Losses for Installment Notes Receivable</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9600" w:type="dxa"/>
            <w:vAlign w:val="bottom"/>
          </w:tcPr>
          <w:p>
            <w:pPr>
              <w:spacing w:after="0"/>
              <w:rPr>
                <w:sz w:val="20"/>
                <w:szCs w:val="20"/>
                <w:color w:val="auto"/>
              </w:rPr>
            </w:pPr>
            <w:r>
              <w:rPr>
                <w:rFonts w:ascii="Arial" w:cs="Arial" w:eastAsia="Arial" w:hAnsi="Arial"/>
                <w:sz w:val="18"/>
                <w:szCs w:val="18"/>
                <w:color w:val="auto"/>
              </w:rPr>
              <w:t>The following table sets forth the allowance change for the installment notes receivable as follows (in thousands):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3"/>
        </w:trPr>
        <w:tc>
          <w:tcPr>
            <w:tcW w:w="9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223"/>
              <w:spacing w:after="0"/>
              <w:rPr>
                <w:sz w:val="20"/>
                <w:szCs w:val="20"/>
                <w:color w:val="auto"/>
              </w:rPr>
            </w:pPr>
            <w:r>
              <w:rPr>
                <w:rFonts w:ascii="Arial" w:cs="Arial" w:eastAsia="Arial" w:hAnsi="Arial"/>
                <w:sz w:val="15"/>
                <w:szCs w:val="15"/>
                <w:b w:val="1"/>
                <w:bCs w:val="1"/>
                <w:color w:val="auto"/>
                <w:w w:val="99"/>
              </w:rPr>
              <w:t>Six Months Ended</w:t>
            </w:r>
          </w:p>
        </w:tc>
      </w:tr>
      <w:tr>
        <w:trPr>
          <w:trHeight w:val="328"/>
        </w:trPr>
        <w:tc>
          <w:tcPr>
            <w:tcW w:w="96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June 30, 2019</w:t>
            </w:r>
          </w:p>
        </w:tc>
      </w:tr>
      <w:tr>
        <w:trPr>
          <w:trHeight w:val="214"/>
        </w:trPr>
        <w:tc>
          <w:tcPr>
            <w:tcW w:w="9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r>
      <w:tr>
        <w:trPr>
          <w:trHeight w:val="212"/>
        </w:trPr>
        <w:tc>
          <w:tcPr>
            <w:tcW w:w="9600" w:type="dxa"/>
            <w:vAlign w:val="bottom"/>
          </w:tcPr>
          <w:p>
            <w:pPr>
              <w:ind w:left="360"/>
              <w:spacing w:after="0"/>
              <w:rPr>
                <w:sz w:val="20"/>
                <w:szCs w:val="20"/>
                <w:color w:val="auto"/>
              </w:rPr>
            </w:pPr>
            <w:r>
              <w:rPr>
                <w:rFonts w:ascii="Arial" w:cs="Arial" w:eastAsia="Arial" w:hAnsi="Arial"/>
                <w:sz w:val="15"/>
                <w:szCs w:val="15"/>
                <w:color w:val="auto"/>
              </w:rPr>
              <w:t>Lower of cost or market write-downs</w:t>
            </w:r>
          </w:p>
        </w:tc>
        <w:tc>
          <w:tcPr>
            <w:tcW w:w="200" w:type="dxa"/>
            <w:vAlign w:val="bottom"/>
          </w:tcPr>
          <w:p>
            <w:pPr>
              <w:spacing w:after="0"/>
              <w:rPr>
                <w:sz w:val="18"/>
                <w:szCs w:val="18"/>
                <w:color w:val="auto"/>
              </w:rPr>
            </w:pPr>
          </w:p>
        </w:tc>
        <w:tc>
          <w:tcPr>
            <w:tcW w:w="1620" w:type="dxa"/>
            <w:vAlign w:val="bottom"/>
          </w:tcPr>
          <w:p>
            <w:pPr>
              <w:jc w:val="right"/>
              <w:ind w:right="23"/>
              <w:spacing w:after="0"/>
              <w:rPr>
                <w:sz w:val="20"/>
                <w:szCs w:val="20"/>
                <w:color w:val="auto"/>
              </w:rPr>
            </w:pPr>
            <w:r>
              <w:rPr>
                <w:rFonts w:ascii="Arial" w:cs="Arial" w:eastAsia="Arial" w:hAnsi="Arial"/>
                <w:sz w:val="15"/>
                <w:szCs w:val="15"/>
                <w:color w:val="auto"/>
              </w:rPr>
              <w:t>101</w:t>
            </w: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Increase to reserve balance</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210"/>
        </w:trPr>
        <w:tc>
          <w:tcPr>
            <w:tcW w:w="96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activity</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w:t>
            </w:r>
          </w:p>
        </w:tc>
      </w:tr>
      <w:tr>
        <w:trPr>
          <w:trHeight w:val="21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Ending balance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(680)</w:t>
            </w:r>
          </w:p>
        </w:tc>
      </w:tr>
      <w:tr>
        <w:trPr>
          <w:trHeight w:val="20"/>
        </w:trPr>
        <w:tc>
          <w:tcPr>
            <w:tcW w:w="9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2019, other receivables were comprised of amounts due from: residents for rent, utility charges, fees and other pass through charges of $8.2 million (net of allowance of $1.5 million); home sale proceeds of $17.6 million; insurance receivables of $12.0 million and other receivables of $21.9 million. As of December 31, 2018, other receivables were comprised of amounts due from: residents for rent, utility charges, fees and other pass through charges of $7.1 million (net of allowance of $1.5 million); home sale proceeds of $16.1 million; and insurance and other receivables of $24.1 million.</w:t>
      </w:r>
    </w:p>
    <w:p>
      <w:pPr>
        <w:spacing w:after="0" w:line="15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intangible assets include in-place leases, franchise agreements and other intangible assets. These intangible assets are recorded in Other assets, net on the Consolidated Balance Sheets. In accordance with ASC 842, below market leases are now classified as a right of use asset.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1023"/>
              <w:spacing w:after="0"/>
              <w:rPr>
                <w:sz w:val="20"/>
                <w:szCs w:val="20"/>
                <w:color w:val="auto"/>
              </w:rPr>
            </w:pPr>
            <w:r>
              <w:rPr>
                <w:rFonts w:ascii="Arial" w:cs="Arial" w:eastAsia="Arial" w:hAnsi="Arial"/>
                <w:sz w:val="15"/>
                <w:szCs w:val="15"/>
                <w:b w:val="1"/>
                <w:bCs w:val="1"/>
                <w:color w:val="auto"/>
              </w:rPr>
              <w:t>June 30, 2019</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5"/>
                <w:szCs w:val="15"/>
                <w:b w:val="1"/>
                <w:bCs w:val="1"/>
                <w:color w:val="auto"/>
              </w:rPr>
              <w:t>December 31, 2018</w:t>
            </w:r>
          </w:p>
        </w:tc>
      </w:tr>
      <w:tr>
        <w:trPr>
          <w:trHeight w:val="165"/>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Gross Carrying</w:t>
            </w:r>
          </w:p>
        </w:tc>
        <w:tc>
          <w:tcPr>
            <w:tcW w:w="220" w:type="dxa"/>
            <w:vAlign w:val="bottom"/>
          </w:tcPr>
          <w:p>
            <w:pPr>
              <w:spacing w:after="0"/>
              <w:rPr>
                <w:sz w:val="14"/>
                <w:szCs w:val="14"/>
                <w:color w:val="auto"/>
              </w:rPr>
            </w:pPr>
          </w:p>
        </w:tc>
        <w:tc>
          <w:tcPr>
            <w:tcW w:w="152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4"/>
                <w:szCs w:val="14"/>
                <w:color w:val="auto"/>
              </w:rPr>
            </w:pPr>
          </w:p>
        </w:tc>
        <w:tc>
          <w:tcPr>
            <w:tcW w:w="1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Gross Carrying</w:t>
            </w:r>
          </w:p>
        </w:tc>
        <w:tc>
          <w:tcPr>
            <w:tcW w:w="200" w:type="dxa"/>
            <w:vAlign w:val="bottom"/>
          </w:tcPr>
          <w:p>
            <w:pPr>
              <w:spacing w:after="0"/>
              <w:rPr>
                <w:sz w:val="14"/>
                <w:szCs w:val="14"/>
                <w:color w:val="auto"/>
              </w:rPr>
            </w:pPr>
          </w:p>
        </w:tc>
        <w:tc>
          <w:tcPr>
            <w:tcW w:w="1260" w:type="dxa"/>
            <w:vAlign w:val="bottom"/>
          </w:tcPr>
          <w:p>
            <w:pPr>
              <w:jc w:val="right"/>
              <w:ind w:right="223"/>
              <w:spacing w:after="0" w:line="165" w:lineRule="exact"/>
              <w:rPr>
                <w:sz w:val="20"/>
                <w:szCs w:val="20"/>
                <w:color w:val="auto"/>
              </w:rPr>
            </w:pPr>
            <w:r>
              <w:rPr>
                <w:rFonts w:ascii="Arial" w:cs="Arial" w:eastAsia="Arial" w:hAnsi="Arial"/>
                <w:sz w:val="15"/>
                <w:szCs w:val="15"/>
                <w:b w:val="1"/>
                <w:bCs w:val="1"/>
                <w:color w:val="auto"/>
                <w:w w:val="99"/>
              </w:rPr>
              <w:t>Accumulated</w:t>
            </w:r>
          </w:p>
        </w:tc>
      </w:tr>
      <w:tr>
        <w:trPr>
          <w:trHeight w:val="20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Intangible asset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Useful Life</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Amortization</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Amortization</w:t>
            </w:r>
          </w:p>
        </w:tc>
      </w:tr>
      <w:tr>
        <w:trPr>
          <w:trHeight w:val="254"/>
        </w:trPr>
        <w:tc>
          <w:tcPr>
            <w:tcW w:w="3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In-place leases</w:t>
            </w: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89"/>
              </w:rPr>
              <w:t>7 years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118,022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(66,540)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103,547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(59,068)</w:t>
            </w:r>
          </w:p>
        </w:tc>
      </w:tr>
      <w:tr>
        <w:trPr>
          <w:trHeight w:val="266"/>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Franchise agreements and other intangible assets</w:t>
            </w:r>
          </w:p>
        </w:tc>
        <w:tc>
          <w:tcPr>
            <w:tcW w:w="114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5"/>
                <w:szCs w:val="15"/>
                <w:color w:val="auto"/>
                <w:w w:val="90"/>
              </w:rPr>
              <w:t>7-20 years</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16,944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(2,351)</w:t>
            </w:r>
          </w:p>
        </w:tc>
        <w:tc>
          <w:tcPr>
            <w:tcW w:w="2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16,641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(1,942)</w:t>
            </w:r>
          </w:p>
        </w:tc>
      </w:tr>
      <w:tr>
        <w:trPr>
          <w:trHeight w:val="241"/>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134,966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(68,891)</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120,188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(61,010)</w:t>
            </w:r>
          </w:p>
        </w:tc>
      </w:tr>
      <w:tr>
        <w:trPr>
          <w:trHeight w:val="20"/>
        </w:trPr>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expenses related to the intangible assets are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5040" w:type="dxa"/>
            <w:vAlign w:val="bottom"/>
          </w:tcPr>
          <w:p>
            <w:pPr>
              <w:ind w:left="40"/>
              <w:spacing w:after="0"/>
              <w:rPr>
                <w:sz w:val="20"/>
                <w:szCs w:val="20"/>
                <w:color w:val="auto"/>
              </w:rPr>
            </w:pPr>
            <w:r>
              <w:rPr>
                <w:rFonts w:ascii="Arial" w:cs="Arial" w:eastAsia="Arial" w:hAnsi="Arial"/>
                <w:sz w:val="15"/>
                <w:szCs w:val="15"/>
                <w:b w:val="1"/>
                <w:bCs w:val="1"/>
                <w:color w:val="auto"/>
              </w:rPr>
              <w:t>Intangible asset amortization expense</w:t>
            </w:r>
          </w:p>
        </w:tc>
        <w:tc>
          <w:tcPr>
            <w:tcW w:w="20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2019</w:t>
            </w:r>
          </w:p>
        </w:tc>
        <w:tc>
          <w:tcPr>
            <w:tcW w:w="220" w:type="dxa"/>
            <w:vAlign w:val="bottom"/>
          </w:tcPr>
          <w:p>
            <w:pPr>
              <w:spacing w:after="0"/>
              <w:rPr>
                <w:sz w:val="22"/>
                <w:szCs w:val="22"/>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2018</w:t>
            </w:r>
          </w:p>
        </w:tc>
        <w:tc>
          <w:tcPr>
            <w:tcW w:w="18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2019</w:t>
            </w:r>
          </w:p>
        </w:tc>
        <w:tc>
          <w:tcPr>
            <w:tcW w:w="200" w:type="dxa"/>
            <w:vAlign w:val="bottom"/>
          </w:tcPr>
          <w:p>
            <w:pPr>
              <w:spacing w:after="0"/>
              <w:rPr>
                <w:sz w:val="22"/>
                <w:szCs w:val="22"/>
                <w:color w:val="auto"/>
              </w:rPr>
            </w:pPr>
          </w:p>
        </w:tc>
        <w:tc>
          <w:tcPr>
            <w:tcW w:w="1260" w:type="dxa"/>
            <w:vAlign w:val="bottom"/>
          </w:tcPr>
          <w:p>
            <w:pPr>
              <w:jc w:val="right"/>
              <w:ind w:right="203"/>
              <w:spacing w:after="0"/>
              <w:rPr>
                <w:sz w:val="20"/>
                <w:szCs w:val="20"/>
                <w:color w:val="auto"/>
              </w:rPr>
            </w:pPr>
            <w:r>
              <w:rPr>
                <w:rFonts w:ascii="Arial" w:cs="Arial" w:eastAsia="Arial" w:hAnsi="Arial"/>
                <w:sz w:val="15"/>
                <w:szCs w:val="15"/>
                <w:b w:val="1"/>
                <w:bCs w:val="1"/>
                <w:color w:val="auto"/>
                <w:w w:val="98"/>
              </w:rPr>
              <w:t>June 30, 2018</w:t>
            </w:r>
          </w:p>
        </w:tc>
      </w:tr>
      <w:tr>
        <w:trPr>
          <w:trHeight w:val="254"/>
        </w:trPr>
        <w:tc>
          <w:tcPr>
            <w:tcW w:w="5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In-place leases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3,800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3,345</w:t>
            </w:r>
          </w:p>
        </w:tc>
        <w:tc>
          <w:tcPr>
            <w:tcW w:w="2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7,472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6,690</w:t>
            </w:r>
          </w:p>
        </w:tc>
      </w:tr>
      <w:tr>
        <w:trPr>
          <w:trHeight w:val="266"/>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Franchise agreements and other intangible assets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409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w:t>
            </w:r>
          </w:p>
        </w:tc>
      </w:tr>
      <w:tr>
        <w:trPr>
          <w:trHeight w:val="241"/>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3,364</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7,881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6,728</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our intangible assets to be as follows for the next five years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Year</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4"/>
        </w:trPr>
        <w:tc>
          <w:tcPr>
            <w:tcW w:w="2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5"/>
                <w:szCs w:val="15"/>
                <w:b w:val="1"/>
                <w:bCs w:val="1"/>
                <w:color w:val="auto"/>
              </w:rPr>
              <w:t>Remainder of 2019</w:t>
            </w:r>
          </w:p>
        </w:tc>
        <w:tc>
          <w:tcPr>
            <w:tcW w:w="400" w:type="dxa"/>
            <w:vAlign w:val="bottom"/>
          </w:tcPr>
          <w:p>
            <w:pPr>
              <w:spacing w:after="0"/>
              <w:rPr>
                <w:sz w:val="22"/>
                <w:szCs w:val="22"/>
                <w:color w:val="auto"/>
              </w:rPr>
            </w:pPr>
          </w:p>
        </w:tc>
        <w:tc>
          <w:tcPr>
            <w:tcW w:w="1340" w:type="dxa"/>
            <w:vAlign w:val="bottom"/>
          </w:tcPr>
          <w:p>
            <w:pPr>
              <w:jc w:val="right"/>
              <w:ind w:right="643"/>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623"/>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603"/>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623"/>
              <w:spacing w:after="0"/>
              <w:rPr>
                <w:sz w:val="20"/>
                <w:szCs w:val="20"/>
                <w:color w:val="auto"/>
              </w:rPr>
            </w:pPr>
            <w:r>
              <w:rPr>
                <w:rFonts w:ascii="Arial" w:cs="Arial" w:eastAsia="Arial" w:hAnsi="Arial"/>
                <w:sz w:val="15"/>
                <w:szCs w:val="15"/>
                <w:b w:val="1"/>
                <w:bCs w:val="1"/>
                <w:color w:val="auto"/>
              </w:rPr>
              <w:t>2023</w:t>
            </w:r>
          </w:p>
        </w:tc>
      </w:tr>
      <w:tr>
        <w:trPr>
          <w:trHeight w:val="254"/>
        </w:trPr>
        <w:tc>
          <w:tcPr>
            <w:tcW w:w="2420" w:type="dxa"/>
            <w:vAlign w:val="bottom"/>
            <w:tcBorders>
              <w:top w:val="single" w:sz="8" w:color="D2F0FF"/>
            </w:tcBorders>
            <w:shd w:val="clear" w:color="auto" w:fill="D2F0FF"/>
          </w:tcPr>
          <w:p>
            <w:pPr>
              <w:ind w:left="40"/>
              <w:spacing w:after="0"/>
              <w:rPr>
                <w:sz w:val="20"/>
                <w:szCs w:val="20"/>
                <w:color w:val="auto"/>
              </w:rPr>
            </w:pPr>
            <w:r>
              <w:rPr>
                <w:rFonts w:ascii="Arial" w:cs="Arial" w:eastAsia="Arial" w:hAnsi="Arial"/>
                <w:sz w:val="15"/>
                <w:szCs w:val="15"/>
                <w:color w:val="auto"/>
              </w:rPr>
              <w:t>Estimated expense</w:t>
            </w:r>
          </w:p>
        </w:tc>
        <w:tc>
          <w:tcPr>
            <w:tcW w:w="16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7,830</w:t>
            </w:r>
          </w:p>
        </w:tc>
        <w:tc>
          <w:tcPr>
            <w:tcW w:w="120" w:type="dxa"/>
            <w:vAlign w:val="bottom"/>
            <w:tcBorders>
              <w:top w:val="single" w:sz="8" w:color="D2F0FF"/>
            </w:tcBorders>
            <w:shd w:val="clear" w:color="auto" w:fill="D2F0FF"/>
          </w:tcPr>
          <w:p>
            <w:pPr>
              <w:spacing w:after="0"/>
              <w:rPr>
                <w:sz w:val="22"/>
                <w:szCs w:val="22"/>
                <w:color w:val="auto"/>
              </w:rPr>
            </w:pPr>
          </w:p>
        </w:tc>
        <w:tc>
          <w:tcPr>
            <w:tcW w:w="400" w:type="dxa"/>
            <w:vAlign w:val="bottom"/>
            <w:tcBorders>
              <w:top w:val="single" w:sz="8" w:color="auto"/>
            </w:tcBorders>
            <w:shd w:val="clear" w:color="auto" w:fill="D2F0FF"/>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D2F0FF"/>
          </w:tcPr>
          <w:p>
            <w:pPr>
              <w:jc w:val="right"/>
              <w:ind w:right="63"/>
              <w:spacing w:after="0"/>
              <w:rPr>
                <w:sz w:val="20"/>
                <w:szCs w:val="20"/>
                <w:color w:val="auto"/>
              </w:rPr>
            </w:pPr>
            <w:r>
              <w:rPr>
                <w:rFonts w:ascii="Arial" w:cs="Arial" w:eastAsia="Arial" w:hAnsi="Arial"/>
                <w:sz w:val="15"/>
                <w:szCs w:val="15"/>
                <w:color w:val="auto"/>
              </w:rPr>
              <w:t>14,144</w:t>
            </w:r>
          </w:p>
        </w:tc>
        <w:tc>
          <w:tcPr>
            <w:tcW w:w="120" w:type="dxa"/>
            <w:vAlign w:val="bottom"/>
            <w:tcBorders>
              <w:top w:val="single" w:sz="8" w:color="D2F0FF"/>
            </w:tcBorders>
            <w:shd w:val="clear" w:color="auto" w:fill="D2F0FF"/>
          </w:tcPr>
          <w:p>
            <w:pPr>
              <w:spacing w:after="0"/>
              <w:rPr>
                <w:sz w:val="22"/>
                <w:szCs w:val="22"/>
                <w:color w:val="auto"/>
              </w:rPr>
            </w:pPr>
          </w:p>
        </w:tc>
        <w:tc>
          <w:tcPr>
            <w:tcW w:w="380" w:type="dxa"/>
            <w:vAlign w:val="bottom"/>
            <w:tcBorders>
              <w:top w:val="single" w:sz="8" w:color="auto"/>
            </w:tcBorders>
            <w:shd w:val="clear" w:color="auto" w:fill="D2F0FF"/>
          </w:tcPr>
          <w:p>
            <w:pPr>
              <w:jc w:val="right"/>
              <w:ind w:right="20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13,752</w:t>
            </w:r>
          </w:p>
        </w:tc>
        <w:tc>
          <w:tcPr>
            <w:tcW w:w="120" w:type="dxa"/>
            <w:vAlign w:val="bottom"/>
            <w:tcBorders>
              <w:top w:val="single" w:sz="8" w:color="D2F0FF"/>
            </w:tcBorders>
            <w:shd w:val="clear" w:color="auto" w:fill="D2F0FF"/>
          </w:tcPr>
          <w:p>
            <w:pPr>
              <w:spacing w:after="0"/>
              <w:rPr>
                <w:sz w:val="22"/>
                <w:szCs w:val="22"/>
                <w:color w:val="auto"/>
              </w:rPr>
            </w:pPr>
          </w:p>
        </w:tc>
        <w:tc>
          <w:tcPr>
            <w:tcW w:w="400" w:type="dxa"/>
            <w:vAlign w:val="bottom"/>
            <w:tcBorders>
              <w:top w:val="single" w:sz="8" w:color="auto"/>
            </w:tcBorders>
            <w:shd w:val="clear" w:color="auto" w:fill="D2F0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9,151</w:t>
            </w:r>
          </w:p>
        </w:tc>
        <w:tc>
          <w:tcPr>
            <w:tcW w:w="120" w:type="dxa"/>
            <w:vAlign w:val="bottom"/>
            <w:tcBorders>
              <w:top w:val="single" w:sz="8" w:color="D2F0FF"/>
            </w:tcBorders>
            <w:shd w:val="clear" w:color="auto" w:fill="D2F0FF"/>
          </w:tcPr>
          <w:p>
            <w:pPr>
              <w:spacing w:after="0"/>
              <w:rPr>
                <w:sz w:val="22"/>
                <w:szCs w:val="22"/>
                <w:color w:val="auto"/>
              </w:rPr>
            </w:pPr>
          </w:p>
        </w:tc>
        <w:tc>
          <w:tcPr>
            <w:tcW w:w="380" w:type="dxa"/>
            <w:vAlign w:val="bottom"/>
            <w:tcBorders>
              <w:top w:val="single" w:sz="8" w:color="auto"/>
            </w:tcBorders>
            <w:shd w:val="clear" w:color="auto" w:fill="D2F0FF"/>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5,776</w:t>
            </w: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6"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Affiliates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Investments in joint ventures that are not consolidated, nor recorded at cost, are accounted for using the equity method of accounting as prescribed in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nonconsolidated affiliates are recorded within Other assets, net on the Consolidated Balance Sheets. Equity income and loss are recorded in the Income / (loss) from nonconsolidated affiliates on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the Company had a 50 percent ownership interest in RezPlot, a software technology company, acquired in January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JV</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June 30, 2019 and December 31, 2018, the Company had a 50 percent interest in Sungenia JV, a joint venture (“JV”) formed between the Company and Ingenia Communities Group in November 2018, to establish and grow a manufactured housing community development program in Australia.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2019 and December 31, 2018, the Company had a 40 percent ownership interest in GTSC, which engages in acquiring, holding and selling loans secured, directly or indirectly, by manufactured homes located in communities of Sun Communities.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 LLC”)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2019 and December 31, 2018, the Company had a 22.9 percent ownership interest in OFS LLC, an end-to-end online resident screening and document management suite.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June 30, 2019</w:t>
            </w: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6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in RezPlot</w:t>
            </w:r>
          </w:p>
        </w:tc>
        <w:tc>
          <w:tcPr>
            <w:tcW w:w="1860" w:type="dxa"/>
            <w:vAlign w:val="bottom"/>
            <w:shd w:val="clear" w:color="auto" w:fill="CCEEFF"/>
          </w:tcPr>
          <w:p>
            <w:pPr>
              <w:jc w:val="right"/>
              <w:ind w:right="1663"/>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2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6400" w:type="dxa"/>
            <w:vAlign w:val="bottom"/>
          </w:tcPr>
          <w:p>
            <w:pPr>
              <w:ind w:left="40"/>
              <w:spacing w:after="0"/>
              <w:rPr>
                <w:sz w:val="20"/>
                <w:szCs w:val="20"/>
                <w:color w:val="auto"/>
              </w:rPr>
            </w:pPr>
            <w:r>
              <w:rPr>
                <w:rFonts w:ascii="Arial" w:cs="Arial" w:eastAsia="Arial" w:hAnsi="Arial"/>
                <w:sz w:val="15"/>
                <w:szCs w:val="15"/>
                <w:color w:val="auto"/>
              </w:rPr>
              <w:t>Investment in Sungenia JV</w:t>
            </w:r>
          </w:p>
        </w:tc>
        <w:tc>
          <w:tcPr>
            <w:tcW w:w="186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10.3</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tcPr>
          <w:p>
            <w:pPr>
              <w:jc w:val="right"/>
              <w:ind w:right="23"/>
              <w:spacing w:after="0"/>
              <w:rPr>
                <w:sz w:val="20"/>
                <w:szCs w:val="20"/>
                <w:color w:val="auto"/>
              </w:rPr>
            </w:pPr>
            <w:r>
              <w:rPr>
                <w:rFonts w:ascii="Arial" w:cs="Arial" w:eastAsia="Arial" w:hAnsi="Arial"/>
                <w:sz w:val="15"/>
                <w:szCs w:val="15"/>
                <w:color w:val="auto"/>
              </w:rPr>
              <w:t>0.7</w:t>
            </w: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in GTSC</w:t>
            </w:r>
          </w:p>
        </w:tc>
        <w:tc>
          <w:tcPr>
            <w:tcW w:w="18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48.1</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29.8</w:t>
            </w:r>
          </w:p>
        </w:tc>
      </w:tr>
      <w:tr>
        <w:trPr>
          <w:trHeight w:val="266"/>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Investment in OFS LLC</w:t>
            </w:r>
          </w:p>
        </w:tc>
        <w:tc>
          <w:tcPr>
            <w:tcW w:w="18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0.2</w:t>
            </w:r>
          </w:p>
        </w:tc>
        <w:tc>
          <w:tcPr>
            <w:tcW w:w="2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0.1</w:t>
            </w:r>
          </w:p>
        </w:tc>
      </w:tr>
      <w:tr>
        <w:trPr>
          <w:trHeight w:val="241"/>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Total</w:t>
            </w:r>
          </w:p>
        </w:tc>
        <w:tc>
          <w:tcPr>
            <w:tcW w:w="1860" w:type="dxa"/>
            <w:vAlign w:val="bottom"/>
            <w:tcBorders>
              <w:bottom w:val="single" w:sz="8" w:color="auto"/>
            </w:tcBorders>
            <w:shd w:val="clear" w:color="auto" w:fill="CCEEFF"/>
          </w:tcPr>
          <w:p>
            <w:pPr>
              <w:jc w:val="right"/>
              <w:ind w:right="1663"/>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63.7</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2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30.6</w:t>
            </w:r>
          </w:p>
        </w:tc>
      </w:tr>
      <w:tr>
        <w:trPr>
          <w:trHeight w:val="20"/>
        </w:trPr>
        <w:tc>
          <w:tcPr>
            <w:tcW w:w="6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Equity Income / (loss) from each nonconsolidated affiliate is as follows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94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4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2018</w:t>
            </w: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June 30,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June 30, 2018</w:t>
            </w:r>
          </w:p>
        </w:tc>
      </w:tr>
      <w:tr>
        <w:trPr>
          <w:trHeight w:val="254"/>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RezPlot equity loss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03"/>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4580" w:type="dxa"/>
            <w:vAlign w:val="bottom"/>
          </w:tcPr>
          <w:p>
            <w:pPr>
              <w:ind w:left="40"/>
              <w:spacing w:after="0"/>
              <w:rPr>
                <w:sz w:val="20"/>
                <w:szCs w:val="20"/>
                <w:color w:val="auto"/>
              </w:rPr>
            </w:pPr>
            <w:r>
              <w:rPr>
                <w:rFonts w:ascii="Arial" w:cs="Arial" w:eastAsia="Arial" w:hAnsi="Arial"/>
                <w:sz w:val="15"/>
                <w:szCs w:val="15"/>
                <w:color w:val="auto"/>
              </w:rPr>
              <w:t>Sungenia JV equity loss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GTSC equity income / (loss)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604</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66"/>
        </w:trPr>
        <w:tc>
          <w:tcPr>
            <w:tcW w:w="4580" w:type="dxa"/>
            <w:vAlign w:val="bottom"/>
          </w:tcPr>
          <w:p>
            <w:pPr>
              <w:ind w:left="40"/>
              <w:spacing w:after="0"/>
              <w:rPr>
                <w:sz w:val="20"/>
                <w:szCs w:val="20"/>
                <w:color w:val="auto"/>
              </w:rPr>
            </w:pPr>
            <w:r>
              <w:rPr>
                <w:rFonts w:ascii="Arial" w:cs="Arial" w:eastAsia="Arial" w:hAnsi="Arial"/>
                <w:sz w:val="15"/>
                <w:szCs w:val="15"/>
                <w:color w:val="auto"/>
              </w:rPr>
              <w:t>OFS LLC equity income</w:t>
            </w:r>
          </w:p>
        </w:tc>
        <w:tc>
          <w:tcPr>
            <w:tcW w:w="24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41"/>
        </w:trPr>
        <w:tc>
          <w:tcPr>
            <w:tcW w:w="45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Total equity income / (loss)</w:t>
            </w: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03"/>
              <w:spacing w:after="0"/>
              <w:rPr>
                <w:sz w:val="20"/>
                <w:szCs w:val="20"/>
                <w:color w:val="auto"/>
              </w:rPr>
            </w:pPr>
            <w:r>
              <w:rPr>
                <w:rFonts w:ascii="Arial" w:cs="Arial" w:eastAsia="Arial" w:hAnsi="Arial"/>
                <w:sz w:val="15"/>
                <w:szCs w:val="15"/>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We consolidate the Operating Partnership under the guidance set forth in FASB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ASU 2015-02 modified the evaluation of whether limited partnerships and similar legal entities are VIEs or voting interest entities. We evaluated the application of ASU 2015-02 and concluded that the Operating Partnership now meets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6"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 NG RV Resorts LLC (“Sun NG Resorts”)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consolidate Sun NG Resorts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We concluded that Sun NG Resorts is a VIE where we are the primary beneficiary, as we have the power to direct the significant activities, absorb the significant losses and receive the significant benefits from the entity. Refer to Note 3, “Real Estate Acquisitions,” Note 9, “Debt and Lines of Credit,” and Note 10, “Equity and Temporary Equity”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Rudgate Village SPE, LLC; Rudgate Clinton SPE, LLC; and Rudgate Clinton Estates SPE, LLC (collectively, “Rudgate”)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consolidate Rudgate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We evaluated our arrangement with this property and concluded that Rudgate qualified as a VIE where we are the primary beneficiary, as we have power to direct the significant activities, absorb the significant losses and receive the significant benefits from the entity.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and liabilities included in our Consolidated Balance Sheets after eliminations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2019</w:t>
            </w:r>
          </w:p>
        </w:tc>
        <w:tc>
          <w:tcPr>
            <w:tcW w:w="180" w:type="dxa"/>
            <w:vAlign w:val="bottom"/>
          </w:tcPr>
          <w:p>
            <w:pPr>
              <w:spacing w:after="0"/>
              <w:rPr>
                <w:sz w:val="17"/>
                <w:szCs w:val="17"/>
                <w:color w:val="auto"/>
              </w:rPr>
            </w:pPr>
          </w:p>
        </w:tc>
        <w:tc>
          <w:tcPr>
            <w:tcW w:w="1620" w:type="dxa"/>
            <w:vAlign w:val="bottom"/>
          </w:tcPr>
          <w:p>
            <w:pPr>
              <w:jc w:val="right"/>
              <w:ind w:right="203"/>
              <w:spacing w:after="0"/>
              <w:rPr>
                <w:sz w:val="20"/>
                <w:szCs w:val="20"/>
                <w:color w:val="auto"/>
              </w:rPr>
            </w:pPr>
            <w:r>
              <w:rPr>
                <w:rFonts w:ascii="Arial" w:cs="Arial" w:eastAsia="Arial" w:hAnsi="Arial"/>
                <w:sz w:val="15"/>
                <w:szCs w:val="15"/>
                <w:b w:val="1"/>
                <w:bCs w:val="1"/>
                <w:color w:val="auto"/>
                <w:w w:val="97"/>
              </w:rPr>
              <w:t>December 31, 2018</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32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property, net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324,931</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308,171</w:t>
            </w:r>
          </w:p>
        </w:tc>
      </w:tr>
      <w:tr>
        <w:trPr>
          <w:trHeight w:val="26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assets, net</w:t>
            </w: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23,167</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19,809</w:t>
            </w:r>
          </w:p>
        </w:tc>
      </w:tr>
      <w:tr>
        <w:trPr>
          <w:trHeight w:val="241"/>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348,098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327,980</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Other Equity</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Debt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43,661</w:t>
            </w:r>
          </w:p>
        </w:tc>
        <w:tc>
          <w:tcPr>
            <w:tcW w:w="22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23"/>
              <w:spacing w:after="0"/>
              <w:rPr>
                <w:sz w:val="20"/>
                <w:szCs w:val="20"/>
                <w:color w:val="auto"/>
              </w:rPr>
            </w:pPr>
            <w:r>
              <w:rPr>
                <w:rFonts w:ascii="Arial" w:cs="Arial" w:eastAsia="Arial" w:hAnsi="Arial"/>
                <w:sz w:val="15"/>
                <w:szCs w:val="15"/>
                <w:color w:val="auto"/>
              </w:rPr>
              <w:t>44,172</w:t>
            </w: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Equity - Sun NG Resorts - mandatorily redeemable</w:t>
            </w: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35,249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35,277</w:t>
            </w:r>
          </w:p>
        </w:tc>
      </w:tr>
      <w:tr>
        <w:trPr>
          <w:trHeight w:val="26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liabilities</w:t>
            </w: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32,461</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6,914</w:t>
            </w:r>
          </w:p>
        </w:tc>
      </w:tr>
      <w:tr>
        <w:trPr>
          <w:trHeight w:val="254"/>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111,371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86,363</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Equity Interests - NG Sun LLC</w:t>
            </w:r>
          </w:p>
        </w:tc>
        <w:tc>
          <w:tcPr>
            <w:tcW w:w="32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22,099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3"/>
              <w:spacing w:after="0"/>
              <w:rPr>
                <w:sz w:val="20"/>
                <w:szCs w:val="20"/>
                <w:color w:val="auto"/>
              </w:rPr>
            </w:pPr>
            <w:r>
              <w:rPr>
                <w:rFonts w:ascii="Arial" w:cs="Arial" w:eastAsia="Arial" w:hAnsi="Arial"/>
                <w:sz w:val="15"/>
                <w:szCs w:val="15"/>
                <w:color w:val="auto"/>
              </w:rPr>
              <w:t>21,976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Noncontrolling interests</w:t>
            </w:r>
          </w:p>
        </w:tc>
        <w:tc>
          <w:tcPr>
            <w:tcW w:w="3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7,209</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7,145</w:t>
            </w:r>
          </w:p>
        </w:tc>
      </w:tr>
      <w:tr>
        <w:trPr>
          <w:trHeight w:val="241"/>
        </w:trPr>
        <w:tc>
          <w:tcPr>
            <w:tcW w:w="7440" w:type="dxa"/>
            <w:vAlign w:val="bottom"/>
          </w:tcPr>
          <w:p>
            <w:pPr>
              <w:ind w:left="140"/>
              <w:spacing w:after="0"/>
              <w:rPr>
                <w:sz w:val="20"/>
                <w:szCs w:val="20"/>
                <w:color w:val="auto"/>
              </w:rPr>
            </w:pPr>
            <w:r>
              <w:rPr>
                <w:rFonts w:ascii="Arial" w:cs="Arial" w:eastAsia="Arial" w:hAnsi="Arial"/>
                <w:sz w:val="15"/>
                <w:szCs w:val="15"/>
                <w:b w:val="1"/>
                <w:bCs w:val="1"/>
                <w:color w:val="auto"/>
              </w:rPr>
              <w:t>Total Liabilities and Other Equity</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140,679</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115,484</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property, net and other assets, net related to the consolidated VIEs comprised approximately 4.8 percent and 4.9 percent of our consolidated total assets at June 30, 2019 and December 31, 2018, respectively. Debt, Preferred Equity and other liabilities comprised approximately 3.1 percent and 2.6 percent of our consolidated total liabilities at June 30, 2019 and December 31, 2018, respectively. Equity Interests and Noncontrolling interests related to the consolidated VIEs, on an absolute basis, comprised less than 1.0 percent of our consolidated total equity at June 30, 2019 and at December 31, 2018, respectively.</w:t>
      </w:r>
    </w:p>
    <w:p>
      <w:pPr>
        <w:spacing w:after="0" w:line="184"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Lines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4"/>
          </w:tcPr>
          <w:p>
            <w:pPr>
              <w:ind w:left="480"/>
              <w:spacing w:after="0"/>
              <w:rPr>
                <w:sz w:val="20"/>
                <w:szCs w:val="20"/>
                <w:color w:val="auto"/>
              </w:rPr>
            </w:pPr>
            <w:r>
              <w:rPr>
                <w:rFonts w:ascii="Arial" w:cs="Arial" w:eastAsia="Arial" w:hAnsi="Arial"/>
                <w:sz w:val="15"/>
                <w:szCs w:val="15"/>
                <w:b w:val="1"/>
                <w:bCs w:val="1"/>
                <w:color w:val="auto"/>
              </w:rPr>
              <w:t>Weighted Average</w:t>
            </w:r>
          </w:p>
        </w:tc>
        <w:tc>
          <w:tcPr>
            <w:tcW w:w="2260" w:type="dxa"/>
            <w:vAlign w:val="bottom"/>
            <w:gridSpan w:val="3"/>
          </w:tcPr>
          <w:p>
            <w:pPr>
              <w:jc w:val="right"/>
              <w:ind w:right="443"/>
              <w:spacing w:after="0"/>
              <w:rPr>
                <w:sz w:val="20"/>
                <w:szCs w:val="20"/>
                <w:color w:val="auto"/>
              </w:rPr>
            </w:pPr>
            <w:r>
              <w:rPr>
                <w:rFonts w:ascii="Arial" w:cs="Arial" w:eastAsia="Arial" w:hAnsi="Arial"/>
                <w:sz w:val="15"/>
                <w:szCs w:val="15"/>
                <w:b w:val="1"/>
                <w:bCs w:val="1"/>
                <w:color w:val="auto"/>
              </w:rPr>
              <w:t>Weighted Average</w:t>
            </w:r>
          </w:p>
        </w:tc>
      </w:tr>
      <w:tr>
        <w:trPr>
          <w:trHeight w:val="202"/>
        </w:trPr>
        <w:tc>
          <w:tcPr>
            <w:tcW w:w="4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5"/>
                <w:szCs w:val="15"/>
                <w:b w:val="1"/>
                <w:bCs w:val="1"/>
                <w:color w:val="auto"/>
              </w:rPr>
              <w:t>Carrying Amount</w:t>
            </w:r>
          </w:p>
        </w:tc>
        <w:tc>
          <w:tcPr>
            <w:tcW w:w="10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5"/>
                <w:szCs w:val="15"/>
                <w:b w:val="1"/>
                <w:bCs w:val="1"/>
                <w:color w:val="auto"/>
              </w:rPr>
              <w:t>Years to Maturity</w:t>
            </w:r>
          </w:p>
        </w:tc>
        <w:tc>
          <w:tcPr>
            <w:tcW w:w="100" w:type="dxa"/>
            <w:vAlign w:val="bottom"/>
          </w:tcPr>
          <w:p>
            <w:pPr>
              <w:spacing w:after="0"/>
              <w:rPr>
                <w:sz w:val="17"/>
                <w:szCs w:val="17"/>
                <w:color w:val="auto"/>
              </w:rPr>
            </w:pPr>
          </w:p>
        </w:tc>
        <w:tc>
          <w:tcPr>
            <w:tcW w:w="226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5"/>
                <w:szCs w:val="15"/>
                <w:b w:val="1"/>
                <w:bCs w:val="1"/>
                <w:color w:val="auto"/>
              </w:rPr>
              <w:t>Interest Rates</w:t>
            </w:r>
          </w:p>
        </w:tc>
      </w:tr>
      <w:tr>
        <w:trPr>
          <w:trHeight w:val="169"/>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3"/>
              <w:spacing w:after="0" w:line="169" w:lineRule="exact"/>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14"/>
                <w:szCs w:val="14"/>
                <w:color w:val="auto"/>
              </w:rPr>
            </w:pPr>
          </w:p>
        </w:tc>
        <w:tc>
          <w:tcPr>
            <w:tcW w:w="1020" w:type="dxa"/>
            <w:vAlign w:val="bottom"/>
            <w:gridSpan w:val="2"/>
          </w:tcPr>
          <w:p>
            <w:pPr>
              <w:ind w:left="180"/>
              <w:spacing w:after="0" w:line="169" w:lineRule="exact"/>
              <w:rPr>
                <w:sz w:val="20"/>
                <w:szCs w:val="20"/>
                <w:color w:val="auto"/>
              </w:rPr>
            </w:pPr>
            <w:r>
              <w:rPr>
                <w:rFonts w:ascii="Arial" w:cs="Arial" w:eastAsia="Arial" w:hAnsi="Arial"/>
                <w:sz w:val="15"/>
                <w:szCs w:val="15"/>
                <w:b w:val="1"/>
                <w:bCs w:val="1"/>
                <w:color w:val="auto"/>
              </w:rPr>
              <w:t>June 30,</w:t>
            </w:r>
          </w:p>
        </w:tc>
        <w:tc>
          <w:tcPr>
            <w:tcW w:w="124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December 31,</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63"/>
              <w:spacing w:after="0" w:line="169" w:lineRule="exact"/>
              <w:rPr>
                <w:sz w:val="20"/>
                <w:szCs w:val="20"/>
                <w:color w:val="auto"/>
              </w:rPr>
            </w:pPr>
            <w:r>
              <w:rPr>
                <w:rFonts w:ascii="Arial" w:cs="Arial" w:eastAsia="Arial" w:hAnsi="Arial"/>
                <w:sz w:val="15"/>
                <w:szCs w:val="15"/>
                <w:b w:val="1"/>
                <w:bCs w:val="1"/>
                <w:color w:val="auto"/>
              </w:rPr>
              <w:t>December 31,</w:t>
            </w:r>
          </w:p>
        </w:tc>
      </w:tr>
      <w:tr>
        <w:trPr>
          <w:trHeight w:val="202"/>
        </w:trPr>
        <w:tc>
          <w:tcPr>
            <w:tcW w:w="45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4"/>
              </w:rPr>
              <w:t>June 30, 2019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June 30, 2019</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r>
      <w:tr>
        <w:trPr>
          <w:trHeight w:val="254"/>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Collateralized term loans - Life Companies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1,323,482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1,259,158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266"/>
        </w:trPr>
        <w:tc>
          <w:tcPr>
            <w:tcW w:w="4560" w:type="dxa"/>
            <w:vAlign w:val="bottom"/>
          </w:tcPr>
          <w:p>
            <w:pPr>
              <w:ind w:left="40"/>
              <w:spacing w:after="0"/>
              <w:rPr>
                <w:sz w:val="20"/>
                <w:szCs w:val="20"/>
                <w:color w:val="auto"/>
              </w:rPr>
            </w:pPr>
            <w:r>
              <w:rPr>
                <w:rFonts w:ascii="Arial" w:cs="Arial" w:eastAsia="Arial" w:hAnsi="Arial"/>
                <w:sz w:val="15"/>
                <w:szCs w:val="15"/>
                <w:color w:val="auto"/>
              </w:rPr>
              <w:t>Collateralized term loans - FNMA</w:t>
            </w: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760,315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770,417</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74"/>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Collateralized term loans - CMBS</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401,977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405,702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r>
      <w:tr>
        <w:trPr>
          <w:trHeight w:val="266"/>
        </w:trPr>
        <w:tc>
          <w:tcPr>
            <w:tcW w:w="4560" w:type="dxa"/>
            <w:vAlign w:val="bottom"/>
          </w:tcPr>
          <w:p>
            <w:pPr>
              <w:ind w:left="40"/>
              <w:spacing w:after="0"/>
              <w:rPr>
                <w:sz w:val="20"/>
                <w:szCs w:val="20"/>
                <w:color w:val="auto"/>
              </w:rPr>
            </w:pPr>
            <w:r>
              <w:rPr>
                <w:rFonts w:ascii="Arial" w:cs="Arial" w:eastAsia="Arial" w:hAnsi="Arial"/>
                <w:sz w:val="15"/>
                <w:szCs w:val="15"/>
                <w:color w:val="auto"/>
              </w:rPr>
              <w:t>Collateralized term loans - FMCC</w:t>
            </w: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377,711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380,680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74"/>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Secured borrowings</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98,299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107,731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r>
      <w:tr>
        <w:trPr>
          <w:trHeight w:val="266"/>
        </w:trPr>
        <w:tc>
          <w:tcPr>
            <w:tcW w:w="4560" w:type="dxa"/>
            <w:vAlign w:val="bottom"/>
          </w:tcPr>
          <w:p>
            <w:pPr>
              <w:ind w:left="40"/>
              <w:spacing w:after="0"/>
              <w:rPr>
                <w:sz w:val="20"/>
                <w:szCs w:val="20"/>
                <w:color w:val="auto"/>
              </w:rPr>
            </w:pPr>
            <w:r>
              <w:rPr>
                <w:rFonts w:ascii="Arial" w:cs="Arial" w:eastAsia="Arial" w:hAnsi="Arial"/>
                <w:sz w:val="15"/>
                <w:szCs w:val="15"/>
                <w:color w:val="auto"/>
              </w:rPr>
              <w:t>Lines of credit</w:t>
            </w:r>
          </w:p>
        </w:tc>
        <w:tc>
          <w:tcPr>
            <w:tcW w:w="2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76,079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128,000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74"/>
        </w:trPr>
        <w:tc>
          <w:tcPr>
            <w:tcW w:w="4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Equity - Sun NG Resorts - mandatorily redeemable</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35,249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35,277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66"/>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Preferred OP units - mandatorily redeemable</w:t>
            </w: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34,663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37,338</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6.5%</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6.6%</w:t>
            </w:r>
          </w:p>
        </w:tc>
      </w:tr>
      <w:tr>
        <w:trPr>
          <w:trHeight w:val="241"/>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Total debt</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3,107,775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3,124,303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6" w:right="2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2019, we completed a $265.0 million 25-year term loan transaction which carries an interest rate of 4.17 percent. Concurrently, we repaid a $186.8 million term loan with an interest rate of 3.83 percent which was due to mature in January 2030. We recognized a loss on extinguishment of debt of $0.7 million as a result of the repayment transaction in our Consolidated Statement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December 31, 2018, we repaid a term loan of $10.2 million with an interest rate of 5.66 percent. The loan was due to mature on February 28, 2019. Concurrently, we entered into a $21.7 million collateralized term loan with a 4.10 percent fixed interest rate and 20-year term.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2018, we entered into a $228.0 million collateralized term loan with a 4.10 percent fixed rate and a 20-year term. During the three months ended September 30, 2018, we repaid one collateralized term loan of $30.5 million with an interest rate of 6.34 percent, releasing one encumbered community, which was due to mature March 1, 2019. We recognized a loss on extinguishment of debt of $0.9 million as a result of the repayment transaction.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June 30, 2018 we repaid three collateralized term loans totaling $177.7 million with a weighted average interest rate of 4.53 percent, releasing 11 encumbered communities. One loan was due to mature on August 1, 2018 and two loans were due to mature on May 1, 2023. We recognized a loss on extinguishment of debt of $1.5 million as a result of the repayment transaction.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we repaid four collateralized term loans totaling $24.4 million with a weighted average interest rate of 6.36 percent, releasing three encumbered communities. The loans were due to mature on March 1, 2019. We recognized a loss on extinguishment of debt of $0.2 million as a result of the repayment transactions.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collateralized term loans totaling $2.9 billion as of June 30, 2019, are secured by 185 properties comprised of 72,958 sites representing approximately $3.2 billion of net book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Borrowing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4, “Collateralized Receivables and Transfers of Financial Assets,” for information regarding our collateralized receivables and secured borrowing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Preferred OP units at June 30, 2019 and December 31, 2018 include $34.7 million of Aspen preferred OP units issued by the Operating Partnership. As of June 30, 2019, these units are convertible indirectly into 420,689 shares of our common stock. Subject to certain limitations, at any time prior to January 1, 2024, the holder of each Aspen preferred OP unit at its option may convert such Aspen preferred OP unit into: (a) if the market price of our common stock is $68.00 per share or less, 0.397 common OP units; or (b) if the market price of our common stock is greater than $68.00 per share, the number of common OP units is determined by dividing (i) the sum of (A) $27.00 plus (B) 25 percent of the amount by which the market price of our common stock exceeds $68.00 per share, by (ii) the per share market price of our common stock. The current preferred distribution rate is 6.5 percent. On January 2, 2024, we are required to redeem all Aspen preferred OP units that have not been converted to common OP units.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Preferred OP units also include $2.7 million of Series B-3 preferred OP units at December 31, 2018, which are not convertible. In January 2019, we redeemed all remaining 26,750 Series B-3 preferred OP units. The weighted average redemption price per unit, which included accrued and unpaid distributions, of $100.153424. In the aggregate, we paid $2.7 million to redeem these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 year term and can be redeemed in the fourth quarter of 2022 at the holders’ option. The Preferred Equity - Sun NG Resorts as of June 30, 2019 was $35.2 million. Refer to Note 3, “Real Estate Acquisitions,” Note 8, “Consolidated Variable Interest Entities,” and Note 10, “Equity and Temporary Equity” for additional information.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we amended and restated our credit agreement (the “A&amp;R Credit Agreement”) with Citibank, N.A. (“Citibank”) and certain other lenders. Pursuant to the A&amp;R Credit Agreement, we entered into a senior credit facility with Citibank and certain other lenders in the amount of $750.0 million, comprised of a $650.0 million revolving loan, with the ability to use up to $100.0 million for advances in Australian dollars, and a $100.0 million term loan (the “A&amp;R Facility”). The Company has until November 18, 2019 to draw on the term loan. As of June 30, 2019, the Company has not drawn any funds on the term loan. The A&amp;R Credit Agreement has a four-year term ending May 21, 2023, which can be extended for two additional six-month periods, subject to the satisfaction of certain conditions as defined in the credit agreement. The A&amp;R Credit Agreement also provides for, subject to the satisfaction of certain conditions, additional commitments in an amount not to exceed $350.0 million. If additional borrowings are made pursuant to any such additional commitments, the aggregate borrowing limit under the A&amp;R Facility may be increased up to $1.1 billion.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A&amp;R Facility bears interest at a floating rate based on the Eurodollar rate or Bank Bill Swap Bid Rate (“BBSY Bid rate”) plus a margin that is determined based on our leverage ratio calculated in accordance with the A&amp;R Credit Agreement, which margin can range from 1.20 percent to 2.10 percent for the revolving loan and 1.20 percent to 2.05 percent for the term loan. As of June 30, 2019, the margin based on our leverage ratio was 1.20 percent on the revolving loan and 1.20 percent on the term loan. We had $71.0 million and zero of borrowings on the revolving loan and the term loans, respectively, as of June 30, 2019.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June 30, 2019 and December 31, 2018, approximately $5.5 million and $3.9 million of availability was used to back standby letters of credit.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 $12.0 million manufactured home floor plan facility renewable indefinitely until our lender provides us at least a twelve month notice 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6.0 percent. At June 30, 2019, the effective interest rate was 7.0 percent. The outstanding balance was $5.1 million as of June 30, 2019 and zero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The most restrictive of our debt agreements place limitations on secured borrowings and contain minimum fixed charge coverage, leverage, distribution, and net worth requirements. At June 30, 2019, we were in compliance with all covenants.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the debts and other obligations of the Company, any of its other subsidiaries or any other person or entity.</w:t>
      </w:r>
    </w:p>
    <w:p>
      <w:pPr>
        <w:spacing w:after="0" w:line="177"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2019, we closed an underwritten registered public offering of 3,737,500 shares of common stock. Proceeds from the offering were $452.1 million after deducting expenses related to the offering. We used the net proceeds of this offering to repay borrowings outstanding under the revolving loan under our senior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2017, we entered into a new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June 30, 2019, we have sold shares of our common stock for gross proceeds of $163.8 million under the Sales Agreement. There were no issuances of common stock under the Sales Agreement during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Series D Preferred OP Units - Temporary Equity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2019, we issued 488,958 Series D Preferred OP Units in connection with the acquisition of Country 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0.8 shares of SUI stock at the holder’s option. The holders may require redemption in cash after the fifth anniversary of the Series D issuance date or upon the holder’s death. Refer to Note 3, “Real Estate Acquisitions”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 - NG Sun LLC - Temporary Equity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2018, in connection with the investment in Sun NG Resorts, unrelated third parties purchased $6.5 million of Series B preferred equity interests and $15.4 million of common equity interest in Sun NG Resorts (herein jointly referred to as “Equity Interest - NG Sun LLC”). The Series B preferred equity interests carry a preferred return at a rate that, at any time, is equal to the interest rate on Sun NG Resorts’ indebtedness at such time. The current rate of return is 5.5 percent. The Equity Interests - NG Sun LLC do not have a fixed maturity date and can be redeemed in the fourth quarter of 2022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the Company is required to purchase the remaining interests of NG Sun LLC and the property management agreement at fair value. Refer to Note 3, “Real Estate Acquisitions,” Note 8, “Consolidated Variable Interest Entities,” and Note 9, “Debt and Lines of Credit”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limitations, holders can convert certain series of stock and OP units to shares of our common stock at any time. Below is the activity of conversions during the six months ended June 30, 2019 and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2"/>
              </w:rPr>
              <w:t>Six Months Ended</w:t>
            </w:r>
          </w:p>
        </w:tc>
        <w:tc>
          <w:tcPr>
            <w:tcW w:w="2600" w:type="dxa"/>
            <w:vAlign w:val="bottom"/>
            <w:gridSpan w:val="2"/>
          </w:tcPr>
          <w:p>
            <w:pPr>
              <w:jc w:val="right"/>
              <w:ind w:right="603"/>
              <w:spacing w:after="0"/>
              <w:rPr>
                <w:sz w:val="20"/>
                <w:szCs w:val="20"/>
                <w:color w:val="auto"/>
              </w:rPr>
            </w:pPr>
            <w:r>
              <w:rPr>
                <w:rFonts w:ascii="Arial" w:cs="Arial" w:eastAsia="Arial" w:hAnsi="Arial"/>
                <w:sz w:val="15"/>
                <w:szCs w:val="15"/>
                <w:b w:val="1"/>
                <w:bCs w:val="1"/>
                <w:color w:val="auto"/>
              </w:rPr>
              <w:t>Six Months Ended</w:t>
            </w:r>
          </w:p>
        </w:tc>
      </w:tr>
      <w:tr>
        <w:trPr>
          <w:trHeight w:val="328"/>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0"/>
              </w:rPr>
              <w:t>June 30, 2019</w:t>
            </w:r>
          </w:p>
        </w:tc>
        <w:tc>
          <w:tcPr>
            <w:tcW w:w="2600" w:type="dxa"/>
            <w:vAlign w:val="bottom"/>
            <w:gridSpan w:val="2"/>
          </w:tcPr>
          <w:p>
            <w:pPr>
              <w:jc w:val="right"/>
              <w:ind w:right="763"/>
              <w:spacing w:after="0"/>
              <w:rPr>
                <w:sz w:val="20"/>
                <w:szCs w:val="20"/>
                <w:color w:val="auto"/>
              </w:rPr>
            </w:pPr>
            <w:r>
              <w:rPr>
                <w:rFonts w:ascii="Arial" w:cs="Arial" w:eastAsia="Arial" w:hAnsi="Arial"/>
                <w:sz w:val="15"/>
                <w:szCs w:val="15"/>
                <w:b w:val="1"/>
                <w:bCs w:val="1"/>
                <w:color w:val="auto"/>
              </w:rPr>
              <w:t>June 30, 2018</w:t>
            </w:r>
          </w:p>
        </w:tc>
      </w:tr>
      <w:tr>
        <w:trPr>
          <w:trHeight w:val="169"/>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top w:val="single" w:sz="8" w:color="auto"/>
            </w:tcBorders>
          </w:tcPr>
          <w:p>
            <w:pPr>
              <w:jc w:val="right"/>
              <w:ind w:right="203"/>
              <w:spacing w:after="0" w:line="169" w:lineRule="exact"/>
              <w:rPr>
                <w:sz w:val="20"/>
                <w:szCs w:val="20"/>
                <w:color w:val="auto"/>
              </w:rPr>
            </w:pPr>
            <w:r>
              <w:rPr>
                <w:rFonts w:ascii="Arial" w:cs="Arial" w:eastAsia="Arial" w:hAnsi="Arial"/>
                <w:sz w:val="15"/>
                <w:szCs w:val="15"/>
                <w:b w:val="1"/>
                <w:bCs w:val="1"/>
                <w:color w:val="auto"/>
              </w:rPr>
              <w:t>Units/Shares</w:t>
            </w:r>
          </w:p>
        </w:tc>
        <w:tc>
          <w:tcPr>
            <w:tcW w:w="1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top w:val="single" w:sz="8" w:color="auto"/>
            </w:tcBorders>
          </w:tcPr>
          <w:p>
            <w:pPr>
              <w:jc w:val="right"/>
              <w:ind w:right="183"/>
              <w:spacing w:after="0" w:line="169" w:lineRule="exact"/>
              <w:rPr>
                <w:sz w:val="20"/>
                <w:szCs w:val="20"/>
                <w:color w:val="auto"/>
              </w:rPr>
            </w:pPr>
            <w:r>
              <w:rPr>
                <w:rFonts w:ascii="Arial" w:cs="Arial" w:eastAsia="Arial" w:hAnsi="Arial"/>
                <w:sz w:val="15"/>
                <w:szCs w:val="15"/>
                <w:b w:val="1"/>
                <w:bCs w:val="1"/>
                <w:color w:val="auto"/>
              </w:rPr>
              <w:t>Units/Shares</w:t>
            </w:r>
          </w:p>
        </w:tc>
        <w:tc>
          <w:tcPr>
            <w:tcW w:w="1240" w:type="dxa"/>
            <w:vAlign w:val="bottom"/>
            <w:tcBorders>
              <w:top w:val="single" w:sz="8" w:color="auto"/>
            </w:tcBorders>
          </w:tcPr>
          <w:p>
            <w:pPr>
              <w:spacing w:after="0"/>
              <w:rPr>
                <w:sz w:val="14"/>
                <w:szCs w:val="14"/>
                <w:color w:val="auto"/>
              </w:rPr>
            </w:pPr>
          </w:p>
        </w:tc>
      </w:tr>
      <w:tr>
        <w:trPr>
          <w:trHeight w:val="20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Series</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Conversion Rate</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Converted</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Converted</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9"/>
              </w:rPr>
              <w:t>Common Stock</w:t>
            </w:r>
          </w:p>
        </w:tc>
      </w:tr>
      <w:tr>
        <w:trPr>
          <w:trHeight w:val="250"/>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Common OP unit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21"/>
                <w:szCs w:val="21"/>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436,177</w:t>
            </w:r>
          </w:p>
        </w:tc>
        <w:tc>
          <w:tcPr>
            <w:tcW w:w="1280" w:type="dxa"/>
            <w:vAlign w:val="bottom"/>
          </w:tcPr>
          <w:p>
            <w:pPr>
              <w:jc w:val="right"/>
              <w:ind w:right="63"/>
              <w:spacing w:after="0"/>
              <w:rPr>
                <w:sz w:val="20"/>
                <w:szCs w:val="20"/>
                <w:color w:val="auto"/>
              </w:rPr>
            </w:pPr>
            <w:r>
              <w:rPr>
                <w:rFonts w:ascii="Arial" w:cs="Arial" w:eastAsia="Arial" w:hAnsi="Arial"/>
                <w:sz w:val="15"/>
                <w:szCs w:val="15"/>
                <w:color w:val="auto"/>
              </w:rPr>
              <w:t>436,177</w:t>
            </w:r>
          </w:p>
        </w:tc>
        <w:tc>
          <w:tcPr>
            <w:tcW w:w="200" w:type="dxa"/>
            <w:vAlign w:val="bottom"/>
          </w:tcPr>
          <w:p>
            <w:pPr>
              <w:spacing w:after="0"/>
              <w:rPr>
                <w:sz w:val="21"/>
                <w:szCs w:val="21"/>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14,828</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14,828</w:t>
            </w:r>
          </w:p>
        </w:tc>
      </w:tr>
      <w:tr>
        <w:trPr>
          <w:trHeight w:val="274"/>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A-1 preferred OP unit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2.439</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7,950</w:t>
            </w: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19,387</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8,700</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21,217</w:t>
            </w: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Series A-4 preferred OP unit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0.4444</w:t>
            </w:r>
          </w:p>
        </w:tc>
        <w:tc>
          <w:tcPr>
            <w:tcW w:w="2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4,708</w:t>
            </w:r>
          </w:p>
        </w:tc>
        <w:tc>
          <w:tcPr>
            <w:tcW w:w="1280" w:type="dxa"/>
            <w:vAlign w:val="bottom"/>
          </w:tcPr>
          <w:p>
            <w:pPr>
              <w:jc w:val="right"/>
              <w:ind w:right="63"/>
              <w:spacing w:after="0"/>
              <w:rPr>
                <w:sz w:val="20"/>
                <w:szCs w:val="20"/>
                <w:color w:val="auto"/>
              </w:rPr>
            </w:pPr>
            <w:r>
              <w:rPr>
                <w:rFonts w:ascii="Arial" w:cs="Arial" w:eastAsia="Arial" w:hAnsi="Arial"/>
                <w:sz w:val="15"/>
                <w:szCs w:val="15"/>
                <w:color w:val="auto"/>
              </w:rPr>
              <w:t>2,092</w:t>
            </w:r>
          </w:p>
        </w:tc>
        <w:tc>
          <w:tcPr>
            <w:tcW w:w="20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11,792</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5,240</w:t>
            </w:r>
          </w:p>
        </w:tc>
      </w:tr>
      <w:tr>
        <w:trPr>
          <w:trHeight w:val="274"/>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A-4 preferred stock</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0.4444</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11,288</w:t>
            </w: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5,016</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22,576</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10,033</w:t>
            </w:r>
          </w:p>
        </w:tc>
      </w:tr>
      <w:tr>
        <w:trPr>
          <w:trHeight w:val="262"/>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Series C preferred OP unit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1.11</w:t>
            </w:r>
          </w:p>
        </w:tc>
        <w:tc>
          <w:tcPr>
            <w:tcW w:w="220" w:type="dxa"/>
            <w:vAlign w:val="bottom"/>
          </w:tcPr>
          <w:p>
            <w:pPr>
              <w:spacing w:after="0"/>
              <w:rPr>
                <w:sz w:val="22"/>
                <w:szCs w:val="22"/>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1,919</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2,130</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Distributions for the three months ended June 30, 2019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5"/>
                <w:szCs w:val="15"/>
                <w:b w:val="1"/>
                <w:bCs w:val="1"/>
                <w:color w:val="auto"/>
              </w:rPr>
              <w:t>Distribution per</w:t>
            </w:r>
          </w:p>
        </w:tc>
        <w:tc>
          <w:tcPr>
            <w:tcW w:w="1380" w:type="dxa"/>
            <w:vAlign w:val="bottom"/>
            <w:gridSpan w:val="2"/>
          </w:tcPr>
          <w:p>
            <w:pPr>
              <w:jc w:val="right"/>
              <w:ind w:right="3"/>
              <w:spacing w:after="0"/>
              <w:rPr>
                <w:sz w:val="20"/>
                <w:szCs w:val="20"/>
                <w:color w:val="auto"/>
              </w:rPr>
            </w:pPr>
            <w:r>
              <w:rPr>
                <w:rFonts w:ascii="Arial" w:cs="Arial" w:eastAsia="Arial" w:hAnsi="Arial"/>
                <w:sz w:val="15"/>
                <w:szCs w:val="15"/>
                <w:b w:val="1"/>
                <w:bCs w:val="1"/>
                <w:color w:val="auto"/>
              </w:rPr>
              <w:t>Total Distribution</w:t>
            </w:r>
          </w:p>
        </w:tc>
      </w:tr>
      <w:tr>
        <w:trPr>
          <w:trHeight w:val="20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Cash Distributions</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Record Date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Payment Date</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Share</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w w:val="97"/>
              </w:rPr>
              <w:t>(thousands)</w:t>
            </w:r>
          </w:p>
        </w:tc>
      </w:tr>
      <w:tr>
        <w:trPr>
          <w:trHeight w:val="254"/>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Stock, Common OP units and Restricted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6/28/2019</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7/15/2019</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0.75</w:t>
            </w:r>
          </w:p>
        </w:tc>
        <w:tc>
          <w:tcPr>
            <w:tcW w:w="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67,359</w:t>
            </w:r>
          </w:p>
        </w:tc>
      </w:tr>
      <w:tr>
        <w:trPr>
          <w:trHeight w:val="262"/>
        </w:trPr>
        <w:tc>
          <w:tcPr>
            <w:tcW w:w="5840" w:type="dxa"/>
            <w:vAlign w:val="bottom"/>
            <w:gridSpan w:val="2"/>
          </w:tcPr>
          <w:p>
            <w:pPr>
              <w:ind w:left="40"/>
              <w:spacing w:after="0"/>
              <w:rPr>
                <w:sz w:val="20"/>
                <w:szCs w:val="20"/>
                <w:color w:val="auto"/>
              </w:rPr>
            </w:pPr>
            <w:r>
              <w:rPr>
                <w:rFonts w:ascii="Arial" w:cs="Arial" w:eastAsia="Arial" w:hAnsi="Arial"/>
                <w:sz w:val="15"/>
                <w:szCs w:val="15"/>
                <w:color w:val="auto"/>
              </w:rPr>
              <w:t>Series A-4 Preferred Stock</w:t>
            </w:r>
          </w:p>
        </w:tc>
        <w:tc>
          <w:tcPr>
            <w:tcW w:w="1260" w:type="dxa"/>
            <w:vAlign w:val="bottom"/>
          </w:tcPr>
          <w:p>
            <w:pPr>
              <w:jc w:val="right"/>
              <w:spacing w:after="0"/>
              <w:rPr>
                <w:sz w:val="20"/>
                <w:szCs w:val="20"/>
                <w:color w:val="auto"/>
              </w:rPr>
            </w:pPr>
            <w:r>
              <w:rPr>
                <w:rFonts w:ascii="Arial" w:cs="Arial" w:eastAsia="Arial" w:hAnsi="Arial"/>
                <w:sz w:val="15"/>
                <w:szCs w:val="15"/>
                <w:color w:val="auto"/>
              </w:rPr>
              <w:t>6/14/2019</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7/1/2019</w:t>
            </w:r>
          </w:p>
        </w:tc>
        <w:tc>
          <w:tcPr>
            <w:tcW w:w="240" w:type="dxa"/>
            <w:vAlign w:val="bottom"/>
          </w:tcPr>
          <w:p>
            <w:pPr>
              <w:spacing w:after="0"/>
              <w:rPr>
                <w:sz w:val="22"/>
                <w:szCs w:val="22"/>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0.40625</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427</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2004, our Board of Directors authorized us to repurchase up to 1,000,000 shares of our common stock. We have 400,000 common shares remaining in the repurchase program as of June 30, 2019. No common shares were repurchased during the six months ended June 30, 2019 or 2018. There is no expiration date specified for the buyback program.</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6"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2019,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details on grants of equity awards during the six months ended June 30,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3"/>
              <w:spacing w:after="0"/>
              <w:rPr>
                <w:sz w:val="20"/>
                <w:szCs w:val="20"/>
                <w:color w:val="auto"/>
              </w:rPr>
            </w:pPr>
            <w:r>
              <w:rPr>
                <w:rFonts w:ascii="Arial" w:cs="Arial" w:eastAsia="Arial" w:hAnsi="Arial"/>
                <w:sz w:val="15"/>
                <w:szCs w:val="15"/>
                <w:b w:val="1"/>
                <w:bCs w:val="1"/>
                <w:color w:val="auto"/>
                <w:w w:val="99"/>
              </w:rPr>
              <w:t>Grant Date</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5"/>
              </w:rPr>
              <w:t>Fair Value Per</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88"/>
              </w:rPr>
              <w:t>Vesting</w:t>
            </w:r>
          </w:p>
        </w:tc>
        <w:tc>
          <w:tcPr>
            <w:tcW w:w="1040" w:type="dxa"/>
            <w:vAlign w:val="bottom"/>
          </w:tcPr>
          <w:p>
            <w:pPr>
              <w:spacing w:after="0"/>
              <w:rPr>
                <w:sz w:val="14"/>
                <w:szCs w:val="14"/>
                <w:color w:val="auto"/>
              </w:rPr>
            </w:pPr>
          </w:p>
        </w:tc>
      </w:tr>
      <w:tr>
        <w:trPr>
          <w:trHeight w:val="202"/>
        </w:trPr>
        <w:tc>
          <w:tcPr>
            <w:tcW w:w="11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6"/>
              </w:rPr>
              <w:t>Grant Period</w:t>
            </w:r>
          </w:p>
        </w:tc>
        <w:tc>
          <w:tcPr>
            <w:tcW w:w="1560" w:type="dxa"/>
            <w:vAlign w:val="bottom"/>
            <w:gridSpan w:val="2"/>
          </w:tcPr>
          <w:p>
            <w:pPr>
              <w:ind w:left="580"/>
              <w:spacing w:after="0"/>
              <w:rPr>
                <w:sz w:val="20"/>
                <w:szCs w:val="20"/>
                <w:color w:val="auto"/>
              </w:rPr>
            </w:pPr>
            <w:r>
              <w:rPr>
                <w:rFonts w:ascii="Arial" w:cs="Arial" w:eastAsia="Arial" w:hAnsi="Arial"/>
                <w:sz w:val="15"/>
                <w:szCs w:val="15"/>
                <w:b w:val="1"/>
                <w:bCs w:val="1"/>
                <w:color w:val="auto"/>
              </w:rPr>
              <w:t>Type</w:t>
            </w:r>
          </w:p>
        </w:tc>
        <w:tc>
          <w:tcPr>
            <w:tcW w:w="360" w:type="dxa"/>
            <w:vAlign w:val="bottom"/>
          </w:tcPr>
          <w:p>
            <w:pPr>
              <w:spacing w:after="0"/>
              <w:rPr>
                <w:sz w:val="17"/>
                <w:szCs w:val="17"/>
                <w:color w:val="auto"/>
              </w:rPr>
            </w:pPr>
          </w:p>
        </w:tc>
        <w:tc>
          <w:tcPr>
            <w:tcW w:w="1900" w:type="dxa"/>
            <w:vAlign w:val="bottom"/>
            <w:gridSpan w:val="2"/>
          </w:tcPr>
          <w:p>
            <w:pPr>
              <w:ind w:left="560"/>
              <w:spacing w:after="0"/>
              <w:rPr>
                <w:sz w:val="20"/>
                <w:szCs w:val="20"/>
                <w:color w:val="auto"/>
              </w:rPr>
            </w:pPr>
            <w:r>
              <w:rPr>
                <w:rFonts w:ascii="Arial" w:cs="Arial" w:eastAsia="Arial" w:hAnsi="Arial"/>
                <w:sz w:val="15"/>
                <w:szCs w:val="15"/>
                <w:b w:val="1"/>
                <w:bCs w:val="1"/>
                <w:color w:val="auto"/>
              </w:rPr>
              <w:t>Plan</w:t>
            </w:r>
          </w:p>
        </w:tc>
        <w:tc>
          <w:tcPr>
            <w:tcW w:w="880" w:type="dxa"/>
            <w:vAlign w:val="bottom"/>
          </w:tcPr>
          <w:p>
            <w:pPr>
              <w:jc w:val="right"/>
              <w:ind w:right="83"/>
              <w:spacing w:after="0"/>
              <w:rPr>
                <w:sz w:val="20"/>
                <w:szCs w:val="20"/>
                <w:color w:val="auto"/>
              </w:rPr>
            </w:pPr>
            <w:r>
              <w:rPr>
                <w:rFonts w:ascii="Arial" w:cs="Arial" w:eastAsia="Arial" w:hAnsi="Arial"/>
                <w:sz w:val="15"/>
                <w:szCs w:val="15"/>
                <w:b w:val="1"/>
                <w:bCs w:val="1"/>
                <w:color w:val="auto"/>
              </w:rPr>
              <w:t>Granted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b w:val="1"/>
                <w:bCs w:val="1"/>
                <w:color w:val="auto"/>
                <w:w w:val="91"/>
              </w:rPr>
              <w:t>Share</w:t>
            </w:r>
          </w:p>
        </w:tc>
        <w:tc>
          <w:tcPr>
            <w:tcW w:w="24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5"/>
                <w:szCs w:val="15"/>
                <w:b w:val="1"/>
                <w:bCs w:val="1"/>
                <w:color w:val="auto"/>
              </w:rPr>
              <w:t>Vesting Type</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Anniversary</w:t>
            </w:r>
          </w:p>
        </w:tc>
        <w:tc>
          <w:tcPr>
            <w:tcW w:w="1040" w:type="dxa"/>
            <w:vAlign w:val="bottom"/>
          </w:tcPr>
          <w:p>
            <w:pPr>
              <w:jc w:val="right"/>
              <w:ind w:right="83"/>
              <w:spacing w:after="0"/>
              <w:rPr>
                <w:sz w:val="20"/>
                <w:szCs w:val="20"/>
                <w:color w:val="auto"/>
              </w:rPr>
            </w:pPr>
            <w:r>
              <w:rPr>
                <w:rFonts w:ascii="Arial" w:cs="Arial" w:eastAsia="Arial" w:hAnsi="Arial"/>
                <w:sz w:val="15"/>
                <w:szCs w:val="15"/>
                <w:b w:val="1"/>
                <w:bCs w:val="1"/>
                <w:color w:val="auto"/>
              </w:rPr>
              <w:t>Percentage</w:t>
            </w:r>
          </w:p>
        </w:tc>
      </w:tr>
      <w:tr>
        <w:trPr>
          <w:trHeight w:val="322"/>
        </w:trPr>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08"/>
        </w:trPr>
        <w:tc>
          <w:tcPr>
            <w:tcW w:w="10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Executive Officers</w:t>
            </w:r>
          </w:p>
        </w:tc>
        <w:tc>
          <w:tcPr>
            <w:tcW w:w="360" w:type="dxa"/>
            <w:vAlign w:val="bottom"/>
            <w:shd w:val="clear" w:color="auto" w:fill="CCEEFF"/>
          </w:tcPr>
          <w:p>
            <w:pPr>
              <w:ind w:left="40"/>
              <w:spacing w:after="0"/>
              <w:rPr>
                <w:sz w:val="20"/>
                <w:szCs w:val="20"/>
                <w:color w:val="auto"/>
              </w:rPr>
            </w:pPr>
            <w:r>
              <w:rPr>
                <w:rFonts w:ascii="Arial" w:cs="Arial" w:eastAsia="Arial" w:hAnsi="Arial"/>
                <w:sz w:val="15"/>
                <w:szCs w:val="15"/>
                <w:color w:val="auto"/>
                <w:w w:val="89"/>
              </w:rPr>
              <w:t>2015</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115.39</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7"/>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2280" w:type="dxa"/>
            <w:vAlign w:val="bottom"/>
            <w:gridSpan w:val="3"/>
            <w:shd w:val="clear" w:color="auto" w:fill="CCEEFF"/>
          </w:tcPr>
          <w:p>
            <w:pPr>
              <w:jc w:val="right"/>
              <w:ind w:right="183"/>
              <w:spacing w:after="0"/>
              <w:rPr>
                <w:sz w:val="20"/>
                <w:szCs w:val="20"/>
                <w:color w:val="auto"/>
              </w:rPr>
            </w:pPr>
            <w:r>
              <w:rPr>
                <w:rFonts w:ascii="Arial" w:cs="Arial" w:eastAsia="Arial" w:hAnsi="Arial"/>
                <w:sz w:val="15"/>
                <w:szCs w:val="15"/>
                <w:color w:val="auto"/>
              </w:rPr>
              <w:t>20.0% annually over 5 years</w:t>
            </w:r>
          </w:p>
        </w:tc>
      </w:tr>
      <w:tr>
        <w:trPr>
          <w:trHeight w:val="62"/>
        </w:trPr>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08"/>
        </w:trPr>
        <w:tc>
          <w:tcPr>
            <w:tcW w:w="104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60" w:type="dxa"/>
            <w:vAlign w:val="bottom"/>
          </w:tcPr>
          <w:p>
            <w:pPr>
              <w:ind w:left="40"/>
              <w:spacing w:after="0"/>
              <w:rPr>
                <w:sz w:val="20"/>
                <w:szCs w:val="20"/>
                <w:color w:val="auto"/>
              </w:rPr>
            </w:pPr>
            <w:r>
              <w:rPr>
                <w:rFonts w:ascii="Arial" w:cs="Arial" w:eastAsia="Arial" w:hAnsi="Arial"/>
                <w:sz w:val="15"/>
                <w:szCs w:val="15"/>
                <w:color w:val="auto"/>
                <w:w w:val="89"/>
              </w:rPr>
              <w:t>2015</w:t>
            </w:r>
          </w:p>
        </w:tc>
        <w:tc>
          <w:tcPr>
            <w:tcW w:w="190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66,000</w:t>
            </w: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115.39</w:t>
            </w:r>
          </w:p>
        </w:tc>
        <w:tc>
          <w:tcPr>
            <w:tcW w:w="240" w:type="dxa"/>
            <w:vAlign w:val="bottom"/>
          </w:tcPr>
          <w:p>
            <w:pPr>
              <w:jc w:val="right"/>
              <w:ind w:right="16"/>
              <w:spacing w:after="0"/>
              <w:rPr>
                <w:sz w:val="20"/>
                <w:szCs w:val="20"/>
                <w:color w:val="auto"/>
              </w:rPr>
            </w:pPr>
            <w:r>
              <w:rPr>
                <w:rFonts w:ascii="Arial" w:cs="Arial" w:eastAsia="Arial" w:hAnsi="Arial"/>
                <w:sz w:val="13"/>
                <w:szCs w:val="13"/>
                <w:color w:val="auto"/>
                <w:w w:val="87"/>
              </w:rPr>
              <w:t>(2)</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3rd</w:t>
            </w:r>
          </w:p>
        </w:tc>
        <w:tc>
          <w:tcPr>
            <w:tcW w:w="104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62"/>
        </w:trPr>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6"/>
        </w:trPr>
        <w:tc>
          <w:tcPr>
            <w:tcW w:w="10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Directors</w:t>
            </w:r>
          </w:p>
        </w:tc>
        <w:tc>
          <w:tcPr>
            <w:tcW w:w="360" w:type="dxa"/>
            <w:vAlign w:val="bottom"/>
            <w:shd w:val="clear" w:color="auto" w:fill="CCEEFF"/>
          </w:tcPr>
          <w:p>
            <w:pPr>
              <w:ind w:left="40"/>
              <w:spacing w:after="0"/>
              <w:rPr>
                <w:sz w:val="20"/>
                <w:szCs w:val="20"/>
                <w:color w:val="auto"/>
              </w:rPr>
            </w:pPr>
            <w:r>
              <w:rPr>
                <w:rFonts w:ascii="Arial" w:cs="Arial" w:eastAsia="Arial" w:hAnsi="Arial"/>
                <w:sz w:val="15"/>
                <w:szCs w:val="15"/>
                <w:color w:val="auto"/>
                <w:w w:val="89"/>
              </w:rPr>
              <w:t>2004</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Non-Employee Director</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18,000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113.68</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7"/>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2"/>
              </w:rPr>
              <w:t>3rd</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2"/>
        </w:trPr>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Option Plan</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8"/>
        </w:trPr>
        <w:tc>
          <w:tcPr>
            <w:tcW w:w="104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60" w:type="dxa"/>
            <w:vAlign w:val="bottom"/>
          </w:tcPr>
          <w:p>
            <w:pPr>
              <w:ind w:left="40"/>
              <w:spacing w:after="0"/>
              <w:rPr>
                <w:sz w:val="20"/>
                <w:szCs w:val="20"/>
                <w:color w:val="auto"/>
              </w:rPr>
            </w:pPr>
            <w:r>
              <w:rPr>
                <w:rFonts w:ascii="Arial" w:cs="Arial" w:eastAsia="Arial" w:hAnsi="Arial"/>
                <w:sz w:val="15"/>
                <w:szCs w:val="15"/>
                <w:color w:val="auto"/>
                <w:w w:val="89"/>
              </w:rPr>
              <w:t>2015</w:t>
            </w:r>
          </w:p>
        </w:tc>
        <w:tc>
          <w:tcPr>
            <w:tcW w:w="190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55,770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120.01</w:t>
            </w:r>
          </w:p>
        </w:tc>
        <w:tc>
          <w:tcPr>
            <w:tcW w:w="240" w:type="dxa"/>
            <w:vAlign w:val="bottom"/>
          </w:tcPr>
          <w:p>
            <w:pPr>
              <w:jc w:val="right"/>
              <w:ind w:right="16"/>
              <w:spacing w:after="0"/>
              <w:rPr>
                <w:sz w:val="20"/>
                <w:szCs w:val="20"/>
                <w:color w:val="auto"/>
              </w:rPr>
            </w:pPr>
            <w:r>
              <w:rPr>
                <w:rFonts w:ascii="Arial" w:cs="Arial" w:eastAsia="Arial" w:hAnsi="Arial"/>
                <w:sz w:val="13"/>
                <w:szCs w:val="13"/>
                <w:color w:val="auto"/>
                <w:w w:val="87"/>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280" w:type="dxa"/>
            <w:vAlign w:val="bottom"/>
            <w:gridSpan w:val="3"/>
          </w:tcPr>
          <w:p>
            <w:pPr>
              <w:jc w:val="right"/>
              <w:ind w:right="183"/>
              <w:spacing w:after="0"/>
              <w:rPr>
                <w:sz w:val="20"/>
                <w:szCs w:val="20"/>
                <w:color w:val="auto"/>
              </w:rPr>
            </w:pPr>
            <w:r>
              <w:rPr>
                <w:rFonts w:ascii="Arial" w:cs="Arial" w:eastAsia="Arial" w:hAnsi="Arial"/>
                <w:sz w:val="15"/>
                <w:szCs w:val="15"/>
                <w:color w:val="auto"/>
              </w:rPr>
              <w:t>20.0% annually over 5 years</w:t>
            </w:r>
          </w:p>
        </w:tc>
      </w:tr>
    </w:tbl>
    <w:p>
      <w:pPr>
        <w:spacing w:after="0" w:line="200" w:lineRule="exact"/>
        <w:rPr>
          <w:sz w:val="20"/>
          <w:szCs w:val="20"/>
          <w:color w:val="auto"/>
        </w:rPr>
      </w:pPr>
    </w:p>
    <w:p>
      <w:pPr>
        <w:spacing w:after="0" w:line="226"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fair value of the grants were determined by using the average closing price of our common stock on the dates the shares were issued.</w:t>
      </w:r>
    </w:p>
    <w:p>
      <w:pPr>
        <w:ind w:left="260" w:hanging="252"/>
        <w:spacing w:after="0" w:line="233" w:lineRule="auto"/>
        <w:tabs>
          <w:tab w:leader="none" w:pos="183"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$115.39. Based on the Monte Carlo simulation we expect 75.1% of the 66,000 shares to vest.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six months ended June 30, 2019, 1,500 shares of common stock were issued in connection with the exercise of stock options with net proceeds of less than $0.1 million. There were no stock option exercises during the six months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vesting requirements for 196,106 restricted shares granted to our executives, directors and employees were satisfied during the six months ended June 30, 2019.</w:t>
      </w:r>
    </w:p>
    <w:p>
      <w:pPr>
        <w:spacing w:after="0" w:line="16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group our operating segments into reportable segments that provide similar products and services. Each operating segment has discrete financial information evaluated regularly by our chief operating decision maker in evaluating and assessing performance. We have two reportable segments: (i) Real Property Operations and (ii) Home Sales and Rentals. The Real Property Operations segment owns, operates, has an interest in a portfolio, and develops MH communities and RV communities, and is in the business of acquiring, operating, and expanding MH and RV communities. The Home Sales and Rentals segment offers manufactured home sales and leasing services to tenants and prospective tenants of our communities.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Transactions between our segments are eliminated in consolidation. Transient RV revenue is included in the Real Property Operations segment revenues and is expected to approximate $132.0 million annually. Transient RV revenue was recognized 19.9 percent in the first quarter, 23.2 percent in the second quarter, and is expected to be 41.3 percent and 15.6 percent in the third and fourth quarters, respectively. Transient revenue was $106.2 million for the year ended December 31, 2018. We recognized 20.7 percent in the first quarter, 20.3 percent in the second quarter, 42.6 percent in the third quarter, and 16.4 percent in the fourth quarter.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w w:val="98"/>
              </w:rPr>
              <w:t>June 30, 2019</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w w:val="94"/>
              </w:rPr>
              <w:t>June 30, 2018</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180" w:type="dxa"/>
            <w:vAlign w:val="bottom"/>
            <w:gridSpan w:val="3"/>
          </w:tcPr>
          <w:p>
            <w:pPr>
              <w:jc w:val="center"/>
              <w:ind w:right="10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6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Operations</w:t>
            </w:r>
          </w:p>
        </w:tc>
        <w:tc>
          <w:tcPr>
            <w:tcW w:w="1060" w:type="dxa"/>
            <w:vAlign w:val="bottom"/>
            <w:gridSpan w:val="3"/>
          </w:tcPr>
          <w:p>
            <w:pPr>
              <w:ind w:left="8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Operations</w:t>
            </w:r>
          </w:p>
        </w:tc>
        <w:tc>
          <w:tcPr>
            <w:tcW w:w="1000" w:type="dxa"/>
            <w:vAlign w:val="bottom"/>
            <w:gridSpan w:val="3"/>
          </w:tcPr>
          <w:p>
            <w:pPr>
              <w:ind w:left="6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50"/>
        </w:trPr>
        <w:tc>
          <w:tcPr>
            <w:tcW w:w="4580" w:type="dxa"/>
            <w:vAlign w:val="bottom"/>
          </w:tcPr>
          <w:p>
            <w:pPr>
              <w:ind w:left="40"/>
              <w:spacing w:after="0"/>
              <w:rPr>
                <w:sz w:val="20"/>
                <w:szCs w:val="20"/>
                <w:color w:val="auto"/>
              </w:rPr>
            </w:pPr>
            <w:r>
              <w:rPr>
                <w:rFonts w:ascii="Arial" w:cs="Arial" w:eastAsia="Arial" w:hAnsi="Arial"/>
                <w:sz w:val="15"/>
                <w:szCs w:val="15"/>
                <w:color w:val="auto"/>
              </w:rPr>
              <w:t>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243,364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61,654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305,018</w:t>
            </w:r>
          </w:p>
        </w:tc>
        <w:tc>
          <w:tcPr>
            <w:tcW w:w="2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210,701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54,565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265,266</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expenses / Cost of sales</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94,094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39,526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133,620</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81,008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36,247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117,255</w:t>
            </w:r>
          </w:p>
        </w:tc>
        <w:tc>
          <w:tcPr>
            <w:tcW w:w="0" w:type="dxa"/>
            <w:vAlign w:val="bottom"/>
          </w:tcPr>
          <w:p>
            <w:pPr>
              <w:spacing w:after="0"/>
              <w:rPr>
                <w:sz w:val="1"/>
                <w:szCs w:val="1"/>
                <w:color w:val="auto"/>
              </w:rPr>
            </w:pPr>
          </w:p>
        </w:tc>
      </w:tr>
      <w:tr>
        <w:trPr>
          <w:trHeight w:val="246"/>
        </w:trPr>
        <w:tc>
          <w:tcPr>
            <w:tcW w:w="4580" w:type="dxa"/>
            <w:vAlign w:val="bottom"/>
          </w:tcPr>
          <w:p>
            <w:pPr>
              <w:ind w:left="180"/>
              <w:spacing w:after="0"/>
              <w:rPr>
                <w:sz w:val="20"/>
                <w:szCs w:val="20"/>
                <w:color w:val="auto"/>
              </w:rPr>
            </w:pPr>
            <w:r>
              <w:rPr>
                <w:rFonts w:ascii="Arial" w:cs="Arial" w:eastAsia="Arial" w:hAnsi="Arial"/>
                <w:sz w:val="15"/>
                <w:szCs w:val="15"/>
                <w:b w:val="1"/>
                <w:bCs w:val="1"/>
                <w:color w:val="auto"/>
              </w:rPr>
              <w:t>Net operating income / Gross profit</w:t>
            </w:r>
          </w:p>
        </w:tc>
        <w:tc>
          <w:tcPr>
            <w:tcW w:w="140" w:type="dxa"/>
            <w:vAlign w:val="bottom"/>
          </w:tcPr>
          <w:p>
            <w:pPr>
              <w:spacing w:after="0"/>
              <w:rPr>
                <w:sz w:val="21"/>
                <w:szCs w:val="21"/>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149,270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22,128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171,398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129,693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18,318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148,011</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Adjustments to arrive at net income / (loss)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Interest and other revenues, net</w:t>
            </w:r>
          </w:p>
        </w:tc>
        <w:tc>
          <w:tcPr>
            <w:tcW w:w="1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7,427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7,427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6,168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6,168</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Home selling expenses</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(3,986)</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(20,722)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(2,975)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(23,697)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(18,600)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(21,452)</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Catastrophic weather related charges, net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(57,054)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(19,099)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(76,153)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(50,811)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(16,962)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(67,773)</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on extinguishment of debt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(33,656)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(33,661)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(32,254)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(32,260)</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(1,181)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Remeasurement of marketable securities</w:t>
            </w:r>
          </w:p>
        </w:tc>
        <w:tc>
          <w:tcPr>
            <w:tcW w:w="1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3,620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3,620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income / (expense), net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1,021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(1,828)</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Income / (loss) from nonconsolidated affiliates</w:t>
            </w:r>
          </w:p>
        </w:tc>
        <w:tc>
          <w:tcPr>
            <w:tcW w:w="1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393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393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tax expense</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266"/>
        </w:trPr>
        <w:tc>
          <w:tcPr>
            <w:tcW w:w="4580" w:type="dxa"/>
            <w:vAlign w:val="bottom"/>
          </w:tcPr>
          <w:p>
            <w:pPr>
              <w:ind w:left="180"/>
              <w:spacing w:after="0"/>
              <w:rPr>
                <w:sz w:val="20"/>
                <w:szCs w:val="20"/>
                <w:color w:val="auto"/>
              </w:rPr>
            </w:pPr>
            <w:r>
              <w:rPr>
                <w:rFonts w:ascii="Arial" w:cs="Arial" w:eastAsia="Arial" w:hAnsi="Arial"/>
                <w:sz w:val="15"/>
                <w:szCs w:val="15"/>
                <w:color w:val="auto"/>
              </w:rPr>
              <w:t>Deferred tax benefit</w:t>
            </w:r>
          </w:p>
        </w:tc>
        <w:tc>
          <w:tcPr>
            <w:tcW w:w="1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96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54"/>
        </w:trPr>
        <w:tc>
          <w:tcPr>
            <w:tcW w:w="4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Net income / (loss)</w:t>
            </w:r>
          </w:p>
        </w:tc>
        <w:tc>
          <w:tcPr>
            <w:tcW w:w="1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48,441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(3,325)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45,116</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29,830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24,170</w:t>
            </w:r>
          </w:p>
        </w:tc>
        <w:tc>
          <w:tcPr>
            <w:tcW w:w="0" w:type="dxa"/>
            <w:vAlign w:val="bottom"/>
          </w:tcPr>
          <w:p>
            <w:pPr>
              <w:spacing w:after="0"/>
              <w:rPr>
                <w:sz w:val="1"/>
                <w:szCs w:val="1"/>
                <w:color w:val="auto"/>
              </w:rPr>
            </w:pPr>
          </w:p>
        </w:tc>
      </w:tr>
      <w:tr>
        <w:trPr>
          <w:trHeight w:val="266"/>
        </w:trPr>
        <w:tc>
          <w:tcPr>
            <w:tcW w:w="4580" w:type="dxa"/>
            <w:vAlign w:val="bottom"/>
          </w:tcPr>
          <w:p>
            <w:pPr>
              <w:ind w:left="380"/>
              <w:spacing w:after="0"/>
              <w:rPr>
                <w:sz w:val="20"/>
                <w:szCs w:val="20"/>
                <w:color w:val="auto"/>
              </w:rPr>
            </w:pPr>
            <w:r>
              <w:rPr>
                <w:rFonts w:ascii="Arial" w:cs="Arial" w:eastAsia="Arial" w:hAnsi="Arial"/>
                <w:sz w:val="15"/>
                <w:szCs w:val="15"/>
                <w:color w:val="auto"/>
              </w:rPr>
              <w:t>Less: Preferred return to preferred OP units / equity</w:t>
            </w:r>
          </w:p>
        </w:tc>
        <w:tc>
          <w:tcPr>
            <w:tcW w:w="1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1,718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1,718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1,103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1,103</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Amounts attributable to noncontrolling interests</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2,740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2,585</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2,509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2,227</w:t>
            </w:r>
          </w:p>
        </w:tc>
        <w:tc>
          <w:tcPr>
            <w:tcW w:w="0" w:type="dxa"/>
            <w:vAlign w:val="bottom"/>
          </w:tcPr>
          <w:p>
            <w:pPr>
              <w:spacing w:after="0"/>
              <w:rPr>
                <w:sz w:val="1"/>
                <w:szCs w:val="1"/>
                <w:color w:val="auto"/>
              </w:rPr>
            </w:pPr>
          </w:p>
        </w:tc>
      </w:tr>
      <w:tr>
        <w:trPr>
          <w:trHeight w:val="246"/>
        </w:trPr>
        <w:tc>
          <w:tcPr>
            <w:tcW w:w="4580" w:type="dxa"/>
            <w:vAlign w:val="bottom"/>
          </w:tcPr>
          <w:p>
            <w:pPr>
              <w:ind w:left="180"/>
              <w:spacing w:after="0"/>
              <w:rPr>
                <w:sz w:val="20"/>
                <w:szCs w:val="20"/>
                <w:color w:val="auto"/>
              </w:rPr>
            </w:pPr>
            <w:r>
              <w:rPr>
                <w:rFonts w:ascii="Arial" w:cs="Arial" w:eastAsia="Arial" w:hAnsi="Arial"/>
                <w:sz w:val="15"/>
                <w:szCs w:val="15"/>
                <w:b w:val="1"/>
                <w:bCs w:val="1"/>
                <w:color w:val="auto"/>
              </w:rPr>
              <w:t>Net income / (loss) attributable to Sun Communities, Inc.</w:t>
            </w:r>
          </w:p>
        </w:tc>
        <w:tc>
          <w:tcPr>
            <w:tcW w:w="140" w:type="dxa"/>
            <w:vAlign w:val="bottom"/>
          </w:tcPr>
          <w:p>
            <w:pPr>
              <w:spacing w:after="0"/>
              <w:rPr>
                <w:sz w:val="21"/>
                <w:szCs w:val="21"/>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43,983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(3,170)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40,813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26,218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(5,378)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20,840</w:t>
            </w:r>
          </w:p>
        </w:tc>
        <w:tc>
          <w:tcPr>
            <w:tcW w:w="0" w:type="dxa"/>
            <w:vAlign w:val="bottom"/>
          </w:tcPr>
          <w:p>
            <w:pPr>
              <w:spacing w:after="0"/>
              <w:rPr>
                <w:sz w:val="1"/>
                <w:szCs w:val="1"/>
                <w:color w:val="auto"/>
              </w:rPr>
            </w:pPr>
          </w:p>
        </w:tc>
      </w:tr>
      <w:tr>
        <w:trPr>
          <w:trHeight w:val="274"/>
        </w:trPr>
        <w:tc>
          <w:tcPr>
            <w:tcW w:w="4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Preferred stock distributions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428</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432</w:t>
            </w:r>
          </w:p>
        </w:tc>
        <w:tc>
          <w:tcPr>
            <w:tcW w:w="0" w:type="dxa"/>
            <w:vAlign w:val="bottom"/>
          </w:tcPr>
          <w:p>
            <w:pPr>
              <w:spacing w:after="0"/>
              <w:rPr>
                <w:sz w:val="1"/>
                <w:szCs w:val="1"/>
                <w:color w:val="auto"/>
              </w:rPr>
            </w:pPr>
          </w:p>
        </w:tc>
      </w:tr>
      <w:tr>
        <w:trPr>
          <w:trHeight w:val="152"/>
        </w:trPr>
        <w:tc>
          <w:tcPr>
            <w:tcW w:w="4580" w:type="dxa"/>
            <w:vAlign w:val="bottom"/>
          </w:tcPr>
          <w:p>
            <w:pPr>
              <w:ind w:left="180"/>
              <w:spacing w:after="0" w:line="152" w:lineRule="exact"/>
              <w:rPr>
                <w:sz w:val="20"/>
                <w:szCs w:val="20"/>
                <w:color w:val="auto"/>
              </w:rPr>
            </w:pPr>
            <w:r>
              <w:rPr>
                <w:rFonts w:ascii="Arial" w:cs="Arial" w:eastAsia="Arial" w:hAnsi="Arial"/>
                <w:sz w:val="15"/>
                <w:szCs w:val="15"/>
                <w:b w:val="1"/>
                <w:bCs w:val="1"/>
                <w:color w:val="auto"/>
                <w:w w:val="93"/>
              </w:rPr>
              <w:t>Net income / (loss) attributable to Sun Communities, Inc. common</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43,555</w:t>
            </w:r>
          </w:p>
        </w:tc>
        <w:tc>
          <w:tcPr>
            <w:tcW w:w="12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(3,170)</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40,385</w:t>
            </w:r>
          </w:p>
        </w:tc>
        <w:tc>
          <w:tcPr>
            <w:tcW w:w="2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25,786</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(5,378)</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20,408</w:t>
            </w:r>
          </w:p>
        </w:tc>
        <w:tc>
          <w:tcPr>
            <w:tcW w:w="0" w:type="dxa"/>
            <w:vAlign w:val="bottom"/>
          </w:tcPr>
          <w:p>
            <w:pPr>
              <w:spacing w:after="0"/>
              <w:rPr>
                <w:sz w:val="1"/>
                <w:szCs w:val="1"/>
                <w:color w:val="auto"/>
              </w:rPr>
            </w:pPr>
          </w:p>
        </w:tc>
      </w:tr>
      <w:tr>
        <w:trPr>
          <w:trHeight w:val="198"/>
        </w:trPr>
        <w:tc>
          <w:tcPr>
            <w:tcW w:w="4580" w:type="dxa"/>
            <w:vAlign w:val="bottom"/>
          </w:tcPr>
          <w:p>
            <w:pPr>
              <w:ind w:left="180"/>
              <w:spacing w:after="0"/>
              <w:rPr>
                <w:sz w:val="20"/>
                <w:szCs w:val="20"/>
                <w:color w:val="auto"/>
              </w:rPr>
            </w:pPr>
            <w:r>
              <w:rPr>
                <w:rFonts w:ascii="Arial" w:cs="Arial" w:eastAsia="Arial" w:hAnsi="Arial"/>
                <w:sz w:val="15"/>
                <w:szCs w:val="15"/>
                <w:b w:val="1"/>
                <w:bCs w:val="1"/>
                <w:color w:val="auto"/>
              </w:rPr>
              <w:t>stockholders</w:t>
            </w:r>
          </w:p>
        </w:tc>
        <w:tc>
          <w:tcPr>
            <w:tcW w:w="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8"/>
          </w:tcPr>
          <w:p>
            <w:pPr>
              <w:ind w:left="480"/>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64"/>
        </w:trPr>
        <w:tc>
          <w:tcPr>
            <w:tcW w:w="4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8"/>
              </w:rPr>
              <w:t>June 30, 2019</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b w:val="1"/>
                <w:bCs w:val="1"/>
                <w:color w:val="auto"/>
                <w:w w:val="94"/>
              </w:rPr>
              <w:t>June 30, 2018</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169"/>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right"/>
              <w:ind w:right="60"/>
              <w:spacing w:after="0" w:line="169" w:lineRule="exact"/>
              <w:rPr>
                <w:sz w:val="20"/>
                <w:szCs w:val="20"/>
                <w:color w:val="auto"/>
              </w:rPr>
            </w:pPr>
            <w:r>
              <w:rPr>
                <w:rFonts w:ascii="Arial" w:cs="Arial" w:eastAsia="Arial" w:hAnsi="Arial"/>
                <w:sz w:val="15"/>
                <w:szCs w:val="15"/>
                <w:b w:val="1"/>
                <w:bCs w:val="1"/>
                <w:color w:val="auto"/>
              </w:rPr>
              <w:t>Real Property</w:t>
            </w:r>
          </w:p>
        </w:tc>
        <w:tc>
          <w:tcPr>
            <w:tcW w:w="120" w:type="dxa"/>
            <w:vAlign w:val="bottom"/>
          </w:tcPr>
          <w:p>
            <w:pPr>
              <w:spacing w:after="0"/>
              <w:rPr>
                <w:sz w:val="14"/>
                <w:szCs w:val="14"/>
                <w:color w:val="auto"/>
              </w:rPr>
            </w:pPr>
          </w:p>
        </w:tc>
        <w:tc>
          <w:tcPr>
            <w:tcW w:w="94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w w:val="98"/>
              </w:rPr>
              <w:t>Home 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center"/>
              <w:ind w:right="2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0" w:type="dxa"/>
            <w:vAlign w:val="bottom"/>
          </w:tcPr>
          <w:p>
            <w:pPr>
              <w:spacing w:after="0"/>
              <w:rPr>
                <w:sz w:val="14"/>
                <w:szCs w:val="14"/>
                <w:color w:val="auto"/>
              </w:rPr>
            </w:pPr>
          </w:p>
        </w:tc>
        <w:tc>
          <w:tcPr>
            <w:tcW w:w="900" w:type="dxa"/>
            <w:vAlign w:val="bottom"/>
            <w:gridSpan w:val="4"/>
          </w:tcPr>
          <w:p>
            <w:pPr>
              <w:ind w:left="60"/>
              <w:spacing w:after="0" w:line="169" w:lineRule="exact"/>
              <w:rPr>
                <w:sz w:val="20"/>
                <w:szCs w:val="20"/>
                <w:color w:val="auto"/>
              </w:rPr>
            </w:pPr>
            <w:r>
              <w:rPr>
                <w:rFonts w:ascii="Arial" w:cs="Arial" w:eastAsia="Arial" w:hAnsi="Arial"/>
                <w:sz w:val="15"/>
                <w:szCs w:val="15"/>
                <w:b w:val="1"/>
                <w:bCs w:val="1"/>
                <w:color w:val="auto"/>
                <w:w w:val="96"/>
              </w:rPr>
              <w:t>Home Sales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2"/>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w w:val="93"/>
              </w:rPr>
              <w:t>Operations</w:t>
            </w:r>
          </w:p>
        </w:tc>
        <w:tc>
          <w:tcPr>
            <w:tcW w:w="120" w:type="dxa"/>
            <w:vAlign w:val="bottom"/>
          </w:tcPr>
          <w:p>
            <w:pPr>
              <w:spacing w:after="0"/>
              <w:rPr>
                <w:sz w:val="17"/>
                <w:szCs w:val="17"/>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w w:val="98"/>
              </w:rPr>
              <w:t>and Rentals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w w:val="90"/>
              </w:rPr>
              <w:t>Consolidated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5"/>
                <w:szCs w:val="15"/>
                <w:b w:val="1"/>
                <w:bCs w:val="1"/>
                <w:color w:val="auto"/>
                <w:w w:val="93"/>
              </w:rPr>
              <w:t>Operations</w:t>
            </w:r>
          </w:p>
        </w:tc>
        <w:tc>
          <w:tcPr>
            <w:tcW w:w="100" w:type="dxa"/>
            <w:vAlign w:val="bottom"/>
          </w:tcPr>
          <w:p>
            <w:pPr>
              <w:spacing w:after="0"/>
              <w:rPr>
                <w:sz w:val="17"/>
                <w:szCs w:val="17"/>
                <w:color w:val="auto"/>
              </w:rPr>
            </w:pPr>
          </w:p>
        </w:tc>
        <w:tc>
          <w:tcPr>
            <w:tcW w:w="90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w w:val="96"/>
              </w:rPr>
              <w:t>and Rentals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50"/>
        </w:trPr>
        <w:tc>
          <w:tcPr>
            <w:tcW w:w="4360" w:type="dxa"/>
            <w:vAlign w:val="bottom"/>
          </w:tcPr>
          <w:p>
            <w:pPr>
              <w:ind w:left="40"/>
              <w:spacing w:after="0"/>
              <w:rPr>
                <w:sz w:val="20"/>
                <w:szCs w:val="20"/>
                <w:color w:val="auto"/>
              </w:rPr>
            </w:pPr>
            <w:r>
              <w:rPr>
                <w:rFonts w:ascii="Arial" w:cs="Arial" w:eastAsia="Arial" w:hAnsi="Arial"/>
                <w:sz w:val="15"/>
                <w:szCs w:val="15"/>
                <w:color w:val="auto"/>
              </w:rPr>
              <w:t>Revenues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468,625</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115,243</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583,868</w:t>
            </w:r>
          </w:p>
        </w:tc>
        <w:tc>
          <w:tcPr>
            <w:tcW w:w="340" w:type="dxa"/>
            <w:vAlign w:val="bottom"/>
            <w:gridSpan w:val="3"/>
          </w:tcPr>
          <w:p>
            <w:pPr>
              <w:ind w:left="240"/>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23"/>
              <w:spacing w:after="0"/>
              <w:rPr>
                <w:sz w:val="20"/>
                <w:szCs w:val="20"/>
                <w:color w:val="auto"/>
              </w:rPr>
            </w:pPr>
            <w:r>
              <w:rPr>
                <w:rFonts w:ascii="Arial" w:cs="Arial" w:eastAsia="Arial" w:hAnsi="Arial"/>
                <w:sz w:val="15"/>
                <w:szCs w:val="15"/>
                <w:color w:val="auto"/>
              </w:rPr>
              <w:t>414,480</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102,485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516,965</w:t>
            </w:r>
          </w:p>
        </w:tc>
      </w:tr>
      <w:tr>
        <w:trPr>
          <w:trHeight w:val="274"/>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expenses / Cost of sales</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174,434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73,591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248,025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151,857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68,045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219,902</w:t>
            </w:r>
          </w:p>
        </w:tc>
      </w:tr>
      <w:tr>
        <w:trPr>
          <w:trHeight w:val="246"/>
        </w:trPr>
        <w:tc>
          <w:tcPr>
            <w:tcW w:w="4360" w:type="dxa"/>
            <w:vAlign w:val="bottom"/>
          </w:tcPr>
          <w:p>
            <w:pPr>
              <w:ind w:left="180"/>
              <w:spacing w:after="0"/>
              <w:rPr>
                <w:sz w:val="20"/>
                <w:szCs w:val="20"/>
                <w:color w:val="auto"/>
              </w:rPr>
            </w:pPr>
            <w:r>
              <w:rPr>
                <w:rFonts w:ascii="Arial" w:cs="Arial" w:eastAsia="Arial" w:hAnsi="Arial"/>
                <w:sz w:val="15"/>
                <w:szCs w:val="15"/>
                <w:b w:val="1"/>
                <w:bCs w:val="1"/>
                <w:color w:val="auto"/>
              </w:rPr>
              <w:t>Net operating income / Gross profit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294,191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41,652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335,843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3"/>
              <w:spacing w:after="0"/>
              <w:rPr>
                <w:sz w:val="20"/>
                <w:szCs w:val="20"/>
                <w:color w:val="auto"/>
              </w:rPr>
            </w:pPr>
            <w:r>
              <w:rPr>
                <w:rFonts w:ascii="Arial" w:cs="Arial" w:eastAsia="Arial" w:hAnsi="Arial"/>
                <w:sz w:val="15"/>
                <w:szCs w:val="15"/>
                <w:color w:val="auto"/>
              </w:rPr>
              <w:t>262,623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34,440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297,063</w:t>
            </w:r>
          </w:p>
        </w:tc>
      </w:tr>
      <w:tr>
        <w:trPr>
          <w:trHeight w:val="274"/>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Adjustments to arrive at net income / (loss):</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Interest and other revenues, net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15,907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15,907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3"/>
              <w:spacing w:after="0"/>
              <w:rPr>
                <w:sz w:val="20"/>
                <w:szCs w:val="20"/>
                <w:color w:val="auto"/>
              </w:rPr>
            </w:pPr>
            <w:r>
              <w:rPr>
                <w:rFonts w:ascii="Arial" w:cs="Arial" w:eastAsia="Arial" w:hAnsi="Arial"/>
                <w:sz w:val="15"/>
                <w:szCs w:val="15"/>
                <w:color w:val="auto"/>
              </w:rPr>
              <w:t>12,444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12,444</w:t>
            </w: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Home selling expenses</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(6,950)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(7,276)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(7,276)</w:t>
            </w: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(39,956)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(5,628)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(45,584)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(35,787)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(5,422)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(41,209)</w:t>
            </w: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Catastrophic weather related charges, net</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2,379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2,160</w:t>
            </w: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(115,299)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(37,410)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(152,709)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(101,319)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(32,891)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(134,210)</w:t>
            </w: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on extinguishment of debt</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(1,718)</w:t>
            </w: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Interest expenses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(67,666)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(67,675)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(63,388)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(63,398)</w:t>
            </w: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on mandatorily redeemable preferred OP units / equity</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(1,409)</w:t>
            </w: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Remeasurement of marketable securities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3,887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3,887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income / (expense), net</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(4,445)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(4,445)</w:t>
            </w: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Income / (loss) from nonconsolidated affiliates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737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737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tax expense</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w:t>
            </w:r>
          </w:p>
        </w:tc>
      </w:tr>
      <w:tr>
        <w:trPr>
          <w:trHeight w:val="266"/>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Deferred tax benefit</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313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313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color w:val="auto"/>
              </w:rPr>
              <w:t>235</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235</w:t>
            </w:r>
          </w:p>
        </w:tc>
      </w:tr>
      <w:tr>
        <w:trPr>
          <w:trHeight w:val="25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Net income / (loss)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90,046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82,243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69,384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(11,613)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57,771</w:t>
            </w:r>
          </w:p>
        </w:tc>
      </w:tr>
      <w:tr>
        <w:trPr>
          <w:trHeight w:val="266"/>
        </w:trPr>
        <w:tc>
          <w:tcPr>
            <w:tcW w:w="4360" w:type="dxa"/>
            <w:vAlign w:val="bottom"/>
          </w:tcPr>
          <w:p>
            <w:pPr>
              <w:ind w:left="380"/>
              <w:spacing w:after="0"/>
              <w:rPr>
                <w:sz w:val="20"/>
                <w:szCs w:val="20"/>
                <w:color w:val="auto"/>
              </w:rPr>
            </w:pPr>
            <w:r>
              <w:rPr>
                <w:rFonts w:ascii="Arial" w:cs="Arial" w:eastAsia="Arial" w:hAnsi="Arial"/>
                <w:sz w:val="15"/>
                <w:szCs w:val="15"/>
                <w:color w:val="auto"/>
              </w:rPr>
              <w:t>Less: Preferred return to preferred OP units / equity</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3,041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3,041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3"/>
              <w:spacing w:after="0"/>
              <w:rPr>
                <w:sz w:val="20"/>
                <w:szCs w:val="20"/>
                <w:color w:val="auto"/>
              </w:rPr>
            </w:pPr>
            <w:r>
              <w:rPr>
                <w:rFonts w:ascii="Arial" w:cs="Arial" w:eastAsia="Arial" w:hAnsi="Arial"/>
                <w:sz w:val="15"/>
                <w:szCs w:val="15"/>
                <w:color w:val="auto"/>
              </w:rPr>
              <w:t>2,183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2,183</w:t>
            </w:r>
          </w:p>
        </w:tc>
      </w:tr>
      <w:tr>
        <w:trPr>
          <w:trHeight w:val="274"/>
        </w:trPr>
        <w:tc>
          <w:tcPr>
            <w:tcW w:w="43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Amounts attributable to noncontrolling interests</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3,999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4,900</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(579)</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4,321</w:t>
            </w:r>
          </w:p>
        </w:tc>
      </w:tr>
      <w:tr>
        <w:trPr>
          <w:trHeight w:val="246"/>
        </w:trPr>
        <w:tc>
          <w:tcPr>
            <w:tcW w:w="4360" w:type="dxa"/>
            <w:vAlign w:val="bottom"/>
          </w:tcPr>
          <w:p>
            <w:pPr>
              <w:ind w:left="180"/>
              <w:spacing w:after="0"/>
              <w:rPr>
                <w:sz w:val="20"/>
                <w:szCs w:val="20"/>
                <w:color w:val="auto"/>
              </w:rPr>
            </w:pPr>
            <w:r>
              <w:rPr>
                <w:rFonts w:ascii="Arial" w:cs="Arial" w:eastAsia="Arial" w:hAnsi="Arial"/>
                <w:sz w:val="15"/>
                <w:szCs w:val="15"/>
                <w:b w:val="1"/>
                <w:bCs w:val="1"/>
                <w:color w:val="auto"/>
              </w:rPr>
              <w:t>Net income / (loss) attributable to Sun Communities, Inc.</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83,006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(7,430)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75,576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3"/>
              <w:spacing w:after="0"/>
              <w:rPr>
                <w:sz w:val="20"/>
                <w:szCs w:val="20"/>
                <w:color w:val="auto"/>
              </w:rPr>
            </w:pPr>
            <w:r>
              <w:rPr>
                <w:rFonts w:ascii="Arial" w:cs="Arial" w:eastAsia="Arial" w:hAnsi="Arial"/>
                <w:sz w:val="15"/>
                <w:szCs w:val="15"/>
                <w:color w:val="auto"/>
              </w:rPr>
              <w:t>62,301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(11,034)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51,267</w:t>
            </w:r>
          </w:p>
        </w:tc>
      </w:tr>
      <w:tr>
        <w:trPr>
          <w:trHeight w:val="274"/>
        </w:trPr>
        <w:tc>
          <w:tcPr>
            <w:tcW w:w="43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Preferred stock distributions</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873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873</w:t>
            </w:r>
          </w:p>
        </w:tc>
      </w:tr>
      <w:tr>
        <w:trPr>
          <w:trHeight w:val="142"/>
        </w:trPr>
        <w:tc>
          <w:tcPr>
            <w:tcW w:w="4580" w:type="dxa"/>
            <w:vAlign w:val="bottom"/>
            <w:gridSpan w:val="2"/>
          </w:tcPr>
          <w:p>
            <w:pPr>
              <w:ind w:left="180"/>
              <w:spacing w:after="0" w:line="142" w:lineRule="exact"/>
              <w:rPr>
                <w:sz w:val="20"/>
                <w:szCs w:val="20"/>
                <w:color w:val="auto"/>
              </w:rPr>
            </w:pPr>
            <w:r>
              <w:rPr>
                <w:rFonts w:ascii="Arial" w:cs="Arial" w:eastAsia="Arial" w:hAnsi="Arial"/>
                <w:sz w:val="15"/>
                <w:szCs w:val="15"/>
                <w:b w:val="1"/>
                <w:bCs w:val="1"/>
                <w:color w:val="auto"/>
                <w:w w:val="93"/>
              </w:rPr>
              <w:t>Net income / (loss) attributable to Sun Communities, Inc. common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2"/>
        </w:trPr>
        <w:tc>
          <w:tcPr>
            <w:tcW w:w="4360" w:type="dxa"/>
            <w:vAlign w:val="bottom"/>
          </w:tcPr>
          <w:p>
            <w:pPr>
              <w:ind w:left="180"/>
              <w:spacing w:after="0"/>
              <w:rPr>
                <w:sz w:val="20"/>
                <w:szCs w:val="20"/>
                <w:color w:val="auto"/>
              </w:rPr>
            </w:pPr>
            <w:r>
              <w:rPr>
                <w:rFonts w:ascii="Arial" w:cs="Arial" w:eastAsia="Arial" w:hAnsi="Arial"/>
                <w:sz w:val="15"/>
                <w:szCs w:val="15"/>
                <w:b w:val="1"/>
                <w:bCs w:val="1"/>
                <w:color w:val="auto"/>
              </w:rPr>
              <w:t>stockholders</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82,146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(7,430)</w:t>
            </w:r>
          </w:p>
        </w:tc>
        <w:tc>
          <w:tcPr>
            <w:tcW w:w="12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74,716</w:t>
            </w:r>
          </w:p>
        </w:tc>
        <w:tc>
          <w:tcPr>
            <w:tcW w:w="220" w:type="dxa"/>
            <w:vAlign w:val="bottom"/>
            <w:gridSpan w:val="2"/>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color w:val="auto"/>
              </w:rPr>
              <w:t>61,428</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(11,034)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50,394</w:t>
            </w: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14"/>
        </w:trPr>
        <w:tc>
          <w:tcPr>
            <w:tcW w:w="4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w w:val="93"/>
              </w:rPr>
              <w:t>December 31, 2018</w:t>
            </w:r>
          </w:p>
        </w:tc>
        <w:tc>
          <w:tcPr>
            <w:tcW w:w="1000" w:type="dxa"/>
            <w:vAlign w:val="bottom"/>
            <w:tcBorders>
              <w:bottom w:val="single" w:sz="8" w:color="auto"/>
            </w:tcBorders>
          </w:tcPr>
          <w:p>
            <w:pPr>
              <w:spacing w:after="0"/>
              <w:rPr>
                <w:sz w:val="24"/>
                <w:szCs w:val="24"/>
                <w:color w:val="auto"/>
              </w:rPr>
            </w:pPr>
          </w:p>
        </w:tc>
      </w:tr>
      <w:tr>
        <w:trPr>
          <w:trHeight w:val="169"/>
        </w:trPr>
        <w:tc>
          <w:tcPr>
            <w:tcW w:w="4360" w:type="dxa"/>
            <w:vAlign w:val="bottom"/>
          </w:tcPr>
          <w:p>
            <w:pPr>
              <w:spacing w:after="0"/>
              <w:rPr>
                <w:sz w:val="14"/>
                <w:szCs w:val="14"/>
                <w:color w:val="auto"/>
              </w:rPr>
            </w:pPr>
          </w:p>
        </w:tc>
        <w:tc>
          <w:tcPr>
            <w:tcW w:w="1280" w:type="dxa"/>
            <w:vAlign w:val="bottom"/>
            <w:gridSpan w:val="4"/>
          </w:tcPr>
          <w:p>
            <w:pPr>
              <w:jc w:val="right"/>
              <w:ind w:right="240"/>
              <w:spacing w:after="0" w:line="169" w:lineRule="exact"/>
              <w:rPr>
                <w:sz w:val="20"/>
                <w:szCs w:val="20"/>
                <w:color w:val="auto"/>
              </w:rPr>
            </w:pPr>
            <w:r>
              <w:rPr>
                <w:rFonts w:ascii="Arial" w:cs="Arial" w:eastAsia="Arial" w:hAnsi="Arial"/>
                <w:sz w:val="15"/>
                <w:szCs w:val="15"/>
                <w:b w:val="1"/>
                <w:bCs w:val="1"/>
                <w:color w:val="auto"/>
              </w:rPr>
              <w:t>Real Property</w:t>
            </w:r>
          </w:p>
        </w:tc>
        <w:tc>
          <w:tcPr>
            <w:tcW w:w="1060" w:type="dxa"/>
            <w:vAlign w:val="bottom"/>
            <w:gridSpan w:val="4"/>
          </w:tcPr>
          <w:p>
            <w:pPr>
              <w:jc w:val="right"/>
              <w:ind w:right="220"/>
              <w:spacing w:after="0" w:line="169" w:lineRule="exact"/>
              <w:rPr>
                <w:sz w:val="20"/>
                <w:szCs w:val="20"/>
                <w:color w:val="auto"/>
              </w:rPr>
            </w:pPr>
            <w:r>
              <w:rPr>
                <w:rFonts w:ascii="Arial" w:cs="Arial" w:eastAsia="Arial" w:hAnsi="Arial"/>
                <w:sz w:val="15"/>
                <w:szCs w:val="15"/>
                <w:b w:val="1"/>
                <w:bCs w:val="1"/>
                <w:color w:val="auto"/>
                <w:w w:val="96"/>
              </w:rPr>
              <w:t>Home 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ind w:left="40"/>
              <w:spacing w:after="0" w:line="169" w:lineRule="exact"/>
              <w:rPr>
                <w:sz w:val="20"/>
                <w:szCs w:val="20"/>
                <w:color w:val="auto"/>
              </w:rPr>
            </w:pPr>
            <w:r>
              <w:rPr>
                <w:rFonts w:ascii="Arial" w:cs="Arial" w:eastAsia="Arial" w:hAnsi="Arial"/>
                <w:sz w:val="15"/>
                <w:szCs w:val="15"/>
                <w:b w:val="1"/>
                <w:bCs w:val="1"/>
                <w:color w:val="auto"/>
              </w:rPr>
              <w:t>Real Property</w:t>
            </w:r>
          </w:p>
        </w:tc>
        <w:tc>
          <w:tcPr>
            <w:tcW w:w="1000" w:type="dxa"/>
            <w:vAlign w:val="bottom"/>
            <w:gridSpan w:val="5"/>
          </w:tcPr>
          <w:p>
            <w:pPr>
              <w:ind w:left="40"/>
              <w:spacing w:after="0" w:line="169" w:lineRule="exact"/>
              <w:rPr>
                <w:sz w:val="20"/>
                <w:szCs w:val="20"/>
                <w:color w:val="auto"/>
              </w:rPr>
            </w:pPr>
            <w:r>
              <w:rPr>
                <w:rFonts w:ascii="Arial" w:cs="Arial" w:eastAsia="Arial" w:hAnsi="Arial"/>
                <w:sz w:val="15"/>
                <w:szCs w:val="15"/>
                <w:b w:val="1"/>
                <w:bCs w:val="1"/>
                <w:color w:val="auto"/>
              </w:rPr>
              <w:t>Home Sales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4360" w:type="dxa"/>
            <w:vAlign w:val="bottom"/>
          </w:tcPr>
          <w:p>
            <w:pPr>
              <w:spacing w:after="0"/>
              <w:rPr>
                <w:sz w:val="17"/>
                <w:szCs w:val="17"/>
                <w:color w:val="auto"/>
              </w:rPr>
            </w:pPr>
          </w:p>
        </w:tc>
        <w:tc>
          <w:tcPr>
            <w:tcW w:w="1280" w:type="dxa"/>
            <w:vAlign w:val="bottom"/>
            <w:gridSpan w:val="4"/>
          </w:tcPr>
          <w:p>
            <w:pPr>
              <w:jc w:val="right"/>
              <w:ind w:right="340"/>
              <w:spacing w:after="0"/>
              <w:rPr>
                <w:sz w:val="20"/>
                <w:szCs w:val="20"/>
                <w:color w:val="auto"/>
              </w:rPr>
            </w:pPr>
            <w:r>
              <w:rPr>
                <w:rFonts w:ascii="Arial" w:cs="Arial" w:eastAsia="Arial" w:hAnsi="Arial"/>
                <w:sz w:val="15"/>
                <w:szCs w:val="15"/>
                <w:b w:val="1"/>
                <w:bCs w:val="1"/>
                <w:color w:val="auto"/>
              </w:rPr>
              <w:t>Operations</w:t>
            </w:r>
          </w:p>
        </w:tc>
        <w:tc>
          <w:tcPr>
            <w:tcW w:w="1060" w:type="dxa"/>
            <w:vAlign w:val="bottom"/>
            <w:gridSpan w:val="4"/>
          </w:tcPr>
          <w:p>
            <w:pPr>
              <w:jc w:val="right"/>
              <w:ind w:right="200"/>
              <w:spacing w:after="0"/>
              <w:rPr>
                <w:sz w:val="20"/>
                <w:szCs w:val="20"/>
                <w:color w:val="auto"/>
              </w:rPr>
            </w:pPr>
            <w:r>
              <w:rPr>
                <w:rFonts w:ascii="Arial" w:cs="Arial" w:eastAsia="Arial" w:hAnsi="Arial"/>
                <w:sz w:val="15"/>
                <w:szCs w:val="15"/>
                <w:b w:val="1"/>
                <w:bCs w:val="1"/>
                <w:color w:val="auto"/>
                <w:w w:val="98"/>
              </w:rPr>
              <w:t>and Rentals</w:t>
            </w:r>
          </w:p>
        </w:tc>
        <w:tc>
          <w:tcPr>
            <w:tcW w:w="12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Consolidated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ind w:left="20"/>
              <w:spacing w:after="0"/>
              <w:rPr>
                <w:sz w:val="20"/>
                <w:szCs w:val="20"/>
                <w:color w:val="auto"/>
              </w:rPr>
            </w:pPr>
            <w:r>
              <w:rPr>
                <w:rFonts w:ascii="Arial" w:cs="Arial" w:eastAsia="Arial" w:hAnsi="Arial"/>
                <w:sz w:val="15"/>
                <w:szCs w:val="15"/>
                <w:b w:val="1"/>
                <w:bCs w:val="1"/>
                <w:color w:val="auto"/>
              </w:rPr>
              <w:t>Operations</w:t>
            </w:r>
          </w:p>
        </w:tc>
        <w:tc>
          <w:tcPr>
            <w:tcW w:w="1000" w:type="dxa"/>
            <w:vAlign w:val="bottom"/>
            <w:gridSpan w:val="5"/>
          </w:tcPr>
          <w:p>
            <w:pPr>
              <w:ind w:left="4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Pr>
          <w:p>
            <w:pPr>
              <w:spacing w:after="0"/>
              <w:rPr>
                <w:sz w:val="17"/>
                <w:szCs w:val="17"/>
                <w:color w:val="auto"/>
              </w:rPr>
            </w:pPr>
          </w:p>
        </w:tc>
        <w:tc>
          <w:tcPr>
            <w:tcW w:w="112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w w:val="94"/>
              </w:rPr>
              <w:t>Consolidated</w:t>
            </w:r>
          </w:p>
        </w:tc>
      </w:tr>
      <w:tr>
        <w:trPr>
          <w:trHeight w:val="253"/>
        </w:trPr>
        <w:tc>
          <w:tcPr>
            <w:tcW w:w="4360" w:type="dxa"/>
            <w:vAlign w:val="bottom"/>
          </w:tcPr>
          <w:p>
            <w:pPr>
              <w:ind w:left="40"/>
              <w:spacing w:after="0"/>
              <w:rPr>
                <w:sz w:val="20"/>
                <w:szCs w:val="20"/>
                <w:color w:val="auto"/>
              </w:rPr>
            </w:pPr>
            <w:r>
              <w:rPr>
                <w:rFonts w:ascii="Arial" w:cs="Arial" w:eastAsia="Arial" w:hAnsi="Arial"/>
                <w:sz w:val="15"/>
                <w:szCs w:val="15"/>
                <w:b w:val="1"/>
                <w:bCs w:val="1"/>
                <w:color w:val="auto"/>
              </w:rPr>
              <w:t>Identifiable assets</w:t>
            </w:r>
          </w:p>
        </w:tc>
        <w:tc>
          <w:tcPr>
            <w:tcW w:w="2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 property, net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8"/>
              </w:rPr>
              <w:t>6,009,366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9"/>
              </w:rPr>
              <w:t>558,478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6,567,844</w:t>
            </w:r>
          </w:p>
        </w:tc>
        <w:tc>
          <w:tcPr>
            <w:tcW w:w="1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5,586,444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531,872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6,118,316</w:t>
            </w: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(5,184)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33,888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28,704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24,343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25,968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50,311</w:t>
            </w: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Marketable securities</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53,553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53,553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49,037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49,037</w:t>
            </w: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Inventory of manufactured homes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55,869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55,869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49,199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49,199</w:t>
            </w:r>
          </w:p>
        </w:tc>
      </w:tr>
      <w:tr>
        <w:trPr>
          <w:trHeight w:val="274"/>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Notes and other receivables, net</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146,648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17,655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164,303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145,673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14,404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160,077</w:t>
            </w:r>
          </w:p>
        </w:tc>
      </w:tr>
      <w:tr>
        <w:trPr>
          <w:trHeight w:val="266"/>
        </w:trPr>
        <w:tc>
          <w:tcPr>
            <w:tcW w:w="4360" w:type="dxa"/>
            <w:vAlign w:val="bottom"/>
          </w:tcPr>
          <w:p>
            <w:pPr>
              <w:ind w:left="180"/>
              <w:spacing w:after="0"/>
              <w:rPr>
                <w:sz w:val="20"/>
                <w:szCs w:val="20"/>
                <w:color w:val="auto"/>
              </w:rPr>
            </w:pPr>
            <w:r>
              <w:rPr>
                <w:rFonts w:ascii="Arial" w:cs="Arial" w:eastAsia="Arial" w:hAnsi="Arial"/>
                <w:sz w:val="15"/>
                <w:szCs w:val="15"/>
                <w:color w:val="auto"/>
              </w:rPr>
              <w:t>Collateralized receivables, net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97,658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97,658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106,924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106,924</w:t>
            </w: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assets, net</w:t>
            </w:r>
          </w:p>
        </w:tc>
        <w:tc>
          <w:tcPr>
            <w:tcW w:w="2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178,195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75,958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254,153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140,027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36,135</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176,162</w:t>
            </w:r>
          </w:p>
        </w:tc>
      </w:tr>
      <w:tr>
        <w:trPr>
          <w:trHeight w:val="241"/>
        </w:trPr>
        <w:tc>
          <w:tcPr>
            <w:tcW w:w="4360" w:type="dxa"/>
            <w:vAlign w:val="bottom"/>
          </w:tcPr>
          <w:p>
            <w:pPr>
              <w:ind w:left="28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w w:val="98"/>
              </w:rPr>
              <w:t>6,480,236</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0"/>
                <w:szCs w:val="20"/>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w w:val="99"/>
              </w:rPr>
              <w:t>741,848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0"/>
                <w:szCs w:val="20"/>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7,222,084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w w:val="95"/>
              </w:rPr>
              <w:t>6,052,448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657,578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6,710,026</w:t>
            </w: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quarter ended June 30, 2019.</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The Company is also subject to local income taxes in Canada as a result of the acquisition of Carefree in 2016. We do not provide for withholding taxes on our undistributed earnings from our Canadian subsidiaries as they are reinvested and will continue to be reinvested indefinitely outside of the U.S.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reflect the impact of temporary differences between the amounts of assets and liabilities for financial reporting purposes and the bases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U.S. GAAP on our Canadian investments. Our deferred tax assets that have a full valuation allowance relate to our taxable REIT subsidiaries (“TRS”) business. Net deferred tax liabilities of $20.1 million and $21.7 million for Canadian entities have been recorded in relation to corporate entities and included in “Other liabilities” in our Consolidated Balance Sheets as of June 30, 2019 and June 30, 2018, respectively. There are no U.S. federal deferred tax assets or liabilities included in our Consolidated Balance Sheets as of June 30, 2019 and December 31, 2018.</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unrecognized tax benefits as of June 30, 2019 and 2018. We do not expect significant changes in tax positions that would result in unrecognized tax benefits within one year of June 30, 2019.</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June 30, 2019 and 2018, we recorded a current tax expense for federal, state, and Canadian income taxes of $0.3 million and $0.2 million, respectively. For the six months ended June 30, 2019 and 2018, we recorded a current tax expense of $0.5 million and $0.4 million, respectively.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2019, we recorded a deferred tax benefit of $0.1 million. For the three months ended June 30, 2018, we recorded a deferred tax expense $0.1 million. For the six months ended June 30, 2019 and 2018, we recorded a deferred tax benefit of $0.3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outstanding stock options, unvested restricted common shares, and Series A-4 Preferred Stock, and our Operating Partnership has: outstanding common OP units; Series A-1 preferred OP units; Series A-3 preferred OP units; Series A-4 preferred OP units; Series C preferred OP units; Series D preferred OP units; and Aspen preferred OP Units, which, if converted or exercised, may impact dilution.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61"/>
        </w:trPr>
        <w:tc>
          <w:tcPr>
            <w:tcW w:w="5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2019</w:t>
            </w:r>
          </w:p>
        </w:tc>
        <w:tc>
          <w:tcPr>
            <w:tcW w:w="200" w:type="dxa"/>
            <w:vAlign w:val="bottom"/>
          </w:tcPr>
          <w:p>
            <w:pPr>
              <w:spacing w:after="0"/>
              <w:rPr>
                <w:sz w:val="22"/>
                <w:szCs w:val="22"/>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2018</w:t>
            </w:r>
          </w:p>
        </w:tc>
        <w:tc>
          <w:tcPr>
            <w:tcW w:w="14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80" w:type="dxa"/>
            <w:vAlign w:val="bottom"/>
          </w:tcPr>
          <w:p>
            <w:pPr>
              <w:spacing w:after="0"/>
              <w:rPr>
                <w:sz w:val="22"/>
                <w:szCs w:val="22"/>
                <w:color w:val="auto"/>
              </w:rPr>
            </w:pPr>
          </w:p>
        </w:tc>
        <w:tc>
          <w:tcPr>
            <w:tcW w:w="1180" w:type="dxa"/>
            <w:vAlign w:val="bottom"/>
          </w:tcPr>
          <w:p>
            <w:pPr>
              <w:jc w:val="right"/>
              <w:ind w:right="163"/>
              <w:spacing w:after="0"/>
              <w:rPr>
                <w:sz w:val="20"/>
                <w:szCs w:val="20"/>
                <w:color w:val="auto"/>
              </w:rPr>
            </w:pPr>
            <w:r>
              <w:rPr>
                <w:rFonts w:ascii="Arial" w:cs="Arial" w:eastAsia="Arial" w:hAnsi="Arial"/>
                <w:sz w:val="15"/>
                <w:szCs w:val="15"/>
                <w:b w:val="1"/>
                <w:bCs w:val="1"/>
                <w:color w:val="auto"/>
                <w:w w:val="94"/>
              </w:rPr>
              <w:t>June 30, 2018</w:t>
            </w:r>
          </w:p>
        </w:tc>
        <w:tc>
          <w:tcPr>
            <w:tcW w:w="0" w:type="dxa"/>
            <w:vAlign w:val="bottom"/>
          </w:tcPr>
          <w:p>
            <w:pPr>
              <w:spacing w:after="0"/>
              <w:rPr>
                <w:sz w:val="1"/>
                <w:szCs w:val="1"/>
                <w:color w:val="auto"/>
              </w:rPr>
            </w:pPr>
          </w:p>
        </w:tc>
      </w:tr>
      <w:tr>
        <w:trPr>
          <w:trHeight w:val="266"/>
        </w:trPr>
        <w:tc>
          <w:tcPr>
            <w:tcW w:w="5380" w:type="dxa"/>
            <w:vAlign w:val="bottom"/>
          </w:tcPr>
          <w:p>
            <w:pPr>
              <w:ind w:left="40"/>
              <w:spacing w:after="0"/>
              <w:rPr>
                <w:sz w:val="20"/>
                <w:szCs w:val="20"/>
                <w:color w:val="auto"/>
              </w:rPr>
            </w:pPr>
            <w:r>
              <w:rPr>
                <w:rFonts w:ascii="Arial" w:cs="Arial" w:eastAsia="Arial" w:hAnsi="Arial"/>
                <w:sz w:val="15"/>
                <w:szCs w:val="15"/>
                <w:b w:val="1"/>
                <w:bCs w:val="1"/>
                <w:color w:val="auto"/>
              </w:rPr>
              <w:t>Numerator</w:t>
            </w:r>
          </w:p>
        </w:tc>
        <w:tc>
          <w:tcPr>
            <w:tcW w:w="20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attributable to common stockholders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40,385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20,408</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74,716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50,394</w:t>
            </w:r>
          </w:p>
        </w:tc>
        <w:tc>
          <w:tcPr>
            <w:tcW w:w="0" w:type="dxa"/>
            <w:vAlign w:val="bottom"/>
          </w:tcPr>
          <w:p>
            <w:pPr>
              <w:spacing w:after="0"/>
              <w:rPr>
                <w:sz w:val="1"/>
                <w:szCs w:val="1"/>
                <w:color w:val="auto"/>
              </w:rPr>
            </w:pPr>
          </w:p>
        </w:tc>
      </w:tr>
      <w:tr>
        <w:trPr>
          <w:trHeight w:val="266"/>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Less allocation to restricted stock awards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180"/>
              <w:spacing w:after="0" w:line="160" w:lineRule="exact"/>
              <w:rPr>
                <w:sz w:val="20"/>
                <w:szCs w:val="20"/>
                <w:color w:val="auto"/>
              </w:rPr>
            </w:pPr>
            <w:r>
              <w:rPr>
                <w:rFonts w:ascii="Arial" w:cs="Arial" w:eastAsia="Arial" w:hAnsi="Arial"/>
                <w:sz w:val="15"/>
                <w:szCs w:val="15"/>
                <w:color w:val="auto"/>
                <w:w w:val="96"/>
              </w:rPr>
              <w:t>Basic earnings - Net income attributable to common stockholders after allocation</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 restricted stock awards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39,937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20,289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73,829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49,972</w:t>
            </w:r>
          </w:p>
        </w:tc>
        <w:tc>
          <w:tcPr>
            <w:tcW w:w="0" w:type="dxa"/>
            <w:vAlign w:val="bottom"/>
          </w:tcPr>
          <w:p>
            <w:pPr>
              <w:spacing w:after="0"/>
              <w:rPr>
                <w:sz w:val="1"/>
                <w:szCs w:val="1"/>
                <w:color w:val="auto"/>
              </w:rPr>
            </w:pPr>
          </w:p>
        </w:tc>
      </w:tr>
      <w:tr>
        <w:trPr>
          <w:trHeight w:val="266"/>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Add allocation to restricted stock awards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448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119</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887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180"/>
              <w:spacing w:after="0" w:line="160" w:lineRule="exact"/>
              <w:rPr>
                <w:sz w:val="20"/>
                <w:szCs w:val="20"/>
                <w:color w:val="auto"/>
              </w:rPr>
            </w:pPr>
            <w:r>
              <w:rPr>
                <w:rFonts w:ascii="Arial" w:cs="Arial" w:eastAsia="Arial" w:hAnsi="Arial"/>
                <w:sz w:val="15"/>
                <w:szCs w:val="15"/>
                <w:color w:val="auto"/>
              </w:rPr>
              <w:t>Diluted earnings - Net income attributable to common stockholders after</w:t>
            </w: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40,385</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20,408</w:t>
            </w:r>
          </w:p>
        </w:tc>
        <w:tc>
          <w:tcPr>
            <w:tcW w:w="2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74,716</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50,394</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allocation to restricted stock awards</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Denominator</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380" w:type="dxa"/>
            <w:vAlign w:val="bottom"/>
          </w:tcPr>
          <w:p>
            <w:pPr>
              <w:ind w:left="180"/>
              <w:spacing w:after="0"/>
              <w:rPr>
                <w:sz w:val="20"/>
                <w:szCs w:val="20"/>
                <w:color w:val="auto"/>
              </w:rPr>
            </w:pPr>
            <w:r>
              <w:rPr>
                <w:rFonts w:ascii="Arial" w:cs="Arial" w:eastAsia="Arial" w:hAnsi="Arial"/>
                <w:sz w:val="15"/>
                <w:szCs w:val="15"/>
                <w:color w:val="auto"/>
              </w:rPr>
              <w:t>Weighted average common shares outstanding</w:t>
            </w:r>
          </w:p>
        </w:tc>
        <w:tc>
          <w:tcPr>
            <w:tcW w:w="200" w:type="dxa"/>
            <w:vAlign w:val="bottom"/>
          </w:tcPr>
          <w:p>
            <w:pPr>
              <w:spacing w:after="0"/>
              <w:rPr>
                <w:sz w:val="23"/>
                <w:szCs w:val="23"/>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87,130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79,612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86,325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79,233</w:t>
            </w:r>
          </w:p>
        </w:tc>
        <w:tc>
          <w:tcPr>
            <w:tcW w:w="0" w:type="dxa"/>
            <w:vAlign w:val="bottom"/>
          </w:tcPr>
          <w:p>
            <w:pPr>
              <w:spacing w:after="0"/>
              <w:rPr>
                <w:sz w:val="1"/>
                <w:szCs w:val="1"/>
                <w:color w:val="auto"/>
              </w:rPr>
            </w:pPr>
          </w:p>
        </w:tc>
      </w:tr>
      <w:tr>
        <w:trPr>
          <w:trHeight w:val="274"/>
        </w:trPr>
        <w:tc>
          <w:tcPr>
            <w:tcW w:w="5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 dilutive stock options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66"/>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Add: dilutive restricted stock</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433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502</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Diluted weighted average common shares and securities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87,564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80,116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86,770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79,905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Earnings per share available to common stockholders after allocation</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380" w:type="dxa"/>
            <w:vAlign w:val="bottom"/>
          </w:tcPr>
          <w:p>
            <w:pPr>
              <w:ind w:left="380"/>
              <w:spacing w:after="0"/>
              <w:rPr>
                <w:sz w:val="20"/>
                <w:szCs w:val="20"/>
                <w:color w:val="auto"/>
              </w:rPr>
            </w:pPr>
            <w:r>
              <w:rPr>
                <w:rFonts w:ascii="Arial" w:cs="Arial" w:eastAsia="Arial" w:hAnsi="Arial"/>
                <w:sz w:val="15"/>
                <w:szCs w:val="15"/>
                <w:color w:val="auto"/>
              </w:rPr>
              <w:t>Basic</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0.46</w:t>
            </w:r>
          </w:p>
        </w:tc>
        <w:tc>
          <w:tcPr>
            <w:tcW w:w="12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0.25</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0.86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0.63</w:t>
            </w:r>
          </w:p>
        </w:tc>
        <w:tc>
          <w:tcPr>
            <w:tcW w:w="0" w:type="dxa"/>
            <w:vAlign w:val="bottom"/>
          </w:tcPr>
          <w:p>
            <w:pPr>
              <w:spacing w:after="0"/>
              <w:rPr>
                <w:sz w:val="1"/>
                <w:szCs w:val="1"/>
                <w:color w:val="auto"/>
              </w:rPr>
            </w:pPr>
          </w:p>
        </w:tc>
      </w:tr>
      <w:tr>
        <w:trPr>
          <w:trHeight w:val="274"/>
        </w:trPr>
        <w:tc>
          <w:tcPr>
            <w:tcW w:w="5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0.25</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June 30, 2019 and 2018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283"/>
              <w:spacing w:after="0"/>
              <w:rPr>
                <w:sz w:val="20"/>
                <w:szCs w:val="20"/>
                <w:color w:val="auto"/>
              </w:rPr>
            </w:pPr>
            <w:r>
              <w:rPr>
                <w:rFonts w:ascii="Arial" w:cs="Arial" w:eastAsia="Arial" w:hAnsi="Arial"/>
                <w:sz w:val="15"/>
                <w:szCs w:val="15"/>
                <w:b w:val="1"/>
                <w:bCs w:val="1"/>
                <w:color w:val="auto"/>
                <w:w w:val="79"/>
              </w:rPr>
              <w:t>As of</w:t>
            </w:r>
          </w:p>
        </w:tc>
      </w:tr>
      <w:tr>
        <w:trPr>
          <w:trHeight w:val="264"/>
        </w:trPr>
        <w:tc>
          <w:tcPr>
            <w:tcW w:w="836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June 30, 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June 30, 2018</w:t>
            </w:r>
          </w:p>
        </w:tc>
      </w:tr>
      <w:tr>
        <w:trPr>
          <w:trHeight w:val="25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Series A-4 Preferred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168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1,063</w:t>
            </w:r>
          </w:p>
        </w:tc>
      </w:tr>
      <w:tr>
        <w:trPr>
          <w:trHeight w:val="266"/>
        </w:trPr>
        <w:tc>
          <w:tcPr>
            <w:tcW w:w="8360" w:type="dxa"/>
            <w:vAlign w:val="bottom"/>
          </w:tcPr>
          <w:p>
            <w:pPr>
              <w:ind w:left="40"/>
              <w:spacing w:after="0"/>
              <w:rPr>
                <w:sz w:val="20"/>
                <w:szCs w:val="20"/>
                <w:color w:val="auto"/>
              </w:rPr>
            </w:pPr>
            <w:r>
              <w:rPr>
                <w:rFonts w:ascii="Arial" w:cs="Arial" w:eastAsia="Arial" w:hAnsi="Arial"/>
                <w:sz w:val="15"/>
                <w:szCs w:val="15"/>
                <w:color w:val="auto"/>
              </w:rPr>
              <w:t>Common OP units</w:t>
            </w:r>
          </w:p>
        </w:tc>
        <w:tc>
          <w:tcPr>
            <w:tcW w:w="1380" w:type="dxa"/>
            <w:vAlign w:val="bottom"/>
          </w:tcPr>
          <w:p>
            <w:pPr>
              <w:jc w:val="right"/>
              <w:spacing w:after="0"/>
              <w:rPr>
                <w:sz w:val="20"/>
                <w:szCs w:val="20"/>
                <w:color w:val="auto"/>
              </w:rPr>
            </w:pPr>
            <w:r>
              <w:rPr>
                <w:rFonts w:ascii="Arial" w:cs="Arial" w:eastAsia="Arial" w:hAnsi="Arial"/>
                <w:sz w:val="15"/>
                <w:szCs w:val="15"/>
                <w:color w:val="auto"/>
              </w:rPr>
              <w:t>2,289</w:t>
            </w:r>
          </w:p>
        </w:tc>
        <w:tc>
          <w:tcPr>
            <w:tcW w:w="1680" w:type="dxa"/>
            <w:vAlign w:val="bottom"/>
            <w:gridSpan w:val="3"/>
          </w:tcPr>
          <w:p>
            <w:pPr>
              <w:jc w:val="right"/>
              <w:ind w:right="23"/>
              <w:spacing w:after="0"/>
              <w:rPr>
                <w:sz w:val="20"/>
                <w:szCs w:val="20"/>
                <w:color w:val="auto"/>
              </w:rPr>
            </w:pPr>
            <w:r>
              <w:rPr>
                <w:rFonts w:ascii="Arial" w:cs="Arial" w:eastAsia="Arial" w:hAnsi="Arial"/>
                <w:sz w:val="15"/>
                <w:szCs w:val="15"/>
                <w:color w:val="auto"/>
              </w:rPr>
              <w:t>2,731</w:t>
            </w: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A-1 preferred OP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168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337</w:t>
            </w:r>
          </w:p>
        </w:tc>
      </w:tr>
      <w:tr>
        <w:trPr>
          <w:trHeight w:val="266"/>
        </w:trPr>
        <w:tc>
          <w:tcPr>
            <w:tcW w:w="8360" w:type="dxa"/>
            <w:vAlign w:val="bottom"/>
          </w:tcPr>
          <w:p>
            <w:pPr>
              <w:ind w:left="40"/>
              <w:spacing w:after="0"/>
              <w:rPr>
                <w:sz w:val="20"/>
                <w:szCs w:val="20"/>
                <w:color w:val="auto"/>
              </w:rPr>
            </w:pPr>
            <w:r>
              <w:rPr>
                <w:rFonts w:ascii="Arial" w:cs="Arial" w:eastAsia="Arial" w:hAnsi="Arial"/>
                <w:sz w:val="15"/>
                <w:szCs w:val="15"/>
                <w:color w:val="auto"/>
              </w:rPr>
              <w:t>A-3 preferred OP units</w:t>
            </w:r>
          </w:p>
        </w:tc>
        <w:tc>
          <w:tcPr>
            <w:tcW w:w="1380" w:type="dxa"/>
            <w:vAlign w:val="bottom"/>
          </w:tcPr>
          <w:p>
            <w:pPr>
              <w:jc w:val="right"/>
              <w:spacing w:after="0"/>
              <w:rPr>
                <w:sz w:val="20"/>
                <w:szCs w:val="20"/>
                <w:color w:val="auto"/>
              </w:rPr>
            </w:pPr>
            <w:r>
              <w:rPr>
                <w:rFonts w:ascii="Arial" w:cs="Arial" w:eastAsia="Arial" w:hAnsi="Arial"/>
                <w:sz w:val="15"/>
                <w:szCs w:val="15"/>
                <w:color w:val="auto"/>
              </w:rPr>
              <w:t>40</w:t>
            </w:r>
          </w:p>
        </w:tc>
        <w:tc>
          <w:tcPr>
            <w:tcW w:w="1680" w:type="dxa"/>
            <w:vAlign w:val="bottom"/>
            <w:gridSpan w:val="3"/>
          </w:tcPr>
          <w:p>
            <w:pPr>
              <w:jc w:val="right"/>
              <w:ind w:right="23"/>
              <w:spacing w:after="0"/>
              <w:rPr>
                <w:sz w:val="20"/>
                <w:szCs w:val="20"/>
                <w:color w:val="auto"/>
              </w:rPr>
            </w:pPr>
            <w:r>
              <w:rPr>
                <w:rFonts w:ascii="Arial" w:cs="Arial" w:eastAsia="Arial" w:hAnsi="Arial"/>
                <w:sz w:val="15"/>
                <w:szCs w:val="15"/>
                <w:color w:val="auto"/>
              </w:rPr>
              <w:t>40</w:t>
            </w: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A-4 preferred OP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168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412</w:t>
            </w:r>
          </w:p>
        </w:tc>
      </w:tr>
      <w:tr>
        <w:trPr>
          <w:trHeight w:val="266"/>
        </w:trPr>
        <w:tc>
          <w:tcPr>
            <w:tcW w:w="8360" w:type="dxa"/>
            <w:vAlign w:val="bottom"/>
          </w:tcPr>
          <w:p>
            <w:pPr>
              <w:ind w:left="40"/>
              <w:spacing w:after="0"/>
              <w:rPr>
                <w:sz w:val="20"/>
                <w:szCs w:val="20"/>
                <w:color w:val="auto"/>
              </w:rPr>
            </w:pPr>
            <w:r>
              <w:rPr>
                <w:rFonts w:ascii="Arial" w:cs="Arial" w:eastAsia="Arial" w:hAnsi="Arial"/>
                <w:sz w:val="15"/>
                <w:szCs w:val="15"/>
                <w:color w:val="auto"/>
              </w:rPr>
              <w:t>Series C Preferred OP units</w:t>
            </w:r>
          </w:p>
        </w:tc>
        <w:tc>
          <w:tcPr>
            <w:tcW w:w="1380" w:type="dxa"/>
            <w:vAlign w:val="bottom"/>
          </w:tcPr>
          <w:p>
            <w:pPr>
              <w:jc w:val="right"/>
              <w:spacing w:after="0"/>
              <w:rPr>
                <w:sz w:val="20"/>
                <w:szCs w:val="20"/>
                <w:color w:val="auto"/>
              </w:rPr>
            </w:pPr>
            <w:r>
              <w:rPr>
                <w:rFonts w:ascii="Arial" w:cs="Arial" w:eastAsia="Arial" w:hAnsi="Arial"/>
                <w:sz w:val="15"/>
                <w:szCs w:val="15"/>
                <w:color w:val="auto"/>
              </w:rPr>
              <w:t>314</w:t>
            </w:r>
          </w:p>
        </w:tc>
        <w:tc>
          <w:tcPr>
            <w:tcW w:w="1680" w:type="dxa"/>
            <w:vAlign w:val="bottom"/>
            <w:gridSpan w:val="3"/>
          </w:tcPr>
          <w:p>
            <w:pPr>
              <w:jc w:val="right"/>
              <w:ind w:right="23"/>
              <w:spacing w:after="0"/>
              <w:rPr>
                <w:sz w:val="20"/>
                <w:szCs w:val="20"/>
                <w:color w:val="auto"/>
              </w:rPr>
            </w:pPr>
            <w:r>
              <w:rPr>
                <w:rFonts w:ascii="Arial" w:cs="Arial" w:eastAsia="Arial" w:hAnsi="Arial"/>
                <w:sz w:val="15"/>
                <w:szCs w:val="15"/>
                <w:color w:val="auto"/>
              </w:rPr>
              <w:t>314</w:t>
            </w: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Series D Preferred OP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Aspen Preferred OP units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1,284</w:t>
            </w:r>
          </w:p>
        </w:tc>
      </w:tr>
      <w:tr>
        <w:trPr>
          <w:trHeight w:val="241"/>
        </w:trPr>
        <w:tc>
          <w:tcPr>
            <w:tcW w:w="836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securities</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6,198</w:t>
            </w:r>
          </w:p>
        </w:tc>
        <w:tc>
          <w:tcPr>
            <w:tcW w:w="168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6,181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consist primarily of cash and cash equivalents, accounts and notes receivable, accounts payable, and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the Company’s market assumption. This hierarchy requires the use of observable market data when available. These two types of inputs have created the following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unadjusted prices for identical instruments in active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3—Valuations derived from valuation techniques in which one or more significant inputs or significant value drivers are unobservable.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2018, we purchased marketable securities on the Australian Securities Exchange (“ASX”) for total consideration of $54 million US. The marketable securities held by us and accounted for under the ASC 321 “</w:t>
      </w:r>
      <w:r>
        <w:rPr>
          <w:rFonts w:ascii="Arial" w:cs="Arial" w:eastAsia="Arial" w:hAnsi="Arial"/>
          <w:sz w:val="16"/>
          <w:szCs w:val="16"/>
          <w:i w:val="1"/>
          <w:iCs w:val="1"/>
          <w:color w:val="auto"/>
        </w:rPr>
        <w:t>Investment Equity Securities</w:t>
      </w:r>
      <w:r>
        <w:rPr>
          <w:rFonts w:ascii="Arial" w:cs="Arial" w:eastAsia="Arial" w:hAnsi="Arial"/>
          <w:sz w:val="16"/>
          <w:szCs w:val="16"/>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6"/>
          <w:szCs w:val="16"/>
          <w:i w:val="1"/>
          <w:iCs w:val="1"/>
          <w:color w:val="auto"/>
        </w:rPr>
        <w:t>Financial Instruments</w:t>
      </w:r>
    </w:p>
    <w:p>
      <w:pPr>
        <w:ind w:right="20" w:firstLine="8"/>
        <w:spacing w:after="0" w:line="261" w:lineRule="auto"/>
        <w:tabs>
          <w:tab w:leader="none" w:pos="111"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Overall (Subtopic 825-10): Recognition and measurement of financial assets and financial liabilities</w:t>
      </w:r>
      <w:r>
        <w:rPr>
          <w:rFonts w:ascii="Arial" w:cs="Arial" w:eastAsia="Arial" w:hAnsi="Arial"/>
          <w:sz w:val="18"/>
          <w:szCs w:val="18"/>
          <w:color w:val="auto"/>
        </w:rPr>
        <w:t>.” The fair value is measured by the quoted unadjusted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 of which is readily available in active markets (Level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carrying value of the installment notes receivable on manufactured homes estimates the fair value as the interest rates in the portfolio are comparable to current prevailing market rates (Level 2). Refer to Note 5, “Notes and Other Receivables.”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Lines of Credit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(excluding the secured borrowing) is based on the estimates of management and on rates currently quoted, rates currently prevailing for comparable loans, and instruments of comparable maturities (Level 2). Refer to Note 9, “Debt and Lines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Receivables and Secured Borrowings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these financial instruments offset each other as our collateralized receivables represent a transfer of financial assets and the cash proceeds received from these transactions have been classified as a secured borrowing on the Consolidated Balance Sheets. The net carrying value of the collateralized receivables estimates the fair value as the interest rates in the portfolio are comparable to current prevailing market rates (Level 2). Refer to Note 4, “Collateralized Receivables and Transfers of Financial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the fair value of our contingent consideration liability based on discounting of future cash flows using market interest rates and adjusting for non-performance risk over the remaining term of the liability (Level 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accounts receivable, and accounts payable approximate their fair market values due to the short-term nature of these instruments.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table below sets forth our financial assets and liabilities that required disclosure of fair value on a recurring basis as of June 30, 2019. The table presents the carrying values and fair values of our financial instruments as of June 30, 2019 and December 31, 2018, that were measured using the valuation techniques described above (in thousands). The table excludes other financial instruments such as cash and cash equivalents, accounts receivable, and accounts payable as the carrying values associated with these instruments approximate fair value since their maturities are less than one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 2019</w:t>
            </w: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5"/>
                <w:szCs w:val="15"/>
                <w:b w:val="1"/>
                <w:bCs w:val="1"/>
                <w:color w:val="auto"/>
              </w:rPr>
              <w:t>December 31, 2018</w:t>
            </w:r>
          </w:p>
        </w:tc>
      </w:tr>
      <w:tr>
        <w:trPr>
          <w:trHeight w:val="169"/>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600"/>
              <w:spacing w:after="0" w:line="169" w:lineRule="exact"/>
              <w:rPr>
                <w:sz w:val="20"/>
                <w:szCs w:val="20"/>
                <w:color w:val="auto"/>
              </w:rPr>
            </w:pPr>
            <w:r>
              <w:rPr>
                <w:rFonts w:ascii="Arial" w:cs="Arial" w:eastAsia="Arial" w:hAnsi="Arial"/>
                <w:sz w:val="15"/>
                <w:szCs w:val="15"/>
                <w:b w:val="1"/>
                <w:bCs w:val="1"/>
                <w:color w:val="auto"/>
              </w:rPr>
              <w:t>Fair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43"/>
              <w:spacing w:after="0" w:line="169" w:lineRule="exact"/>
              <w:rPr>
                <w:sz w:val="20"/>
                <w:szCs w:val="20"/>
                <w:color w:val="auto"/>
              </w:rPr>
            </w:pPr>
            <w:r>
              <w:rPr>
                <w:rFonts w:ascii="Arial" w:cs="Arial" w:eastAsia="Arial" w:hAnsi="Arial"/>
                <w:sz w:val="15"/>
                <w:szCs w:val="15"/>
                <w:b w:val="1"/>
                <w:bCs w:val="1"/>
                <w:color w:val="auto"/>
              </w:rPr>
              <w:t>Fair</w:t>
            </w:r>
          </w:p>
        </w:tc>
      </w:tr>
      <w:tr>
        <w:trPr>
          <w:trHeight w:val="202"/>
        </w:trPr>
        <w:tc>
          <w:tcPr>
            <w:tcW w:w="6400" w:type="dxa"/>
            <w:vAlign w:val="bottom"/>
          </w:tcPr>
          <w:p>
            <w:pPr>
              <w:ind w:left="40"/>
              <w:spacing w:after="0"/>
              <w:rPr>
                <w:sz w:val="20"/>
                <w:szCs w:val="20"/>
                <w:color w:val="auto"/>
              </w:rPr>
            </w:pPr>
            <w:r>
              <w:rPr>
                <w:rFonts w:ascii="Arial" w:cs="Arial" w:eastAsia="Arial" w:hAnsi="Arial"/>
                <w:sz w:val="15"/>
                <w:szCs w:val="15"/>
                <w:b w:val="1"/>
                <w:bCs w:val="1"/>
                <w:color w:val="auto"/>
              </w:rPr>
              <w:t>Financial assets</w:t>
            </w: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Carrying Value</w:t>
            </w:r>
          </w:p>
        </w:tc>
        <w:tc>
          <w:tcPr>
            <w:tcW w:w="380" w:type="dxa"/>
            <w:vAlign w:val="bottom"/>
          </w:tcPr>
          <w:p>
            <w:pPr>
              <w:spacing w:after="0"/>
              <w:rPr>
                <w:sz w:val="17"/>
                <w:szCs w:val="17"/>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5"/>
                <w:szCs w:val="15"/>
                <w:b w:val="1"/>
                <w:bCs w:val="1"/>
                <w:color w:val="auto"/>
                <w:w w:val="94"/>
              </w:rPr>
              <w:t>Value</w:t>
            </w: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Pr>
          <w:p>
            <w:pPr>
              <w:spacing w:after="0"/>
              <w:rPr>
                <w:sz w:val="17"/>
                <w:szCs w:val="17"/>
                <w:color w:val="auto"/>
              </w:rPr>
            </w:pPr>
          </w:p>
        </w:tc>
        <w:tc>
          <w:tcPr>
            <w:tcW w:w="880" w:type="dxa"/>
            <w:vAlign w:val="bottom"/>
          </w:tcPr>
          <w:p>
            <w:pPr>
              <w:jc w:val="right"/>
              <w:ind w:right="303"/>
              <w:spacing w:after="0"/>
              <w:rPr>
                <w:sz w:val="20"/>
                <w:szCs w:val="20"/>
                <w:color w:val="auto"/>
              </w:rPr>
            </w:pPr>
            <w:r>
              <w:rPr>
                <w:rFonts w:ascii="Arial" w:cs="Arial" w:eastAsia="Arial" w:hAnsi="Arial"/>
                <w:sz w:val="15"/>
                <w:szCs w:val="15"/>
                <w:b w:val="1"/>
                <w:bCs w:val="1"/>
                <w:color w:val="auto"/>
              </w:rPr>
              <w:t>Value</w:t>
            </w:r>
          </w:p>
        </w:tc>
      </w:tr>
      <w:tr>
        <w:trPr>
          <w:trHeight w:val="254"/>
        </w:trPr>
        <w:tc>
          <w:tcPr>
            <w:tcW w:w="6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Marketable securities</w:t>
            </w:r>
          </w:p>
        </w:tc>
        <w:tc>
          <w:tcPr>
            <w:tcW w:w="2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53,553</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53,553</w:t>
            </w: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49,037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49,037</w:t>
            </w:r>
          </w:p>
        </w:tc>
      </w:tr>
      <w:tr>
        <w:trPr>
          <w:trHeight w:val="266"/>
        </w:trPr>
        <w:tc>
          <w:tcPr>
            <w:tcW w:w="6400" w:type="dxa"/>
            <w:vAlign w:val="bottom"/>
          </w:tcPr>
          <w:p>
            <w:pPr>
              <w:ind w:left="180"/>
              <w:spacing w:after="0"/>
              <w:rPr>
                <w:sz w:val="20"/>
                <w:szCs w:val="20"/>
                <w:color w:val="auto"/>
              </w:rPr>
            </w:pPr>
            <w:r>
              <w:rPr>
                <w:rFonts w:ascii="Arial" w:cs="Arial" w:eastAsia="Arial" w:hAnsi="Arial"/>
                <w:sz w:val="15"/>
                <w:szCs w:val="15"/>
                <w:color w:val="auto"/>
              </w:rPr>
              <w:t>Installment notes receivable on manufactured homes, net</w:t>
            </w:r>
          </w:p>
        </w:tc>
        <w:tc>
          <w:tcPr>
            <w:tcW w:w="280" w:type="dxa"/>
            <w:vAlign w:val="bottom"/>
          </w:tcPr>
          <w:p>
            <w:pPr>
              <w:spacing w:after="0"/>
              <w:rPr>
                <w:sz w:val="23"/>
                <w:szCs w:val="23"/>
                <w:color w:val="auto"/>
              </w:rPr>
            </w:pPr>
          </w:p>
        </w:tc>
        <w:tc>
          <w:tcPr>
            <w:tcW w:w="900" w:type="dxa"/>
            <w:vAlign w:val="bottom"/>
          </w:tcPr>
          <w:p>
            <w:pPr>
              <w:jc w:val="right"/>
              <w:ind w:right="63"/>
              <w:spacing w:after="0"/>
              <w:rPr>
                <w:sz w:val="20"/>
                <w:szCs w:val="20"/>
                <w:color w:val="auto"/>
              </w:rPr>
            </w:pPr>
            <w:r>
              <w:rPr>
                <w:rFonts w:ascii="Arial" w:cs="Arial" w:eastAsia="Arial" w:hAnsi="Arial"/>
                <w:sz w:val="15"/>
                <w:szCs w:val="15"/>
                <w:color w:val="auto"/>
              </w:rPr>
              <w:t>104,559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104,559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112,798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112,798</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Collateralized receivables, net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97,658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97,658</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106,924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106,924</w:t>
            </w:r>
          </w:p>
        </w:tc>
      </w:tr>
      <w:tr>
        <w:trPr>
          <w:trHeight w:val="281"/>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255,770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255,770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268,759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268,759</w:t>
            </w:r>
          </w:p>
        </w:tc>
      </w:tr>
      <w:tr>
        <w:trPr>
          <w:trHeight w:val="224"/>
        </w:trPr>
        <w:tc>
          <w:tcPr>
            <w:tcW w:w="64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Financial liabilities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6"/>
        </w:trPr>
        <w:tc>
          <w:tcPr>
            <w:tcW w:w="6400" w:type="dxa"/>
            <w:vAlign w:val="bottom"/>
          </w:tcPr>
          <w:p>
            <w:pPr>
              <w:ind w:left="180"/>
              <w:spacing w:after="0"/>
              <w:rPr>
                <w:sz w:val="20"/>
                <w:szCs w:val="20"/>
                <w:color w:val="auto"/>
              </w:rPr>
            </w:pPr>
            <w:r>
              <w:rPr>
                <w:rFonts w:ascii="Arial" w:cs="Arial" w:eastAsia="Arial" w:hAnsi="Arial"/>
                <w:sz w:val="15"/>
                <w:szCs w:val="15"/>
                <w:color w:val="auto"/>
              </w:rPr>
              <w:t>Debt (excluding secured borrowings)</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3"/>
              <w:spacing w:after="0"/>
              <w:rPr>
                <w:sz w:val="20"/>
                <w:szCs w:val="20"/>
                <w:color w:val="auto"/>
              </w:rPr>
            </w:pPr>
            <w:r>
              <w:rPr>
                <w:rFonts w:ascii="Arial" w:cs="Arial" w:eastAsia="Arial" w:hAnsi="Arial"/>
                <w:sz w:val="15"/>
                <w:szCs w:val="15"/>
                <w:color w:val="auto"/>
              </w:rPr>
              <w:t>2,933,397</w:t>
            </w:r>
          </w:p>
        </w:tc>
        <w:tc>
          <w:tcPr>
            <w:tcW w:w="120" w:type="dxa"/>
            <w:vAlign w:val="bottom"/>
          </w:tcPr>
          <w:p>
            <w:pPr>
              <w:spacing w:after="0"/>
              <w:rPr>
                <w:sz w:val="23"/>
                <w:szCs w:val="23"/>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w w:val="95"/>
              </w:rPr>
              <w:t>2,977,195</w:t>
            </w:r>
          </w:p>
        </w:tc>
        <w:tc>
          <w:tcPr>
            <w:tcW w:w="2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2,888,572</w:t>
            </w:r>
          </w:p>
        </w:tc>
        <w:tc>
          <w:tcPr>
            <w:tcW w:w="10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2,757,649</w:t>
            </w:r>
          </w:p>
        </w:tc>
      </w:tr>
      <w:tr>
        <w:trPr>
          <w:trHeight w:val="274"/>
        </w:trPr>
        <w:tc>
          <w:tcPr>
            <w:tcW w:w="6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Secured borrowings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98,299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98,299</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107,731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107,731</w:t>
            </w:r>
          </w:p>
        </w:tc>
      </w:tr>
      <w:tr>
        <w:trPr>
          <w:trHeight w:val="266"/>
        </w:trPr>
        <w:tc>
          <w:tcPr>
            <w:tcW w:w="6400" w:type="dxa"/>
            <w:vAlign w:val="bottom"/>
          </w:tcPr>
          <w:p>
            <w:pPr>
              <w:ind w:left="180"/>
              <w:spacing w:after="0"/>
              <w:rPr>
                <w:sz w:val="20"/>
                <w:szCs w:val="20"/>
                <w:color w:val="auto"/>
              </w:rPr>
            </w:pPr>
            <w:r>
              <w:rPr>
                <w:rFonts w:ascii="Arial" w:cs="Arial" w:eastAsia="Arial" w:hAnsi="Arial"/>
                <w:sz w:val="15"/>
                <w:szCs w:val="15"/>
                <w:color w:val="auto"/>
              </w:rPr>
              <w:t>Lines of credit</w:t>
            </w:r>
          </w:p>
        </w:tc>
        <w:tc>
          <w:tcPr>
            <w:tcW w:w="280" w:type="dxa"/>
            <w:vAlign w:val="bottom"/>
          </w:tcPr>
          <w:p>
            <w:pPr>
              <w:spacing w:after="0"/>
              <w:rPr>
                <w:sz w:val="23"/>
                <w:szCs w:val="23"/>
                <w:color w:val="auto"/>
              </w:rPr>
            </w:pPr>
          </w:p>
        </w:tc>
        <w:tc>
          <w:tcPr>
            <w:tcW w:w="900" w:type="dxa"/>
            <w:vAlign w:val="bottom"/>
          </w:tcPr>
          <w:p>
            <w:pPr>
              <w:jc w:val="right"/>
              <w:ind w:right="63"/>
              <w:spacing w:after="0"/>
              <w:rPr>
                <w:sz w:val="20"/>
                <w:szCs w:val="20"/>
                <w:color w:val="auto"/>
              </w:rPr>
            </w:pPr>
            <w:r>
              <w:rPr>
                <w:rFonts w:ascii="Arial" w:cs="Arial" w:eastAsia="Arial" w:hAnsi="Arial"/>
                <w:sz w:val="15"/>
                <w:szCs w:val="15"/>
                <w:color w:val="auto"/>
              </w:rPr>
              <w:t>76,079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76,079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128,000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128,000</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liabilities (contingent consideration)</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4,765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4,765</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4,640</w:t>
            </w:r>
          </w:p>
        </w:tc>
      </w:tr>
      <w:tr>
        <w:trPr>
          <w:trHeight w:val="241"/>
        </w:trPr>
        <w:tc>
          <w:tcPr>
            <w:tcW w:w="640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3,112,540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3,156,338</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3,128,943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2,998,020</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ASC 2016-02 codified in ASC Topic 842, Leases, which amends the guidance in former ASC Topic 840, Leases. On January 1, 2019, we adopted ASC 2016-02. The new standard increases transparency and comparability most significantly by requiring the recognition by lessees of right-of-use (“ROU”) assets and lease liabilities on the balance sheet for those leases classified as operating leases and disclose key information about leasing arrangements. As amended by ASU 2018-11, comparative reporting periods are presented in accordance with Topic 840, while periods subsequent to the effective date are presented in accordance with Topic 842. The Company elected the package of practical expedients, which permits the Company not to reassess expired or existing contracts containing a lease, the lease classification for expired or existing contracts, initial direct costs for any existing leases. The Company elected not to allocate lease obligation between lease and non-lease components of our agreements for both leases where we are a lessor and leases where we are a lessee. The Company did not elect the hindsight practical expedient, which permits the company to use hindsight in determining the lease terms and impairment implications. The Company did not elect to use a portfolio approach in the valuation of ROU assets and corresponding liabilities. Some ROU assets include an extension option, which is included in the ROU assets and liabilities only if we are reasonably certain to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income from real property and rental home revenue streams are derived from rental agreements where we are the lessor. Our recognition of rental revenue remains mainly consistent with previous guidance, apart from the narrower definition of initial direct costs that can be capitalized.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842 limits the definition of initial direct costs to only the incremental costs of signing a lease. Internal sales employees’ compensation, payroll-related fringe benefits, certain legal fees rendered prior to the execution of a lease, negotiation costs, advertising and other origination effort costs no longer meet the definition of initial direct costs under the new standard, and will be accounted for as general and administrative expense in our condensed consolidated statements of operations. ASC 842 permits the capitalization of direct commission costs. The application of ASC 842 resulted in an immaterial impact on the statement of consolidated operations.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6"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leases with customers are classified as operating leases. Lease income from tenants is recognized on a straight-line basis over the terms of the relevant lease agreement and is included within income from real property, rental home revenue and ancillary revenue on the Consolidated Statements of Operations. Revenue is not recognized when collection is not reasonably assured. When collectability is not reasonably assured, the resident is placed on non-accrual status and revenue is recognized when cash payments are received.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if an arrangement is a lease at inception. Our operating lease agreements are primarily for executive office spaces, ground leases at certain communities, and certain equipment leases. The ROU asset and ROU liabilities are included within Other assets, net and Other liabilities on the Consolidated Balance Sheets.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operating leases with a term greater than one year, the company recognizes the ROU assets and liabilities related to the lease payments on the Consolidated Balance Sheets. The lease liabilities are initially and subsequently measured at the present value of the unpaid lease payments at the lease commencement date. The ROU assets represent our right to use the underlying assets for the term of the lease and the lease liabilities represent our obligation to make lease payments arising for the agreements. The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unamortized initial direct costs, plus (minus) any prepaid (accrued) lease payments, less the unamortized balance of lease incentives received. Lease expense for lease payments is recognized on a straight-line basis over the lease term. The ROU asset is periodically reduced by impairment losses. As of June 30, 2019, we have not encountered any impairment losses. Variable lease payments, except for the ones that depend on index or rate, are excluded from the calculation of the ROU assets and lease liabilities and are recognized as variable lease expense in the consolidated Statement of Operations in the period in which they are incurred. As most of our leases do not provide an implicit rate, we use our incremental borrowing rate based on the information available at commencement date in determining the present value of lease payments. Many of our lessee agreements include options to extend the lease, which we do not include in our minimum lease terms unless they are reasonably certain to be exercised. The Lease liability costs are amortized over the straight-line method over the term of the lease. Operating leases with a term of less than one year are recognized as a lease expense over the term of the lease, with no asset or liability recognized on the Consolidated Balance Sheets.</w:t>
      </w:r>
    </w:p>
    <w:p>
      <w:pPr>
        <w:spacing w:after="0" w:line="1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Finance leases where we are the lessee are included in Other assets, net and Other liabilities on our Consolidated Balance Sheets. The lease liabilities are initially measured in the same manner as operating leases and are subsequently measured at amortized cost using the effective interest method. The ROU asset is initially measured at cost, which comprises the initial amount of the lease liability adjusted for lease payments made at or before the lease commencement date, plus any initial direct costs incurred less any lease incentives received. 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 ROU assets are periodically reduced by impairment losses. As of June 30, 2019, we have not encountered any impairment losses. Refer to Note 18, “Leases,” for information regarding leasing activities.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 2018,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Refer to Note 2, “Revenue” for information regarding our adoption of this guidance.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On January 1, 2018, we adopted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and now capitalize direct acquisition related costs as part of the purchase price of asset acquisitions. Under previous guidance, substantially all of our property acquisitions were accounted for as business combinations with identifiable assets and liabilities measured at fair value, and acquisition related costs expensed as incurred.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we adopted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This update required inclusion of restricted cash and restricted cash equivalents with cash and cash equivalents when reconciling the beginning-of-period and end-of-period total amounts shown on the statement of cash flows.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restricted cash consists of amounts primarily held in deposit for tax, insurance and repair escrows held by lenders in accordance with certain debt agreements. Restricted cash is included as a component of Other assets, net on the Consolidated Balance Sheets. Changes in restricted cash are reported in our Consolidated Statements of Cash Flows as operating, investing or financing activities based on the nature of the underlying activity.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our beginning-of-period and end-of-period balances of cash, cash equivalents and restricted cash for the periods shown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2019</w:t>
            </w:r>
          </w:p>
        </w:tc>
        <w:tc>
          <w:tcPr>
            <w:tcW w:w="1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2018</w:t>
            </w:r>
          </w:p>
        </w:tc>
        <w:tc>
          <w:tcPr>
            <w:tcW w:w="22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2018</w:t>
            </w:r>
          </w:p>
        </w:tc>
        <w:tc>
          <w:tcPr>
            <w:tcW w:w="140" w:type="dxa"/>
            <w:vAlign w:val="bottom"/>
          </w:tcPr>
          <w:p>
            <w:pPr>
              <w:spacing w:after="0"/>
              <w:rPr>
                <w:sz w:val="17"/>
                <w:szCs w:val="17"/>
                <w:color w:val="auto"/>
              </w:rPr>
            </w:pPr>
          </w:p>
        </w:tc>
        <w:tc>
          <w:tcPr>
            <w:tcW w:w="1440" w:type="dxa"/>
            <w:vAlign w:val="bottom"/>
          </w:tcPr>
          <w:p>
            <w:pPr>
              <w:jc w:val="right"/>
              <w:ind w:right="103"/>
              <w:spacing w:after="0"/>
              <w:rPr>
                <w:sz w:val="20"/>
                <w:szCs w:val="20"/>
                <w:color w:val="auto"/>
              </w:rPr>
            </w:pPr>
            <w:r>
              <w:rPr>
                <w:rFonts w:ascii="Arial" w:cs="Arial" w:eastAsia="Arial" w:hAnsi="Arial"/>
                <w:sz w:val="15"/>
                <w:szCs w:val="15"/>
                <w:b w:val="1"/>
                <w:bCs w:val="1"/>
                <w:color w:val="auto"/>
                <w:w w:val="91"/>
              </w:rPr>
              <w:t>December 31, 2017</w:t>
            </w:r>
          </w:p>
        </w:tc>
      </w:tr>
      <w:tr>
        <w:trPr>
          <w:trHeight w:val="254"/>
        </w:trPr>
        <w:tc>
          <w:tcPr>
            <w:tcW w:w="4580" w:type="dxa"/>
            <w:vAlign w:val="bottom"/>
            <w:tcBorders>
              <w:top w:val="single" w:sz="8" w:color="D2F0FF"/>
            </w:tcBorders>
            <w:shd w:val="clear" w:color="auto" w:fill="D2F0FF"/>
          </w:tcPr>
          <w:p>
            <w:pPr>
              <w:ind w:left="40"/>
              <w:spacing w:after="0"/>
              <w:rPr>
                <w:sz w:val="20"/>
                <w:szCs w:val="20"/>
                <w:color w:val="auto"/>
              </w:rPr>
            </w:pPr>
            <w:r>
              <w:rPr>
                <w:rFonts w:ascii="Arial" w:cs="Arial" w:eastAsia="Arial" w:hAnsi="Arial"/>
                <w:sz w:val="15"/>
                <w:szCs w:val="15"/>
                <w:color w:val="auto"/>
              </w:rPr>
              <w:t>Cash and cash equivalents</w:t>
            </w:r>
          </w:p>
        </w:tc>
        <w:tc>
          <w:tcPr>
            <w:tcW w:w="240" w:type="dxa"/>
            <w:vAlign w:val="bottom"/>
            <w:tcBorders>
              <w:top w:val="single" w:sz="8" w:color="auto"/>
            </w:tcBorders>
            <w:shd w:val="clear" w:color="auto" w:fill="D2F0FF"/>
          </w:tcPr>
          <w:p>
            <w:pPr>
              <w:jc w:val="right"/>
              <w:ind w:right="6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28,704</w:t>
            </w:r>
          </w:p>
        </w:tc>
        <w:tc>
          <w:tcPr>
            <w:tcW w:w="120" w:type="dxa"/>
            <w:vAlign w:val="bottom"/>
            <w:tcBorders>
              <w:top w:val="single" w:sz="8" w:color="D2F0FF"/>
            </w:tcBorders>
            <w:shd w:val="clear" w:color="auto" w:fill="D2F0FF"/>
          </w:tcPr>
          <w:p>
            <w:pPr>
              <w:spacing w:after="0"/>
              <w:rPr>
                <w:sz w:val="22"/>
                <w:szCs w:val="22"/>
                <w:color w:val="auto"/>
              </w:rPr>
            </w:pPr>
          </w:p>
        </w:tc>
        <w:tc>
          <w:tcPr>
            <w:tcW w:w="16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50,311</w:t>
            </w:r>
          </w:p>
        </w:tc>
        <w:tc>
          <w:tcPr>
            <w:tcW w:w="220" w:type="dxa"/>
            <w:vAlign w:val="bottom"/>
            <w:tcBorders>
              <w:top w:val="single" w:sz="8" w:color="D2F0FF"/>
            </w:tcBorders>
            <w:shd w:val="clear" w:color="auto" w:fill="D2F0FF"/>
          </w:tcPr>
          <w:p>
            <w:pPr>
              <w:spacing w:after="0"/>
              <w:rPr>
                <w:sz w:val="22"/>
                <w:szCs w:val="22"/>
                <w:color w:val="auto"/>
              </w:rPr>
            </w:pPr>
          </w:p>
        </w:tc>
        <w:tc>
          <w:tcPr>
            <w:tcW w:w="22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20,046</w:t>
            </w:r>
          </w:p>
        </w:tc>
        <w:tc>
          <w:tcPr>
            <w:tcW w:w="100" w:type="dxa"/>
            <w:vAlign w:val="bottom"/>
            <w:tcBorders>
              <w:top w:val="single" w:sz="8" w:color="D2F0FF"/>
            </w:tcBorders>
            <w:shd w:val="clear" w:color="auto" w:fill="D2F0FF"/>
          </w:tcPr>
          <w:p>
            <w:pPr>
              <w:spacing w:after="0"/>
              <w:rPr>
                <w:sz w:val="22"/>
                <w:szCs w:val="22"/>
                <w:color w:val="auto"/>
              </w:rPr>
            </w:pPr>
          </w:p>
        </w:tc>
        <w:tc>
          <w:tcPr>
            <w:tcW w:w="14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10,127</w:t>
            </w:r>
          </w:p>
        </w:tc>
      </w:tr>
      <w:tr>
        <w:trPr>
          <w:trHeight w:val="266"/>
        </w:trPr>
        <w:tc>
          <w:tcPr>
            <w:tcW w:w="4580" w:type="dxa"/>
            <w:vAlign w:val="bottom"/>
            <w:tcBorders>
              <w:bottom w:val="single" w:sz="8" w:color="D2F0FF"/>
            </w:tcBorders>
          </w:tcPr>
          <w:p>
            <w:pPr>
              <w:ind w:left="40"/>
              <w:spacing w:after="0"/>
              <w:rPr>
                <w:sz w:val="20"/>
                <w:szCs w:val="20"/>
                <w:color w:val="auto"/>
              </w:rPr>
            </w:pPr>
            <w:r>
              <w:rPr>
                <w:rFonts w:ascii="Arial" w:cs="Arial" w:eastAsia="Arial" w:hAnsi="Arial"/>
                <w:sz w:val="15"/>
                <w:szCs w:val="15"/>
                <w:color w:val="auto"/>
              </w:rPr>
              <w:t>Restricted cash</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17,334</w:t>
            </w:r>
          </w:p>
        </w:tc>
        <w:tc>
          <w:tcPr>
            <w:tcW w:w="120" w:type="dxa"/>
            <w:vAlign w:val="bottom"/>
            <w:tcBorders>
              <w:bottom w:val="single" w:sz="8" w:color="D2F0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11,951</w:t>
            </w:r>
          </w:p>
        </w:tc>
        <w:tc>
          <w:tcPr>
            <w:tcW w:w="220" w:type="dxa"/>
            <w:vAlign w:val="bottom"/>
            <w:tcBorders>
              <w:bottom w:val="single" w:sz="8" w:color="D2F0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16,755</w:t>
            </w:r>
          </w:p>
        </w:tc>
        <w:tc>
          <w:tcPr>
            <w:tcW w:w="100" w:type="dxa"/>
            <w:vAlign w:val="bottom"/>
            <w:tcBorders>
              <w:bottom w:val="single" w:sz="8" w:color="D2F0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13,382</w:t>
            </w:r>
          </w:p>
        </w:tc>
      </w:tr>
      <w:tr>
        <w:trPr>
          <w:trHeight w:val="237"/>
        </w:trPr>
        <w:tc>
          <w:tcPr>
            <w:tcW w:w="4580" w:type="dxa"/>
            <w:vAlign w:val="bottom"/>
            <w:tcBorders>
              <w:bottom w:val="single" w:sz="8" w:color="D2F0FF"/>
            </w:tcBorders>
            <w:shd w:val="clear" w:color="auto" w:fill="D2F0FF"/>
          </w:tcPr>
          <w:p>
            <w:pPr>
              <w:ind w:left="40"/>
              <w:spacing w:after="0"/>
              <w:rPr>
                <w:sz w:val="20"/>
                <w:szCs w:val="20"/>
                <w:color w:val="auto"/>
              </w:rPr>
            </w:pPr>
            <w:r>
              <w:rPr>
                <w:rFonts w:ascii="Arial" w:cs="Arial" w:eastAsia="Arial" w:hAnsi="Arial"/>
                <w:sz w:val="15"/>
                <w:szCs w:val="15"/>
                <w:b w:val="1"/>
                <w:bCs w:val="1"/>
                <w:color w:val="auto"/>
              </w:rPr>
              <w:t>Cash, cash equivalents and restricted cash</w:t>
            </w:r>
          </w:p>
        </w:tc>
        <w:tc>
          <w:tcPr>
            <w:tcW w:w="240" w:type="dxa"/>
            <w:vAlign w:val="bottom"/>
            <w:tcBorders>
              <w:bottom w:val="single" w:sz="8" w:color="auto"/>
            </w:tcBorders>
            <w:shd w:val="clear" w:color="auto" w:fill="D2F0FF"/>
          </w:tcPr>
          <w:p>
            <w:pPr>
              <w:jc w:val="right"/>
              <w:ind w:right="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46,038</w:t>
            </w:r>
          </w:p>
        </w:tc>
        <w:tc>
          <w:tcPr>
            <w:tcW w:w="120" w:type="dxa"/>
            <w:vAlign w:val="bottom"/>
            <w:tcBorders>
              <w:bottom w:val="single" w:sz="8" w:color="D2F0FF"/>
            </w:tcBorders>
            <w:shd w:val="clear" w:color="auto" w:fill="D2F0FF"/>
          </w:tcPr>
          <w:p>
            <w:pPr>
              <w:spacing w:after="0"/>
              <w:rPr>
                <w:sz w:val="20"/>
                <w:szCs w:val="20"/>
                <w:color w:val="auto"/>
              </w:rPr>
            </w:pPr>
          </w:p>
        </w:tc>
        <w:tc>
          <w:tcPr>
            <w:tcW w:w="16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62,262</w:t>
            </w:r>
          </w:p>
        </w:tc>
        <w:tc>
          <w:tcPr>
            <w:tcW w:w="220" w:type="dxa"/>
            <w:vAlign w:val="bottom"/>
            <w:tcBorders>
              <w:bottom w:val="single" w:sz="8" w:color="D2F0FF"/>
            </w:tcBorders>
            <w:shd w:val="clear" w:color="auto" w:fill="D2F0FF"/>
          </w:tcPr>
          <w:p>
            <w:pPr>
              <w:spacing w:after="0"/>
              <w:rPr>
                <w:sz w:val="20"/>
                <w:szCs w:val="20"/>
                <w:color w:val="auto"/>
              </w:rPr>
            </w:pPr>
          </w:p>
        </w:tc>
        <w:tc>
          <w:tcPr>
            <w:tcW w:w="220" w:type="dxa"/>
            <w:vAlign w:val="bottom"/>
            <w:tcBorders>
              <w:bottom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36,801</w:t>
            </w:r>
          </w:p>
        </w:tc>
        <w:tc>
          <w:tcPr>
            <w:tcW w:w="100" w:type="dxa"/>
            <w:vAlign w:val="bottom"/>
            <w:tcBorders>
              <w:bottom w:val="single" w:sz="8" w:color="D2F0FF"/>
            </w:tcBorders>
            <w:shd w:val="clear" w:color="auto" w:fill="D2F0FF"/>
          </w:tcPr>
          <w:p>
            <w:pPr>
              <w:spacing w:after="0"/>
              <w:rPr>
                <w:sz w:val="20"/>
                <w:szCs w:val="20"/>
                <w:color w:val="auto"/>
              </w:rPr>
            </w:pPr>
          </w:p>
        </w:tc>
        <w:tc>
          <w:tcPr>
            <w:tcW w:w="14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23,509</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update replaces the incurred loss impairment methodology in current GAAP with a methodology that reflects expected credit losses and requires consideration of a broader range of reasonable and supportable information to inform credit loss estimates. The amendments in this update are effective for fiscal years beginning after December 15, 2019, including interim periods within those fiscal years. We are in the process of reviewing the population and analyzing the impact of the guidance on our accounting policies regarding assessment of, and allowance for, credit losses on loans and other financial instruments.</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4"/>
          <w:szCs w:val="14"/>
          <w:b w:val="1"/>
          <w:bCs w:val="1"/>
          <w:color w:val="auto"/>
        </w:rPr>
        <w:t>Leases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as of the quarter ended June 30, 2019 where we are the lessee include: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tcPr>
          <w:p>
            <w:pPr>
              <w:ind w:left="40"/>
              <w:spacing w:after="0"/>
              <w:rPr>
                <w:sz w:val="20"/>
                <w:szCs w:val="20"/>
                <w:color w:val="auto"/>
              </w:rPr>
            </w:pPr>
            <w:r>
              <w:rPr>
                <w:rFonts w:ascii="Arial" w:cs="Arial" w:eastAsia="Arial" w:hAnsi="Arial"/>
                <w:sz w:val="15"/>
                <w:szCs w:val="15"/>
                <w:b w:val="1"/>
                <w:bCs w:val="1"/>
                <w:color w:val="auto"/>
              </w:rPr>
              <w:t xml:space="preserve">Maturity of lease liabilities </w:t>
            </w:r>
            <w:r>
              <w:rPr>
                <w:rFonts w:ascii="Arial" w:cs="Arial" w:eastAsia="Arial" w:hAnsi="Arial"/>
                <w:sz w:val="15"/>
                <w:szCs w:val="15"/>
                <w:color w:val="auto"/>
              </w:rPr>
              <w:t>(in thousands)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4"/>
        </w:trPr>
        <w:tc>
          <w:tcPr>
            <w:tcW w:w="6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tcPr>
          <w:p>
            <w:pPr>
              <w:ind w:left="40"/>
              <w:spacing w:after="0"/>
              <w:rPr>
                <w:sz w:val="20"/>
                <w:szCs w:val="20"/>
                <w:color w:val="auto"/>
              </w:rPr>
            </w:pPr>
            <w:r>
              <w:rPr>
                <w:rFonts w:ascii="Arial" w:cs="Arial" w:eastAsia="Arial" w:hAnsi="Arial"/>
                <w:sz w:val="15"/>
                <w:szCs w:val="15"/>
                <w:b w:val="1"/>
                <w:bCs w:val="1"/>
                <w:color w:val="auto"/>
              </w:rPr>
              <w:t>Operating Leases</w:t>
            </w:r>
          </w:p>
        </w:tc>
        <w:tc>
          <w:tcPr>
            <w:tcW w:w="140" w:type="dxa"/>
            <w:vAlign w:val="bottom"/>
          </w:tcPr>
          <w:p>
            <w:pPr>
              <w:spacing w:after="0"/>
              <w:rPr>
                <w:sz w:val="23"/>
                <w:szCs w:val="23"/>
                <w:color w:val="auto"/>
              </w:rPr>
            </w:pPr>
          </w:p>
        </w:tc>
        <w:tc>
          <w:tcPr>
            <w:tcW w:w="1440" w:type="dxa"/>
            <w:vAlign w:val="bottom"/>
            <w:gridSpan w:val="2"/>
          </w:tcPr>
          <w:p>
            <w:pPr>
              <w:ind w:left="40"/>
              <w:spacing w:after="0"/>
              <w:rPr>
                <w:sz w:val="20"/>
                <w:szCs w:val="20"/>
                <w:color w:val="auto"/>
              </w:rPr>
            </w:pPr>
            <w:r>
              <w:rPr>
                <w:rFonts w:ascii="Arial" w:cs="Arial" w:eastAsia="Arial" w:hAnsi="Arial"/>
                <w:sz w:val="15"/>
                <w:szCs w:val="15"/>
                <w:b w:val="1"/>
                <w:bCs w:val="1"/>
                <w:color w:val="auto"/>
              </w:rPr>
              <w:t>Finance Leases</w:t>
            </w:r>
          </w:p>
        </w:tc>
        <w:tc>
          <w:tcPr>
            <w:tcW w:w="320" w:type="dxa"/>
            <w:vAlign w:val="bottom"/>
          </w:tcPr>
          <w:p>
            <w:pPr>
              <w:spacing w:after="0"/>
              <w:rPr>
                <w:sz w:val="23"/>
                <w:szCs w:val="23"/>
                <w:color w:val="auto"/>
              </w:rPr>
            </w:pPr>
          </w:p>
        </w:tc>
        <w:tc>
          <w:tcPr>
            <w:tcW w:w="1040" w:type="dxa"/>
            <w:vAlign w:val="bottom"/>
          </w:tcPr>
          <w:p>
            <w:pPr>
              <w:jc w:val="right"/>
              <w:ind w:right="423"/>
              <w:spacing w:after="0"/>
              <w:rPr>
                <w:sz w:val="20"/>
                <w:szCs w:val="20"/>
                <w:color w:val="auto"/>
              </w:rPr>
            </w:pPr>
            <w:r>
              <w:rPr>
                <w:rFonts w:ascii="Arial" w:cs="Arial" w:eastAsia="Arial" w:hAnsi="Arial"/>
                <w:sz w:val="15"/>
                <w:szCs w:val="15"/>
                <w:b w:val="1"/>
                <w:bCs w:val="1"/>
                <w:color w:val="auto"/>
              </w:rPr>
              <w:t>Total</w:t>
            </w:r>
          </w:p>
        </w:tc>
      </w:tr>
      <w:tr>
        <w:trPr>
          <w:trHeight w:val="254"/>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2019 (excluding the six months ended June 30,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1,086</w:t>
            </w:r>
          </w:p>
        </w:tc>
        <w:tc>
          <w:tcPr>
            <w:tcW w:w="2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105</w:t>
            </w:r>
          </w:p>
        </w:tc>
        <w:tc>
          <w:tcPr>
            <w:tcW w:w="2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1,191</w:t>
            </w:r>
          </w:p>
        </w:tc>
      </w:tr>
      <w:tr>
        <w:trPr>
          <w:trHeight w:val="266"/>
        </w:trPr>
        <w:tc>
          <w:tcPr>
            <w:tcW w:w="6740" w:type="dxa"/>
            <w:vAlign w:val="bottom"/>
          </w:tcPr>
          <w:p>
            <w:pPr>
              <w:ind w:left="40"/>
              <w:spacing w:after="0"/>
              <w:rPr>
                <w:sz w:val="20"/>
                <w:szCs w:val="20"/>
                <w:color w:val="auto"/>
              </w:rPr>
            </w:pPr>
            <w:r>
              <w:rPr>
                <w:rFonts w:ascii="Arial" w:cs="Arial" w:eastAsia="Arial" w:hAnsi="Arial"/>
                <w:sz w:val="15"/>
                <w:szCs w:val="15"/>
                <w:color w:val="auto"/>
              </w:rPr>
              <w:t>2020</w:t>
            </w:r>
          </w:p>
        </w:tc>
        <w:tc>
          <w:tcPr>
            <w:tcW w:w="14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2,397</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120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2,517</w:t>
            </w:r>
          </w:p>
        </w:tc>
      </w:tr>
      <w:tr>
        <w:trPr>
          <w:trHeight w:val="274"/>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2021</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2,446</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2,566</w:t>
            </w:r>
          </w:p>
        </w:tc>
      </w:tr>
      <w:tr>
        <w:trPr>
          <w:trHeight w:val="266"/>
        </w:trPr>
        <w:tc>
          <w:tcPr>
            <w:tcW w:w="6740" w:type="dxa"/>
            <w:vAlign w:val="bottom"/>
          </w:tcPr>
          <w:p>
            <w:pPr>
              <w:ind w:left="40"/>
              <w:spacing w:after="0"/>
              <w:rPr>
                <w:sz w:val="20"/>
                <w:szCs w:val="20"/>
                <w:color w:val="auto"/>
              </w:rPr>
            </w:pPr>
            <w:r>
              <w:rPr>
                <w:rFonts w:ascii="Arial" w:cs="Arial" w:eastAsia="Arial" w:hAnsi="Arial"/>
                <w:sz w:val="15"/>
                <w:szCs w:val="15"/>
                <w:color w:val="auto"/>
              </w:rPr>
              <w:t>2022</w:t>
            </w:r>
          </w:p>
        </w:tc>
        <w:tc>
          <w:tcPr>
            <w:tcW w:w="14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2,483</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120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2,603</w:t>
            </w:r>
          </w:p>
        </w:tc>
      </w:tr>
      <w:tr>
        <w:trPr>
          <w:trHeight w:val="274"/>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2023</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2,509</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2,629</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Thereafter</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13,725</w:t>
            </w:r>
          </w:p>
        </w:tc>
        <w:tc>
          <w:tcPr>
            <w:tcW w:w="2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4,060</w:t>
            </w:r>
          </w:p>
        </w:tc>
        <w:tc>
          <w:tcPr>
            <w:tcW w:w="2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17,785</w:t>
            </w:r>
          </w:p>
        </w:tc>
      </w:tr>
      <w:tr>
        <w:trPr>
          <w:trHeight w:val="254"/>
        </w:trPr>
        <w:tc>
          <w:tcPr>
            <w:tcW w:w="67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24,646</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4,645</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29,291</w:t>
            </w:r>
          </w:p>
        </w:tc>
      </w:tr>
      <w:tr>
        <w:trPr>
          <w:trHeight w:val="26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Imputed interest</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(6,083)</w:t>
            </w:r>
          </w:p>
        </w:tc>
        <w:tc>
          <w:tcPr>
            <w:tcW w:w="2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w:t>
            </w:r>
          </w:p>
        </w:tc>
        <w:tc>
          <w:tcPr>
            <w:tcW w:w="2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(6,594)</w:t>
            </w:r>
          </w:p>
        </w:tc>
      </w:tr>
      <w:tr>
        <w:trPr>
          <w:trHeight w:val="24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18,563</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4,134</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22,697</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ROU assets and lease liabilities for finance and operating leases as included in our Consolidated Financial Statements are as follows:</w:t>
      </w:r>
    </w:p>
    <w:p>
      <w:pPr>
        <w:sectPr>
          <w:pgSz w:w="11900" w:h="16838" w:orient="portrait"/>
          <w:cols w:equalWidth="0" w:num="1">
            <w:col w:w="11420"/>
          </w:cols>
          <w:pgMar w:left="240" w:top="126" w:right="239" w:bottom="474" w:gutter="0" w:footer="0" w:header="0"/>
        </w:sect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Lease asset and liabilities </w:t>
      </w:r>
      <w:r>
        <w:rPr>
          <w:rFonts w:ascii="Arial" w:cs="Arial" w:eastAsia="Arial" w:hAnsi="Arial"/>
          <w:sz w:val="15"/>
          <w:szCs w:val="15"/>
          <w:color w:val="auto"/>
        </w:rPr>
        <w:t>(in thousands)</w:t>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assets</w:t>
      </w:r>
    </w:p>
    <w:p>
      <w:pPr>
        <w:spacing w:after="0" w:line="48" w:lineRule="exact"/>
        <w:rPr>
          <w:sz w:val="20"/>
          <w:szCs w:val="20"/>
          <w:color w:val="auto"/>
        </w:rPr>
      </w:pPr>
    </w:p>
    <w:p>
      <w:pPr>
        <w:ind w:left="40" w:right="240"/>
        <w:spacing w:after="0" w:line="255" w:lineRule="auto"/>
        <w:rPr>
          <w:sz w:val="20"/>
          <w:szCs w:val="20"/>
          <w:color w:val="auto"/>
        </w:rPr>
      </w:pPr>
      <w:r>
        <w:rPr>
          <w:rFonts w:ascii="Arial" w:cs="Arial" w:eastAsia="Arial" w:hAnsi="Arial"/>
          <w:sz w:val="15"/>
          <w:szCs w:val="15"/>
          <w:color w:val="auto"/>
        </w:rPr>
        <w:t>Right-of-use asset obtained in exchange for new finance lease liabilities</w:t>
      </w:r>
    </w:p>
    <w:p>
      <w:pPr>
        <w:spacing w:after="0" w:line="12" w:lineRule="exact"/>
        <w:rPr>
          <w:sz w:val="20"/>
          <w:szCs w:val="20"/>
          <w:color w:val="auto"/>
        </w:rPr>
      </w:pPr>
    </w:p>
    <w:p>
      <w:pPr>
        <w:ind w:left="40" w:right="240"/>
        <w:spacing w:after="0" w:line="255" w:lineRule="auto"/>
        <w:rPr>
          <w:sz w:val="20"/>
          <w:szCs w:val="20"/>
          <w:color w:val="auto"/>
        </w:rPr>
      </w:pPr>
      <w:r>
        <w:rPr>
          <w:rFonts w:ascii="Arial" w:cs="Arial" w:eastAsia="Arial" w:hAnsi="Arial"/>
          <w:sz w:val="15"/>
          <w:szCs w:val="15"/>
          <w:color w:val="auto"/>
        </w:rPr>
        <w:t>Right-of-use asset obtained in exchange for new operating lease liabilities</w:t>
      </w:r>
    </w:p>
    <w:p>
      <w:pPr>
        <w:spacing w:after="0" w:line="12" w:lineRule="exact"/>
        <w:rPr>
          <w:sz w:val="20"/>
          <w:szCs w:val="20"/>
          <w:color w:val="auto"/>
        </w:rPr>
      </w:pPr>
    </w:p>
    <w:p>
      <w:pPr>
        <w:ind w:left="40"/>
        <w:spacing w:after="0" w:line="255" w:lineRule="auto"/>
        <w:rPr>
          <w:sz w:val="20"/>
          <w:szCs w:val="20"/>
          <w:color w:val="auto"/>
        </w:rPr>
      </w:pPr>
      <w:r>
        <w:rPr>
          <w:rFonts w:ascii="Arial" w:cs="Arial" w:eastAsia="Arial" w:hAnsi="Arial"/>
          <w:sz w:val="15"/>
          <w:szCs w:val="15"/>
          <w:color w:val="auto"/>
        </w:rPr>
        <w:t>Right-of-use asset obtained relative to below market operating lease</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liabilities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Finance lease liabilities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Classification</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4"/>
              </w:rPr>
              <w:t>June 30, 2019</w:t>
            </w:r>
          </w:p>
        </w:tc>
        <w:tc>
          <w:tcPr>
            <w:tcW w:w="2040" w:type="dxa"/>
            <w:vAlign w:val="bottom"/>
          </w:tcPr>
          <w:p>
            <w:pPr>
              <w:spacing w:after="0"/>
              <w:rPr>
                <w:sz w:val="17"/>
                <w:szCs w:val="17"/>
                <w:color w:val="auto"/>
              </w:rPr>
            </w:pPr>
          </w:p>
        </w:tc>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Classification</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December 31, 2018</w:t>
            </w:r>
          </w:p>
        </w:tc>
        <w:tc>
          <w:tcPr>
            <w:tcW w:w="0" w:type="dxa"/>
            <w:vAlign w:val="bottom"/>
          </w:tcPr>
          <w:p>
            <w:pPr>
              <w:spacing w:after="0"/>
              <w:rPr>
                <w:sz w:val="1"/>
                <w:szCs w:val="1"/>
                <w:color w:val="auto"/>
              </w:rPr>
            </w:pPr>
          </w:p>
        </w:tc>
      </w:tr>
      <w:tr>
        <w:trPr>
          <w:trHeight w:val="557"/>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4,134</w:t>
            </w:r>
          </w:p>
        </w:tc>
        <w:tc>
          <w:tcPr>
            <w:tcW w:w="2040" w:type="dxa"/>
            <w:vAlign w:val="bottom"/>
          </w:tcPr>
          <w:p>
            <w:pPr>
              <w:ind w:left="140"/>
              <w:spacing w:after="0"/>
              <w:rPr>
                <w:sz w:val="20"/>
                <w:szCs w:val="20"/>
                <w:color w:val="auto"/>
              </w:rPr>
            </w:pPr>
            <w:r>
              <w:rPr>
                <w:rFonts w:ascii="Arial" w:cs="Arial" w:eastAsia="Arial" w:hAnsi="Arial"/>
                <w:sz w:val="15"/>
                <w:szCs w:val="15"/>
                <w:color w:val="auto"/>
              </w:rPr>
              <w:t>Capital lease asset</w:t>
            </w:r>
          </w:p>
        </w:tc>
        <w:tc>
          <w:tcPr>
            <w:tcW w:w="1580" w:type="dxa"/>
            <w:vAlign w:val="bottom"/>
            <w:gridSpan w:val="2"/>
          </w:tcPr>
          <w:p>
            <w:pPr>
              <w:ind w:left="20"/>
              <w:spacing w:after="0"/>
              <w:rPr>
                <w:sz w:val="20"/>
                <w:szCs w:val="20"/>
                <w:color w:val="auto"/>
              </w:rPr>
            </w:pPr>
            <w:r>
              <w:rPr>
                <w:rFonts w:ascii="Arial" w:cs="Arial" w:eastAsia="Arial" w:hAnsi="Arial"/>
                <w:sz w:val="15"/>
                <w:szCs w:val="15"/>
                <w:color w:val="auto"/>
              </w:rPr>
              <w:t>Land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4,098</w:t>
            </w:r>
          </w:p>
        </w:tc>
        <w:tc>
          <w:tcPr>
            <w:tcW w:w="0" w:type="dxa"/>
            <w:vAlign w:val="bottom"/>
          </w:tcPr>
          <w:p>
            <w:pPr>
              <w:spacing w:after="0"/>
              <w:rPr>
                <w:sz w:val="1"/>
                <w:szCs w:val="1"/>
                <w:color w:val="auto"/>
              </w:rPr>
            </w:pPr>
          </w:p>
        </w:tc>
      </w:tr>
      <w:tr>
        <w:trPr>
          <w:trHeight w:val="378"/>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18,316</w:t>
            </w:r>
          </w:p>
        </w:tc>
        <w:tc>
          <w:tcPr>
            <w:tcW w:w="2040" w:type="dxa"/>
            <w:vAlign w:val="bottom"/>
          </w:tcPr>
          <w:p>
            <w:pPr>
              <w:spacing w:after="0"/>
              <w:rPr>
                <w:sz w:val="24"/>
                <w:szCs w:val="24"/>
                <w:color w:val="auto"/>
              </w:rPr>
            </w:pPr>
          </w:p>
        </w:tc>
        <w:tc>
          <w:tcPr>
            <w:tcW w:w="1580" w:type="dxa"/>
            <w:vAlign w:val="bottom"/>
            <w:gridSpan w:val="2"/>
          </w:tcPr>
          <w:p>
            <w:pPr>
              <w:ind w:left="520"/>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500" w:type="dxa"/>
            <w:vAlign w:val="bottom"/>
            <w:gridSpan w:val="2"/>
            <w:vMerge w:val="restart"/>
          </w:tcPr>
          <w:p>
            <w:pPr>
              <w:ind w:left="20"/>
              <w:spacing w:after="0"/>
              <w:rPr>
                <w:sz w:val="20"/>
                <w:szCs w:val="20"/>
                <w:color w:val="auto"/>
              </w:rPr>
            </w:pPr>
            <w:r>
              <w:rPr>
                <w:rFonts w:ascii="Arial" w:cs="Arial" w:eastAsia="Arial" w:hAnsi="Arial"/>
                <w:sz w:val="15"/>
                <w:szCs w:val="15"/>
                <w:color w:val="auto"/>
              </w:rPr>
              <w:t>Other Asset, net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28,742</w:t>
            </w:r>
          </w:p>
        </w:tc>
        <w:tc>
          <w:tcPr>
            <w:tcW w:w="2040" w:type="dxa"/>
            <w:vAlign w:val="bottom"/>
          </w:tcPr>
          <w:p>
            <w:pPr>
              <w:ind w:left="140"/>
              <w:spacing w:after="0"/>
              <w:rPr>
                <w:sz w:val="20"/>
                <w:szCs w:val="20"/>
                <w:color w:val="auto"/>
              </w:rPr>
            </w:pPr>
            <w:r>
              <w:rPr>
                <w:rFonts w:ascii="Arial" w:cs="Arial" w:eastAsia="Arial" w:hAnsi="Arial"/>
                <w:sz w:val="15"/>
                <w:szCs w:val="15"/>
                <w:color w:val="auto"/>
              </w:rPr>
              <w:t>Below market Lease</w:t>
            </w:r>
          </w:p>
        </w:tc>
        <w:tc>
          <w:tcPr>
            <w:tcW w:w="1580" w:type="dxa"/>
            <w:vAlign w:val="bottom"/>
            <w:gridSpan w:val="2"/>
            <w:vMerge w:val="restart"/>
          </w:tcPr>
          <w:p>
            <w:pPr>
              <w:ind w:left="20"/>
              <w:spacing w:after="0"/>
              <w:rPr>
                <w:sz w:val="20"/>
                <w:szCs w:val="20"/>
                <w:color w:val="auto"/>
              </w:rPr>
            </w:pPr>
            <w:r>
              <w:rPr>
                <w:rFonts w:ascii="Arial" w:cs="Arial" w:eastAsia="Arial" w:hAnsi="Arial"/>
                <w:sz w:val="15"/>
                <w:szCs w:val="15"/>
                <w:color w:val="auto"/>
              </w:rPr>
              <w:t>Other Asset, net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vMerge w:val="restart"/>
          </w:tcPr>
          <w:p>
            <w:pPr>
              <w:jc w:val="right"/>
              <w:ind w:right="23"/>
              <w:spacing w:after="0"/>
              <w:rPr>
                <w:sz w:val="20"/>
                <w:szCs w:val="20"/>
                <w:color w:val="auto"/>
              </w:rPr>
            </w:pPr>
            <w:r>
              <w:rPr>
                <w:rFonts w:ascii="Arial" w:cs="Arial" w:eastAsia="Arial" w:hAnsi="Arial"/>
                <w:sz w:val="15"/>
                <w:szCs w:val="15"/>
                <w:color w:val="auto"/>
              </w:rPr>
              <w:t>29,118</w:t>
            </w:r>
          </w:p>
        </w:tc>
        <w:tc>
          <w:tcPr>
            <w:tcW w:w="0" w:type="dxa"/>
            <w:vAlign w:val="bottom"/>
          </w:tcPr>
          <w:p>
            <w:pPr>
              <w:spacing w:after="0"/>
              <w:rPr>
                <w:sz w:val="1"/>
                <w:szCs w:val="1"/>
                <w:color w:val="auto"/>
              </w:rPr>
            </w:pPr>
          </w:p>
        </w:tc>
      </w:tr>
      <w:tr>
        <w:trPr>
          <w:trHeight w:val="113"/>
        </w:trPr>
        <w:tc>
          <w:tcPr>
            <w:tcW w:w="150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2040" w:type="dxa"/>
            <w:vAlign w:val="bottom"/>
            <w:vMerge w:val="restart"/>
          </w:tcPr>
          <w:p>
            <w:pPr>
              <w:ind w:left="140"/>
              <w:spacing w:after="0"/>
              <w:rPr>
                <w:sz w:val="20"/>
                <w:szCs w:val="20"/>
                <w:color w:val="auto"/>
              </w:rPr>
            </w:pPr>
            <w:r>
              <w:rPr>
                <w:rFonts w:ascii="Arial" w:cs="Arial" w:eastAsia="Arial" w:hAnsi="Arial"/>
                <w:sz w:val="15"/>
                <w:szCs w:val="15"/>
                <w:color w:val="auto"/>
              </w:rPr>
              <w:t>intangible asset</w:t>
            </w:r>
          </w:p>
        </w:tc>
        <w:tc>
          <w:tcPr>
            <w:tcW w:w="15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4,134</w:t>
            </w:r>
          </w:p>
        </w:tc>
        <w:tc>
          <w:tcPr>
            <w:tcW w:w="2040" w:type="dxa"/>
            <w:vAlign w:val="bottom"/>
          </w:tcPr>
          <w:p>
            <w:pPr>
              <w:ind w:left="140"/>
              <w:spacing w:after="0"/>
              <w:rPr>
                <w:sz w:val="20"/>
                <w:szCs w:val="20"/>
                <w:color w:val="auto"/>
              </w:rPr>
            </w:pPr>
            <w:r>
              <w:rPr>
                <w:rFonts w:ascii="Arial" w:cs="Arial" w:eastAsia="Arial" w:hAnsi="Arial"/>
                <w:sz w:val="15"/>
                <w:szCs w:val="15"/>
                <w:color w:val="auto"/>
              </w:rPr>
              <w:t>Capital lease liabilities</w:t>
            </w:r>
          </w:p>
        </w:tc>
        <w:tc>
          <w:tcPr>
            <w:tcW w:w="158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4,098</w:t>
            </w:r>
          </w:p>
        </w:tc>
        <w:tc>
          <w:tcPr>
            <w:tcW w:w="0" w:type="dxa"/>
            <w:vAlign w:val="bottom"/>
          </w:tcPr>
          <w:p>
            <w:pPr>
              <w:spacing w:after="0"/>
              <w:rPr>
                <w:sz w:val="1"/>
                <w:szCs w:val="1"/>
                <w:color w:val="auto"/>
              </w:rPr>
            </w:pPr>
          </w:p>
        </w:tc>
      </w:tr>
      <w:tr>
        <w:trPr>
          <w:trHeight w:val="324"/>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18,563</w:t>
            </w:r>
          </w:p>
        </w:tc>
        <w:tc>
          <w:tcPr>
            <w:tcW w:w="2040" w:type="dxa"/>
            <w:vAlign w:val="bottom"/>
          </w:tcPr>
          <w:p>
            <w:pPr>
              <w:spacing w:after="0"/>
              <w:rPr>
                <w:sz w:val="24"/>
                <w:szCs w:val="24"/>
                <w:color w:val="auto"/>
              </w:rPr>
            </w:pPr>
          </w:p>
        </w:tc>
        <w:tc>
          <w:tcPr>
            <w:tcW w:w="1580" w:type="dxa"/>
            <w:vAlign w:val="bottom"/>
            <w:gridSpan w:val="2"/>
          </w:tcPr>
          <w:p>
            <w:pPr>
              <w:ind w:left="520"/>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-1426210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-1006475</wp:posOffset>
            </wp:positionV>
            <wp:extent cx="72466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-525780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-182880</wp:posOffset>
            </wp:positionV>
            <wp:extent cx="72466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200"/>
            <w:col w:w="7980"/>
          </w:cols>
          <w:pgMar w:left="240" w:top="126" w:right="239" w:bottom="474"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finance and operating leases as included in our Consolidated Financial Statements are as follows: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Lease Expense </w:t>
      </w:r>
      <w:r>
        <w:rPr>
          <w:rFonts w:ascii="Arial" w:cs="Arial" w:eastAsia="Arial" w:hAnsi="Arial"/>
          <w:sz w:val="15"/>
          <w:szCs w:val="15"/>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144"/>
              <w:spacing w:after="0"/>
              <w:rPr>
                <w:sz w:val="20"/>
                <w:szCs w:val="20"/>
                <w:color w:val="auto"/>
              </w:rPr>
            </w:pPr>
            <w:r>
              <w:rPr>
                <w:rFonts w:ascii="Arial" w:cs="Arial" w:eastAsia="Arial" w:hAnsi="Arial"/>
                <w:sz w:val="15"/>
                <w:szCs w:val="15"/>
                <w:b w:val="1"/>
                <w:bCs w:val="1"/>
                <w:color w:val="auto"/>
                <w:w w:val="92"/>
              </w:rPr>
              <w:t>Six Months Ended</w:t>
            </w:r>
          </w:p>
        </w:tc>
        <w:tc>
          <w:tcPr>
            <w:tcW w:w="0" w:type="dxa"/>
            <w:vAlign w:val="bottom"/>
          </w:tcPr>
          <w:p>
            <w:pPr>
              <w:spacing w:after="0"/>
              <w:rPr>
                <w:sz w:val="1"/>
                <w:szCs w:val="1"/>
                <w:color w:val="auto"/>
              </w:rPr>
            </w:pPr>
          </w:p>
        </w:tc>
      </w:tr>
      <w:tr>
        <w:trPr>
          <w:trHeight w:val="258"/>
        </w:trPr>
        <w:tc>
          <w:tcPr>
            <w:tcW w:w="3220" w:type="dxa"/>
            <w:vAlign w:val="bottom"/>
          </w:tcPr>
          <w:p>
            <w:pPr>
              <w:spacing w:after="0"/>
              <w:rPr>
                <w:sz w:val="22"/>
                <w:szCs w:val="22"/>
                <w:color w:val="auto"/>
              </w:rPr>
            </w:pPr>
          </w:p>
        </w:tc>
        <w:tc>
          <w:tcPr>
            <w:tcW w:w="4700" w:type="dxa"/>
            <w:vAlign w:val="bottom"/>
            <w:gridSpan w:val="2"/>
          </w:tcPr>
          <w:p>
            <w:pPr>
              <w:ind w:left="1840"/>
              <w:spacing w:after="0"/>
              <w:rPr>
                <w:sz w:val="20"/>
                <w:szCs w:val="20"/>
                <w:color w:val="auto"/>
              </w:rPr>
            </w:pPr>
            <w:r>
              <w:rPr>
                <w:rFonts w:ascii="Arial" w:cs="Arial" w:eastAsia="Arial" w:hAnsi="Arial"/>
                <w:sz w:val="15"/>
                <w:szCs w:val="15"/>
                <w:b w:val="1"/>
                <w:bCs w:val="1"/>
                <w:color w:val="auto"/>
              </w:rPr>
              <w:t>Classification</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2"/>
              </w:rPr>
              <w:t>June 30, 2019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center"/>
              <w:ind w:right="144"/>
              <w:spacing w:after="0"/>
              <w:rPr>
                <w:sz w:val="20"/>
                <w:szCs w:val="20"/>
                <w:color w:val="auto"/>
              </w:rPr>
            </w:pPr>
            <w:r>
              <w:rPr>
                <w:rFonts w:ascii="Arial" w:cs="Arial" w:eastAsia="Arial" w:hAnsi="Arial"/>
                <w:sz w:val="15"/>
                <w:szCs w:val="15"/>
                <w:b w:val="1"/>
                <w:bCs w:val="1"/>
                <w:color w:val="auto"/>
                <w:w w:val="90"/>
              </w:rPr>
              <w:t>June 30, 2019</w:t>
            </w:r>
          </w:p>
        </w:tc>
        <w:tc>
          <w:tcPr>
            <w:tcW w:w="0" w:type="dxa"/>
            <w:vAlign w:val="bottom"/>
          </w:tcPr>
          <w:p>
            <w:pPr>
              <w:spacing w:after="0"/>
              <w:rPr>
                <w:sz w:val="1"/>
                <w:szCs w:val="1"/>
                <w:color w:val="auto"/>
              </w:rPr>
            </w:pPr>
          </w:p>
        </w:tc>
      </w:tr>
      <w:tr>
        <w:trPr>
          <w:trHeight w:val="268"/>
        </w:trPr>
        <w:tc>
          <w:tcPr>
            <w:tcW w:w="3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Finance Lease Expense</w:t>
            </w:r>
          </w:p>
        </w:tc>
        <w:tc>
          <w:tcPr>
            <w:tcW w:w="4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tcPr>
          <w:p>
            <w:pPr>
              <w:ind w:left="180"/>
              <w:spacing w:after="0"/>
              <w:rPr>
                <w:sz w:val="20"/>
                <w:szCs w:val="20"/>
                <w:color w:val="auto"/>
              </w:rPr>
            </w:pPr>
            <w:r>
              <w:rPr>
                <w:rFonts w:ascii="Arial" w:cs="Arial" w:eastAsia="Arial" w:hAnsi="Arial"/>
                <w:sz w:val="15"/>
                <w:szCs w:val="15"/>
                <w:color w:val="auto"/>
              </w:rPr>
              <w:t>Amortization of right-of-use assets</w:t>
            </w:r>
          </w:p>
        </w:tc>
        <w:tc>
          <w:tcPr>
            <w:tcW w:w="470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3"/>
                <w:szCs w:val="23"/>
                <w:color w:val="auto"/>
              </w:rPr>
            </w:pP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7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on lease liabilities</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66"/>
        </w:trPr>
        <w:tc>
          <w:tcPr>
            <w:tcW w:w="3220" w:type="dxa"/>
            <w:vAlign w:val="bottom"/>
          </w:tcPr>
          <w:p>
            <w:pPr>
              <w:ind w:left="40"/>
              <w:spacing w:after="0"/>
              <w:rPr>
                <w:sz w:val="20"/>
                <w:szCs w:val="20"/>
                <w:color w:val="auto"/>
              </w:rPr>
            </w:pPr>
            <w:r>
              <w:rPr>
                <w:rFonts w:ascii="Arial" w:cs="Arial" w:eastAsia="Arial" w:hAnsi="Arial"/>
                <w:sz w:val="15"/>
                <w:szCs w:val="15"/>
                <w:color w:val="auto"/>
              </w:rPr>
              <w:t>Operating lease cost</w:t>
            </w:r>
          </w:p>
        </w:tc>
        <w:tc>
          <w:tcPr>
            <w:tcW w:w="470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Property Operating and maintenance</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982</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1,804</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Variable lease cost</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Operating and maintenance</w:t>
            </w:r>
          </w:p>
        </w:tc>
        <w:tc>
          <w:tcPr>
            <w:tcW w:w="2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427</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746</w:t>
            </w:r>
          </w:p>
        </w:tc>
        <w:tc>
          <w:tcPr>
            <w:tcW w:w="0" w:type="dxa"/>
            <w:vAlign w:val="bottom"/>
          </w:tcPr>
          <w:p>
            <w:pPr>
              <w:spacing w:after="0"/>
              <w:rPr>
                <w:sz w:val="1"/>
                <w:szCs w:val="1"/>
                <w:color w:val="auto"/>
              </w:rPr>
            </w:pPr>
          </w:p>
        </w:tc>
      </w:tr>
      <w:tr>
        <w:trPr>
          <w:trHeight w:val="241"/>
        </w:trPr>
        <w:tc>
          <w:tcPr>
            <w:tcW w:w="3220" w:type="dxa"/>
            <w:vAlign w:val="bottom"/>
          </w:tcPr>
          <w:p>
            <w:pPr>
              <w:ind w:left="40"/>
              <w:spacing w:after="0"/>
              <w:rPr>
                <w:sz w:val="20"/>
                <w:szCs w:val="20"/>
                <w:color w:val="auto"/>
              </w:rPr>
            </w:pPr>
            <w:r>
              <w:rPr>
                <w:rFonts w:ascii="Arial" w:cs="Arial" w:eastAsia="Arial" w:hAnsi="Arial"/>
                <w:sz w:val="15"/>
                <w:szCs w:val="15"/>
                <w:b w:val="1"/>
                <w:bCs w:val="1"/>
                <w:color w:val="auto"/>
              </w:rPr>
              <w:t>Total lease Expense</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1,453</w:t>
            </w:r>
          </w:p>
        </w:tc>
        <w:tc>
          <w:tcPr>
            <w:tcW w:w="120" w:type="dxa"/>
            <w:vAlign w:val="bottom"/>
          </w:tcPr>
          <w:p>
            <w:pPr>
              <w:spacing w:after="0"/>
              <w:rPr>
                <w:sz w:val="20"/>
                <w:szCs w:val="20"/>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2,638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3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ind w:right="144"/>
              <w:spacing w:after="0"/>
              <w:rPr>
                <w:sz w:val="20"/>
                <w:szCs w:val="20"/>
                <w:color w:val="auto"/>
              </w:rPr>
            </w:pPr>
            <w:r>
              <w:rPr>
                <w:rFonts w:ascii="Arial" w:cs="Arial" w:eastAsia="Arial" w:hAnsi="Arial"/>
                <w:sz w:val="15"/>
                <w:szCs w:val="15"/>
                <w:b w:val="1"/>
                <w:bCs w:val="1"/>
                <w:color w:val="auto"/>
                <w:w w:val="92"/>
              </w:rPr>
              <w:t>Six Months Ended</w:t>
            </w:r>
          </w:p>
        </w:tc>
        <w:tc>
          <w:tcPr>
            <w:tcW w:w="0" w:type="dxa"/>
            <w:vAlign w:val="bottom"/>
          </w:tcPr>
          <w:p>
            <w:pPr>
              <w:spacing w:after="0"/>
              <w:rPr>
                <w:sz w:val="1"/>
                <w:szCs w:val="1"/>
                <w:color w:val="auto"/>
              </w:rPr>
            </w:pPr>
          </w:p>
        </w:tc>
      </w:tr>
      <w:tr>
        <w:trPr>
          <w:trHeight w:val="274"/>
        </w:trPr>
        <w:tc>
          <w:tcPr>
            <w:tcW w:w="3220" w:type="dxa"/>
            <w:vAlign w:val="bottom"/>
          </w:tcPr>
          <w:p>
            <w:pPr>
              <w:spacing w:after="0"/>
              <w:rPr>
                <w:sz w:val="23"/>
                <w:szCs w:val="23"/>
                <w:color w:val="auto"/>
              </w:rPr>
            </w:pPr>
          </w:p>
        </w:tc>
        <w:tc>
          <w:tcPr>
            <w:tcW w:w="4700" w:type="dxa"/>
            <w:vAlign w:val="bottom"/>
            <w:gridSpan w:val="2"/>
          </w:tcPr>
          <w:p>
            <w:pPr>
              <w:ind w:left="1840"/>
              <w:spacing w:after="0"/>
              <w:rPr>
                <w:sz w:val="20"/>
                <w:szCs w:val="20"/>
                <w:color w:val="auto"/>
              </w:rPr>
            </w:pPr>
            <w:r>
              <w:rPr>
                <w:rFonts w:ascii="Arial" w:cs="Arial" w:eastAsia="Arial" w:hAnsi="Arial"/>
                <w:sz w:val="15"/>
                <w:szCs w:val="15"/>
                <w:b w:val="1"/>
                <w:bCs w:val="1"/>
                <w:color w:val="auto"/>
              </w:rPr>
              <w:t>Classification</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2"/>
              </w:rPr>
              <w:t>June 30, 2019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center"/>
              <w:ind w:right="144"/>
              <w:spacing w:after="0"/>
              <w:rPr>
                <w:sz w:val="20"/>
                <w:szCs w:val="20"/>
                <w:color w:val="auto"/>
              </w:rPr>
            </w:pPr>
            <w:r>
              <w:rPr>
                <w:rFonts w:ascii="Arial" w:cs="Arial" w:eastAsia="Arial" w:hAnsi="Arial"/>
                <w:sz w:val="15"/>
                <w:szCs w:val="15"/>
                <w:b w:val="1"/>
                <w:bCs w:val="1"/>
                <w:color w:val="auto"/>
                <w:w w:val="90"/>
              </w:rPr>
              <w:t>June 30, 2019</w:t>
            </w:r>
          </w:p>
        </w:tc>
        <w:tc>
          <w:tcPr>
            <w:tcW w:w="0" w:type="dxa"/>
            <w:vAlign w:val="bottom"/>
          </w:tcPr>
          <w:p>
            <w:pPr>
              <w:spacing w:after="0"/>
              <w:rPr>
                <w:sz w:val="1"/>
                <w:szCs w:val="1"/>
                <w:color w:val="auto"/>
              </w:rPr>
            </w:pPr>
          </w:p>
        </w:tc>
      </w:tr>
      <w:tr>
        <w:trPr>
          <w:trHeight w:val="268"/>
        </w:trPr>
        <w:tc>
          <w:tcPr>
            <w:tcW w:w="3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Capital Lease Expense</w:t>
            </w:r>
          </w:p>
        </w:tc>
        <w:tc>
          <w:tcPr>
            <w:tcW w:w="4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tcPr>
          <w:p>
            <w:pPr>
              <w:ind w:left="40"/>
              <w:spacing w:after="0"/>
              <w:rPr>
                <w:sz w:val="20"/>
                <w:szCs w:val="20"/>
                <w:color w:val="auto"/>
              </w:rPr>
            </w:pPr>
            <w:r>
              <w:rPr>
                <w:rFonts w:ascii="Arial" w:cs="Arial" w:eastAsia="Arial" w:hAnsi="Arial"/>
                <w:sz w:val="15"/>
                <w:szCs w:val="15"/>
                <w:color w:val="auto"/>
              </w:rPr>
              <w:t>Amortization of lease</w:t>
            </w:r>
          </w:p>
        </w:tc>
        <w:tc>
          <w:tcPr>
            <w:tcW w:w="470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3"/>
                <w:szCs w:val="23"/>
                <w:color w:val="auto"/>
              </w:rPr>
            </w:pP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74"/>
        </w:trPr>
        <w:tc>
          <w:tcPr>
            <w:tcW w:w="3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on lease liabilities</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66"/>
        </w:trPr>
        <w:tc>
          <w:tcPr>
            <w:tcW w:w="3220" w:type="dxa"/>
            <w:vAlign w:val="bottom"/>
          </w:tcPr>
          <w:p>
            <w:pPr>
              <w:ind w:left="40"/>
              <w:spacing w:after="0"/>
              <w:rPr>
                <w:sz w:val="20"/>
                <w:szCs w:val="20"/>
                <w:color w:val="auto"/>
              </w:rPr>
            </w:pPr>
            <w:r>
              <w:rPr>
                <w:rFonts w:ascii="Arial" w:cs="Arial" w:eastAsia="Arial" w:hAnsi="Arial"/>
                <w:sz w:val="15"/>
                <w:szCs w:val="15"/>
                <w:color w:val="auto"/>
              </w:rPr>
              <w:t>Operating lease expense</w:t>
            </w:r>
          </w:p>
        </w:tc>
        <w:tc>
          <w:tcPr>
            <w:tcW w:w="470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Property Operating and maintenance</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829</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1,680</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6"/>
              </w:rPr>
              <w:t>Below market ground lease amortization expense</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Operating and maintenance</w:t>
            </w:r>
          </w:p>
        </w:tc>
        <w:tc>
          <w:tcPr>
            <w:tcW w:w="2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223</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241"/>
        </w:trPr>
        <w:tc>
          <w:tcPr>
            <w:tcW w:w="3220" w:type="dxa"/>
            <w:vAlign w:val="bottom"/>
          </w:tcPr>
          <w:p>
            <w:pPr>
              <w:ind w:left="40"/>
              <w:spacing w:after="0"/>
              <w:rPr>
                <w:sz w:val="20"/>
                <w:szCs w:val="20"/>
                <w:color w:val="auto"/>
              </w:rPr>
            </w:pPr>
            <w:r>
              <w:rPr>
                <w:rFonts w:ascii="Arial" w:cs="Arial" w:eastAsia="Arial" w:hAnsi="Arial"/>
                <w:sz w:val="15"/>
                <w:szCs w:val="15"/>
                <w:b w:val="1"/>
                <w:bCs w:val="1"/>
                <w:color w:val="auto"/>
              </w:rPr>
              <w:t>Total lease Expense</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1,096</w:t>
            </w:r>
          </w:p>
        </w:tc>
        <w:tc>
          <w:tcPr>
            <w:tcW w:w="120" w:type="dxa"/>
            <w:vAlign w:val="bottom"/>
          </w:tcPr>
          <w:p>
            <w:pPr>
              <w:spacing w:after="0"/>
              <w:rPr>
                <w:sz w:val="20"/>
                <w:szCs w:val="20"/>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2,213</w:t>
            </w:r>
          </w:p>
        </w:tc>
        <w:tc>
          <w:tcPr>
            <w:tcW w:w="0" w:type="dxa"/>
            <w:vAlign w:val="bottom"/>
          </w:tcPr>
          <w:p>
            <w:pPr>
              <w:spacing w:after="0"/>
              <w:rPr>
                <w:sz w:val="1"/>
                <w:szCs w:val="1"/>
                <w:color w:val="auto"/>
              </w:rPr>
            </w:pPr>
          </w:p>
        </w:tc>
      </w:tr>
      <w:tr>
        <w:trPr>
          <w:trHeight w:val="20"/>
        </w:trPr>
        <w:tc>
          <w:tcPr>
            <w:tcW w:w="7920" w:type="dxa"/>
            <w:vAlign w:val="bottom"/>
            <w:gridSpan w:val="3"/>
            <w:vMerge w:val="restart"/>
          </w:tcPr>
          <w:p>
            <w:pPr>
              <w:spacing w:after="0"/>
              <w:rPr>
                <w:sz w:val="20"/>
                <w:szCs w:val="20"/>
                <w:color w:val="auto"/>
              </w:rPr>
            </w:pPr>
            <w:r>
              <w:rPr>
                <w:rFonts w:ascii="Arial" w:cs="Arial" w:eastAsia="Arial" w:hAnsi="Arial"/>
                <w:sz w:val="18"/>
                <w:szCs w:val="18"/>
                <w:color w:val="auto"/>
                <w:w w:val="98"/>
              </w:rPr>
              <w:t>Lease term, discount rates and additional information for finance and operating leases are as follows:</w:t>
            </w: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220" w:type="dxa"/>
            <w:vAlign w:val="bottom"/>
          </w:tcPr>
          <w:p>
            <w:pPr>
              <w:ind w:left="40"/>
              <w:spacing w:after="0"/>
              <w:rPr>
                <w:sz w:val="20"/>
                <w:szCs w:val="20"/>
                <w:color w:val="auto"/>
              </w:rPr>
            </w:pPr>
            <w:r>
              <w:rPr>
                <w:rFonts w:ascii="Arial" w:cs="Arial" w:eastAsia="Arial" w:hAnsi="Arial"/>
                <w:sz w:val="15"/>
                <w:szCs w:val="15"/>
                <w:b w:val="1"/>
                <w:bCs w:val="1"/>
                <w:color w:val="auto"/>
              </w:rPr>
              <w:t>Lease term and discount rate</w:t>
            </w: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220" w:type="dxa"/>
            <w:vAlign w:val="bottom"/>
            <w:tcBorders>
              <w:bottom w:val="single" w:sz="8" w:color="CCEEFF"/>
            </w:tcBorders>
          </w:tcPr>
          <w:p>
            <w:pPr>
              <w:spacing w:after="0"/>
              <w:rPr>
                <w:sz w:val="24"/>
                <w:szCs w:val="24"/>
                <w:color w:val="auto"/>
              </w:rPr>
            </w:pPr>
          </w:p>
        </w:tc>
        <w:tc>
          <w:tcPr>
            <w:tcW w:w="4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9"/>
              </w:rPr>
              <w:t>Weighted-average remaining lease term (years)</w:t>
            </w:r>
          </w:p>
        </w:tc>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tcPr>
          <w:p>
            <w:pPr>
              <w:ind w:left="180"/>
              <w:spacing w:after="0"/>
              <w:rPr>
                <w:sz w:val="20"/>
                <w:szCs w:val="20"/>
                <w:color w:val="auto"/>
              </w:rPr>
            </w:pPr>
            <w:r>
              <w:rPr>
                <w:rFonts w:ascii="Arial" w:cs="Arial" w:eastAsia="Arial" w:hAnsi="Arial"/>
                <w:sz w:val="15"/>
                <w:szCs w:val="15"/>
                <w:color w:val="auto"/>
              </w:rPr>
              <w:t>Finance lease</w:t>
            </w:r>
          </w:p>
        </w:tc>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84"/>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27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lease</w:t>
            </w:r>
          </w:p>
        </w:tc>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12.25</w:t>
            </w:r>
          </w:p>
        </w:tc>
        <w:tc>
          <w:tcPr>
            <w:tcW w:w="0" w:type="dxa"/>
            <w:vAlign w:val="bottom"/>
          </w:tcPr>
          <w:p>
            <w:pPr>
              <w:spacing w:after="0"/>
              <w:rPr>
                <w:sz w:val="1"/>
                <w:szCs w:val="1"/>
                <w:color w:val="auto"/>
              </w:rPr>
            </w:pPr>
          </w:p>
        </w:tc>
      </w:tr>
      <w:tr>
        <w:trPr>
          <w:trHeight w:val="266"/>
        </w:trPr>
        <w:tc>
          <w:tcPr>
            <w:tcW w:w="3220" w:type="dxa"/>
            <w:vAlign w:val="bottom"/>
          </w:tcPr>
          <w:p>
            <w:pPr>
              <w:ind w:left="40"/>
              <w:spacing w:after="0"/>
              <w:rPr>
                <w:sz w:val="20"/>
                <w:szCs w:val="20"/>
                <w:color w:val="auto"/>
              </w:rPr>
            </w:pPr>
            <w:r>
              <w:rPr>
                <w:rFonts w:ascii="Arial" w:cs="Arial" w:eastAsia="Arial" w:hAnsi="Arial"/>
                <w:sz w:val="15"/>
                <w:szCs w:val="15"/>
                <w:color w:val="auto"/>
              </w:rPr>
              <w:t>Weighted-average discount rate</w:t>
            </w:r>
          </w:p>
        </w:tc>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Finance lease</w:t>
            </w:r>
          </w:p>
        </w:tc>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62"/>
        </w:trPr>
        <w:tc>
          <w:tcPr>
            <w:tcW w:w="3220" w:type="dxa"/>
            <w:vAlign w:val="bottom"/>
          </w:tcPr>
          <w:p>
            <w:pPr>
              <w:ind w:left="180"/>
              <w:spacing w:after="0"/>
              <w:rPr>
                <w:sz w:val="20"/>
                <w:szCs w:val="20"/>
                <w:color w:val="auto"/>
              </w:rPr>
            </w:pPr>
            <w:r>
              <w:rPr>
                <w:rFonts w:ascii="Arial" w:cs="Arial" w:eastAsia="Arial" w:hAnsi="Arial"/>
                <w:sz w:val="15"/>
                <w:szCs w:val="15"/>
                <w:color w:val="auto"/>
              </w:rPr>
              <w:t>Operating lease</w:t>
            </w:r>
          </w:p>
        </w:tc>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527"/>
        </w:trPr>
        <w:tc>
          <w:tcPr>
            <w:tcW w:w="3220" w:type="dxa"/>
            <w:vAlign w:val="bottom"/>
          </w:tcPr>
          <w:p>
            <w:pPr>
              <w:ind w:left="40"/>
              <w:spacing w:after="0"/>
              <w:rPr>
                <w:sz w:val="20"/>
                <w:szCs w:val="20"/>
                <w:color w:val="auto"/>
              </w:rPr>
            </w:pPr>
            <w:r>
              <w:rPr>
                <w:rFonts w:ascii="Arial" w:cs="Arial" w:eastAsia="Arial" w:hAnsi="Arial"/>
                <w:sz w:val="15"/>
                <w:szCs w:val="15"/>
                <w:b w:val="1"/>
                <w:bCs w:val="1"/>
                <w:color w:val="auto"/>
              </w:rPr>
              <w:t xml:space="preserve">Other Information </w:t>
            </w:r>
            <w:r>
              <w:rPr>
                <w:rFonts w:ascii="Arial" w:cs="Arial" w:eastAsia="Arial" w:hAnsi="Arial"/>
                <w:sz w:val="15"/>
                <w:szCs w:val="15"/>
                <w:color w:val="auto"/>
              </w:rPr>
              <w:t>(in thousands)</w:t>
            </w: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Six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2"/>
        </w:trPr>
        <w:tc>
          <w:tcPr>
            <w:tcW w:w="3220" w:type="dxa"/>
            <w:vAlign w:val="bottom"/>
            <w:tcBorders>
              <w:bottom w:val="single" w:sz="8" w:color="CCEEFF"/>
            </w:tcBorders>
          </w:tcPr>
          <w:p>
            <w:pPr>
              <w:spacing w:after="0"/>
              <w:rPr>
                <w:sz w:val="23"/>
                <w:szCs w:val="23"/>
                <w:color w:val="auto"/>
              </w:rPr>
            </w:pPr>
          </w:p>
        </w:tc>
        <w:tc>
          <w:tcPr>
            <w:tcW w:w="45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70"/>
        </w:trPr>
        <w:tc>
          <w:tcPr>
            <w:tcW w:w="79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tcPr>
          <w:p>
            <w:pPr>
              <w:ind w:left="180"/>
              <w:spacing w:after="0"/>
              <w:rPr>
                <w:sz w:val="20"/>
                <w:szCs w:val="20"/>
                <w:color w:val="auto"/>
              </w:rPr>
            </w:pPr>
            <w:r>
              <w:rPr>
                <w:rFonts w:ascii="Arial" w:cs="Arial" w:eastAsia="Arial" w:hAnsi="Arial"/>
                <w:sz w:val="15"/>
                <w:szCs w:val="15"/>
                <w:color w:val="auto"/>
              </w:rPr>
              <w:t>Operating Cash flow from Operating leases</w:t>
            </w:r>
          </w:p>
        </w:tc>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5"/>
                <w:szCs w:val="15"/>
                <w:color w:val="auto"/>
              </w:rPr>
              <w:t>1,130</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2,052</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Financing cash flow from Finance leases</w:t>
            </w:r>
          </w:p>
        </w:tc>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41"/>
        </w:trPr>
        <w:tc>
          <w:tcPr>
            <w:tcW w:w="3220" w:type="dxa"/>
            <w:vAlign w:val="bottom"/>
          </w:tcPr>
          <w:p>
            <w:pPr>
              <w:ind w:left="180"/>
              <w:spacing w:after="0"/>
              <w:rPr>
                <w:sz w:val="20"/>
                <w:szCs w:val="20"/>
                <w:color w:val="auto"/>
              </w:rPr>
            </w:pPr>
            <w:r>
              <w:rPr>
                <w:rFonts w:ascii="Arial" w:cs="Arial" w:eastAsia="Arial" w:hAnsi="Arial"/>
                <w:sz w:val="14"/>
                <w:szCs w:val="14"/>
                <w:b w:val="1"/>
                <w:bCs w:val="1"/>
                <w:color w:val="auto"/>
              </w:rPr>
              <w:t>Total Cash paid on lease liabilities</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5"/>
                <w:szCs w:val="15"/>
                <w:color w:val="auto"/>
              </w:rPr>
              <w:t>1,145</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2,067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474"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6" w:right="239" w:bottom="474"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quarter ended June 30, 2019, we have an additional executive office space operating lease for $2.9 million which will commence in November 2019 with a lease term of seven years.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Related Party Leases: Lease of Executive Offices. </w:t>
      </w:r>
      <w:r>
        <w:rPr>
          <w:rFonts w:ascii="Arial" w:cs="Arial" w:eastAsia="Arial" w:hAnsi="Arial"/>
          <w:sz w:val="16"/>
          <w:szCs w:val="16"/>
          <w:color w:val="auto"/>
        </w:rPr>
        <w:t>Gary A. Shiffman, together with certain of his family members, indirectly owns an equity interest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28.1 percent in American Center LLC, the entity from which we lease office space for our principal executive offices. Each of Brian M. Hermelin, Ronald A. Klein and Arthur A. Weiss indirectly owns a less than one percent interest in American Center LLC. Mr. Shiffman is our Chief Executive Officer and Chairman of the Board. Each of Mr. Hermelin, Mr. Klein and Mr. Weiss is a director of the Company. Under this agreement, we lease approximately 103,100 rentable square feet of permanent space. The initial term of the lease is until October 31, 2026, and the average gross base rent is $18.55 per square foot until October 31, 2019 with graduated rental increases thereafter. Each of Mr. Shiffman, Mr. Hermelin, Mr. Klein and Mr. Weiss may have a conflict of interest with respect to his obligations as our officer and/or director and his ownership interest in American Center LLC.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the lessor for any finance leases as of June 30, 2019. Over 99 percent of our operating leases where we are the lessor are either month to month or for a time period not to exceed one year. As of the reporting date, future minimum lease payments would not exceed twelve months. Similarly, over 95 percent of our investment property, net on the Consolidated Balance Sheets, and related depreciation amounts relate to assets whereby we are the lessor under an operating lease.</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quarter ended June 30, 2019, we acquired a RV resort in Ponchatoula, Louisiana with 202 developed sites and 69 expansion sites for $23.5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31" w:name="page32"/>
    <w:bookmarkEnd w:id="31"/>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Notes filed herewith, along with our 2018 Annual Report. Capitalized terms are used as defined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fully integrated, self-administered and self-managed REIT. As of June 30, 2019, we owned and operated or held an interest in a portfolio of 382 developed properties located in 31 states throughout the U.S. and one province in Canada, including 235 MH communities, 116 RV communities, and 31 properties containing both MH and RV sites.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in the business of acquiring, operating, developing, and expanding MH and RV communities since 1975. We lease individual sites with utility access for placement of manufactured homes and RVs to our customers. We are also engaged through SHS in the marketing, selling, and leasing of new and pre-owned homes to current and future residents in our communities. The operations of SHS support and enhance our occupancy levels, property performance,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2018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depreciation/amortization of real estate assets. In addition, NOI and FFO are commonly used in various ratios, pricing multiples/yields and returns and valuation calculations used to measure financial position, performance and value.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NOI is derived from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FFO is defined by the National Association of Real Estate Investment Trusts (“NAREIT”) as GAAP net income (loss), excluding gains (or losses) from sales of depreciable operating property, plus real estate-related depreciation and amortization,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6"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report operating results under two segments: Real Property Operations and Home Sales and Rentals. The Real Property Operations segment owns, operates, develops, or has an interest in, a portfolio of MH and RV communities throughout the U.S. and in Canada, and is in the business of acquiring, operating, and expanding MH and RV communities. The Home Sales and Rentals segment offers MH and RV park model sales and leasing services to tenants and prospective tenants of our communities. We purchase new homes and acquire pre-owned and repossessed manufactured homes, generally located within our communities, from lenders, dealers, and former residents to sell or lease to current and prospective residents. We evaluate segment operating performance based on NOI and gross profit. Refer to Note 12, “Segment Reporting,” in our accompanying Consolidated Financial Statements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Statements of Operations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consolidated financial results and reconciles net income to NOI for the three and six months ended June 30, 2019 and 2018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6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5"/>
                <w:szCs w:val="15"/>
                <w:b w:val="1"/>
                <w:bCs w:val="1"/>
                <w:color w:val="auto"/>
              </w:rPr>
              <w:t>June 30, 2018</w:t>
            </w:r>
          </w:p>
        </w:tc>
        <w:tc>
          <w:tcPr>
            <w:tcW w:w="10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June 30, 2019</w:t>
            </w:r>
          </w:p>
        </w:tc>
        <w:tc>
          <w:tcPr>
            <w:tcW w:w="100" w:type="dxa"/>
            <w:vAlign w:val="bottom"/>
          </w:tcPr>
          <w:p>
            <w:pPr>
              <w:spacing w:after="0"/>
              <w:rPr>
                <w:sz w:val="22"/>
                <w:szCs w:val="22"/>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June 30, 2018</w:t>
            </w:r>
          </w:p>
        </w:tc>
      </w:tr>
      <w:tr>
        <w:trPr>
          <w:trHeight w:val="254"/>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40,385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20,408</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74,716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50,394</w:t>
            </w:r>
          </w:p>
        </w:tc>
      </w:tr>
      <w:tr>
        <w:trPr>
          <w:trHeight w:val="266"/>
        </w:trPr>
        <w:tc>
          <w:tcPr>
            <w:tcW w:w="6400" w:type="dxa"/>
            <w:vAlign w:val="bottom"/>
          </w:tcPr>
          <w:p>
            <w:pPr>
              <w:ind w:left="280"/>
              <w:spacing w:after="0"/>
              <w:rPr>
                <w:sz w:val="20"/>
                <w:szCs w:val="20"/>
                <w:color w:val="auto"/>
              </w:rPr>
            </w:pPr>
            <w:r>
              <w:rPr>
                <w:rFonts w:ascii="Arial" w:cs="Arial" w:eastAsia="Arial" w:hAnsi="Arial"/>
                <w:sz w:val="15"/>
                <w:szCs w:val="15"/>
                <w:color w:val="auto"/>
              </w:rPr>
              <w:t>Other revenues</w:t>
            </w:r>
          </w:p>
        </w:tc>
        <w:tc>
          <w:tcPr>
            <w:tcW w:w="120" w:type="dxa"/>
            <w:vAlign w:val="bottom"/>
          </w:tcPr>
          <w:p>
            <w:pPr>
              <w:spacing w:after="0"/>
              <w:rPr>
                <w:sz w:val="23"/>
                <w:szCs w:val="23"/>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(7,427)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(6,168)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(15,907)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(12,444)</w:t>
            </w: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Home selling expenses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3,626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3,986</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6,950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7,276</w:t>
            </w:r>
          </w:p>
        </w:tc>
      </w:tr>
      <w:tr>
        <w:trPr>
          <w:trHeight w:val="266"/>
        </w:trPr>
        <w:tc>
          <w:tcPr>
            <w:tcW w:w="6400" w:type="dxa"/>
            <w:vAlign w:val="bottom"/>
          </w:tcPr>
          <w:p>
            <w:pPr>
              <w:ind w:left="280"/>
              <w:spacing w:after="0"/>
              <w:rPr>
                <w:sz w:val="20"/>
                <w:szCs w:val="20"/>
                <w:color w:val="auto"/>
              </w:rPr>
            </w:pPr>
            <w:r>
              <w:rPr>
                <w:rFonts w:ascii="Arial" w:cs="Arial" w:eastAsia="Arial" w:hAnsi="Arial"/>
                <w:sz w:val="15"/>
                <w:szCs w:val="15"/>
                <w:color w:val="auto"/>
              </w:rPr>
              <w:t>General and administrative</w:t>
            </w:r>
          </w:p>
        </w:tc>
        <w:tc>
          <w:tcPr>
            <w:tcW w:w="12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23,697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21,452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45,584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41,209</w:t>
            </w: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Catastrophic weather related charges, net</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961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(2,160)</w:t>
            </w:r>
          </w:p>
        </w:tc>
      </w:tr>
      <w:tr>
        <w:trPr>
          <w:trHeight w:val="266"/>
        </w:trPr>
        <w:tc>
          <w:tcPr>
            <w:tcW w:w="6400" w:type="dxa"/>
            <w:vAlign w:val="bottom"/>
          </w:tcPr>
          <w:p>
            <w:pPr>
              <w:ind w:left="28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76,153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67,773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152,709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134,210</w:t>
            </w: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extinguishment of debt</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1,522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723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1,718</w:t>
            </w:r>
          </w:p>
        </w:tc>
      </w:tr>
      <w:tr>
        <w:trPr>
          <w:trHeight w:val="266"/>
        </w:trPr>
        <w:tc>
          <w:tcPr>
            <w:tcW w:w="6400" w:type="dxa"/>
            <w:vAlign w:val="bottom"/>
          </w:tcPr>
          <w:p>
            <w:pPr>
              <w:ind w:left="280"/>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34,842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33,050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69,950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64,807</w:t>
            </w: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Remeasurement of marketable securities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6400" w:type="dxa"/>
            <w:vAlign w:val="bottom"/>
          </w:tcPr>
          <w:p>
            <w:pPr>
              <w:ind w:left="280"/>
              <w:spacing w:after="0"/>
              <w:rPr>
                <w:sz w:val="20"/>
                <w:szCs w:val="20"/>
                <w:color w:val="auto"/>
              </w:rPr>
            </w:pPr>
            <w:r>
              <w:rPr>
                <w:rFonts w:ascii="Arial" w:cs="Arial" w:eastAsia="Arial" w:hAnsi="Arial"/>
                <w:sz w:val="15"/>
                <w:szCs w:val="15"/>
                <w:color w:val="auto"/>
              </w:rPr>
              <w:t>Other (income) / expense, net</w:t>
            </w:r>
          </w:p>
        </w:tc>
        <w:tc>
          <w:tcPr>
            <w:tcW w:w="120" w:type="dxa"/>
            <w:vAlign w:val="bottom"/>
          </w:tcPr>
          <w:p>
            <w:pPr>
              <w:spacing w:after="0"/>
              <w:rPr>
                <w:sz w:val="23"/>
                <w:szCs w:val="23"/>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1,828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4,445</w:t>
            </w: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 loss from nonconsolidated affiliates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w:t>
            </w:r>
          </w:p>
        </w:tc>
      </w:tr>
      <w:tr>
        <w:trPr>
          <w:trHeight w:val="266"/>
        </w:trPr>
        <w:tc>
          <w:tcPr>
            <w:tcW w:w="6400" w:type="dxa"/>
            <w:vAlign w:val="bottom"/>
          </w:tcPr>
          <w:p>
            <w:pPr>
              <w:ind w:left="280"/>
              <w:spacing w:after="0"/>
              <w:rPr>
                <w:sz w:val="20"/>
                <w:szCs w:val="20"/>
                <w:color w:val="auto"/>
              </w:rPr>
            </w:pPr>
            <w:r>
              <w:rPr>
                <w:rFonts w:ascii="Arial" w:cs="Arial" w:eastAsia="Arial" w:hAnsi="Arial"/>
                <w:sz w:val="15"/>
                <w:szCs w:val="15"/>
                <w:color w:val="auto"/>
              </w:rPr>
              <w:t>Current tax expense</w:t>
            </w:r>
          </w:p>
        </w:tc>
        <w:tc>
          <w:tcPr>
            <w:tcW w:w="12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272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225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399</w:t>
            </w: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(benefit) / expense</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r>
      <w:tr>
        <w:trPr>
          <w:trHeight w:val="266"/>
        </w:trPr>
        <w:tc>
          <w:tcPr>
            <w:tcW w:w="6400" w:type="dxa"/>
            <w:vAlign w:val="bottom"/>
          </w:tcPr>
          <w:p>
            <w:pPr>
              <w:ind w:left="280"/>
              <w:spacing w:after="0"/>
              <w:rPr>
                <w:sz w:val="20"/>
                <w:szCs w:val="20"/>
                <w:color w:val="auto"/>
              </w:rPr>
            </w:pPr>
            <w:r>
              <w:rPr>
                <w:rFonts w:ascii="Arial" w:cs="Arial" w:eastAsia="Arial" w:hAnsi="Arial"/>
                <w:sz w:val="15"/>
                <w:szCs w:val="15"/>
                <w:color w:val="auto"/>
              </w:rPr>
              <w:t>Preferred return to preferred OP units / equity</w:t>
            </w:r>
          </w:p>
        </w:tc>
        <w:tc>
          <w:tcPr>
            <w:tcW w:w="12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1,718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1,103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3,041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2,183</w:t>
            </w: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Amounts attributable to noncontrolling interests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2,227</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3,626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4,321</w:t>
            </w:r>
          </w:p>
        </w:tc>
      </w:tr>
      <w:tr>
        <w:trPr>
          <w:trHeight w:val="266"/>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Preferred stock distribution</w:t>
            </w: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428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432</w:t>
            </w:r>
          </w:p>
        </w:tc>
        <w:tc>
          <w:tcPr>
            <w:tcW w:w="2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860</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873</w:t>
            </w:r>
          </w:p>
        </w:tc>
      </w:tr>
      <w:tr>
        <w:trPr>
          <w:trHeight w:val="241"/>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NOI / 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171,398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148,011</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335,843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297,063</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6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5"/>
                <w:szCs w:val="15"/>
                <w:b w:val="1"/>
                <w:bCs w:val="1"/>
                <w:color w:val="auto"/>
              </w:rPr>
              <w:t>June 30, 2018</w:t>
            </w:r>
          </w:p>
        </w:tc>
        <w:tc>
          <w:tcPr>
            <w:tcW w:w="10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June 30, 2019</w:t>
            </w:r>
          </w:p>
        </w:tc>
        <w:tc>
          <w:tcPr>
            <w:tcW w:w="100" w:type="dxa"/>
            <w:vAlign w:val="bottom"/>
          </w:tcPr>
          <w:p>
            <w:pPr>
              <w:spacing w:after="0"/>
              <w:rPr>
                <w:sz w:val="22"/>
                <w:szCs w:val="22"/>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June 30, 2018</w:t>
            </w:r>
          </w:p>
        </w:tc>
      </w:tr>
      <w:tr>
        <w:trPr>
          <w:trHeight w:val="254"/>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Real Property NOI</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144,485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125,903</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288,025</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257,648</w:t>
            </w:r>
          </w:p>
        </w:tc>
      </w:tr>
      <w:tr>
        <w:trPr>
          <w:trHeight w:val="266"/>
        </w:trPr>
        <w:tc>
          <w:tcPr>
            <w:tcW w:w="6400" w:type="dxa"/>
            <w:vAlign w:val="bottom"/>
          </w:tcPr>
          <w:p>
            <w:pPr>
              <w:ind w:left="40"/>
              <w:spacing w:after="0"/>
              <w:rPr>
                <w:sz w:val="20"/>
                <w:szCs w:val="20"/>
                <w:color w:val="auto"/>
              </w:rPr>
            </w:pPr>
            <w:r>
              <w:rPr>
                <w:rFonts w:ascii="Arial" w:cs="Arial" w:eastAsia="Arial" w:hAnsi="Arial"/>
                <w:sz w:val="15"/>
                <w:szCs w:val="15"/>
                <w:color w:val="auto"/>
              </w:rPr>
              <w:t>Home Sales NOI / Gross profit</w:t>
            </w:r>
          </w:p>
        </w:tc>
        <w:tc>
          <w:tcPr>
            <w:tcW w:w="12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12,807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10,285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23,148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18,614</w:t>
            </w: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Rental Program NOI</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26,499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24,572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52,560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48,674</w:t>
            </w:r>
          </w:p>
        </w:tc>
      </w:tr>
      <w:tr>
        <w:trPr>
          <w:trHeight w:val="266"/>
        </w:trPr>
        <w:tc>
          <w:tcPr>
            <w:tcW w:w="6400" w:type="dxa"/>
            <w:vAlign w:val="bottom"/>
          </w:tcPr>
          <w:p>
            <w:pPr>
              <w:ind w:left="40"/>
              <w:spacing w:after="0"/>
              <w:rPr>
                <w:sz w:val="20"/>
                <w:szCs w:val="20"/>
                <w:color w:val="auto"/>
              </w:rPr>
            </w:pPr>
            <w:r>
              <w:rPr>
                <w:rFonts w:ascii="Arial" w:cs="Arial" w:eastAsia="Arial" w:hAnsi="Arial"/>
                <w:sz w:val="15"/>
                <w:szCs w:val="15"/>
                <w:color w:val="auto"/>
              </w:rPr>
              <w:t>Ancillary NOI / Gross profit</w:t>
            </w:r>
          </w:p>
        </w:tc>
        <w:tc>
          <w:tcPr>
            <w:tcW w:w="120" w:type="dxa"/>
            <w:vAlign w:val="bottom"/>
          </w:tcPr>
          <w:p>
            <w:pPr>
              <w:spacing w:after="0"/>
              <w:rPr>
                <w:sz w:val="23"/>
                <w:szCs w:val="23"/>
                <w:color w:val="auto"/>
              </w:rPr>
            </w:pPr>
          </w:p>
        </w:tc>
        <w:tc>
          <w:tcPr>
            <w:tcW w:w="1060" w:type="dxa"/>
            <w:vAlign w:val="bottom"/>
          </w:tcPr>
          <w:p>
            <w:pPr>
              <w:jc w:val="right"/>
              <w:ind w:right="63"/>
              <w:spacing w:after="0"/>
              <w:rPr>
                <w:sz w:val="20"/>
                <w:szCs w:val="20"/>
                <w:color w:val="auto"/>
              </w:rPr>
            </w:pPr>
            <w:r>
              <w:rPr>
                <w:rFonts w:ascii="Arial" w:cs="Arial" w:eastAsia="Arial" w:hAnsi="Arial"/>
                <w:sz w:val="15"/>
                <w:szCs w:val="15"/>
                <w:color w:val="auto"/>
              </w:rPr>
              <w:t>4,785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3,790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6,166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4,975</w:t>
            </w:r>
          </w:p>
        </w:tc>
      </w:tr>
      <w:tr>
        <w:trPr>
          <w:trHeight w:val="274"/>
        </w:trPr>
        <w:tc>
          <w:tcPr>
            <w:tcW w:w="640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Site rent from Rental Program (included in Real Property NOI)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(17,178)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(16,539)</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(34,056)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(32,848)</w:t>
            </w:r>
          </w:p>
        </w:tc>
      </w:tr>
      <w:tr>
        <w:trPr>
          <w:trHeight w:val="237"/>
        </w:trPr>
        <w:tc>
          <w:tcPr>
            <w:tcW w:w="6400" w:type="dxa"/>
            <w:vAlign w:val="bottom"/>
          </w:tcPr>
          <w:p>
            <w:pPr>
              <w:ind w:left="380"/>
              <w:spacing w:after="0"/>
              <w:rPr>
                <w:sz w:val="20"/>
                <w:szCs w:val="20"/>
                <w:color w:val="auto"/>
              </w:rPr>
            </w:pPr>
            <w:r>
              <w:rPr>
                <w:rFonts w:ascii="Arial" w:cs="Arial" w:eastAsia="Arial" w:hAnsi="Arial"/>
                <w:sz w:val="15"/>
                <w:szCs w:val="15"/>
                <w:color w:val="auto"/>
              </w:rPr>
              <w:t>NOI /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171,398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148,011</w:t>
            </w: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335,843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297,063</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260" w:hanging="252"/>
        <w:spacing w:after="0" w:line="239" w:lineRule="auto"/>
        <w:tabs>
          <w:tab w:leader="none" w:pos="304"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The renter’s monthly payment includes the site rent and an amount attributable to the leasing of the home. The site rent is reflected in the Real Property Operations segment. For purposes of management analysis, the site rent is included in the Rental Program revenue to evaluate the incremental revenue gains associated with implementation of the Rental Program, and to assess the overall growth and performance of Rental Program and financial impact on our operations.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Total Portfolio as of and for the three and six months ended June 30, 2019 and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69"/>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0"/>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3"/>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3"/>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7"/>
                <w:szCs w:val="17"/>
                <w:color w:val="auto"/>
              </w:rPr>
            </w:pPr>
          </w:p>
        </w:tc>
        <w:tc>
          <w:tcPr>
            <w:tcW w:w="1020" w:type="dxa"/>
            <w:vAlign w:val="bottom"/>
          </w:tcPr>
          <w:p>
            <w:pPr>
              <w:jc w:val="right"/>
              <w:ind w:right="83"/>
              <w:spacing w:after="0"/>
              <w:rPr>
                <w:sz w:val="20"/>
                <w:szCs w:val="20"/>
                <w:color w:val="auto"/>
              </w:rPr>
            </w:pPr>
            <w:r>
              <w:rPr>
                <w:rFonts w:ascii="Arial" w:cs="Arial" w:eastAsia="Arial" w:hAnsi="Arial"/>
                <w:sz w:val="15"/>
                <w:szCs w:val="15"/>
                <w:b w:val="1"/>
                <w:bCs w:val="1"/>
                <w:color w:val="auto"/>
              </w:rPr>
              <w:t>% Change</w:t>
            </w:r>
          </w:p>
        </w:tc>
      </w:tr>
      <w:tr>
        <w:trPr>
          <w:trHeight w:val="266"/>
        </w:trPr>
        <w:tc>
          <w:tcPr>
            <w:tcW w:w="318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 (in thousands)</w:t>
            </w: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r>
      <w:tr>
        <w:trPr>
          <w:trHeight w:val="274"/>
        </w:trPr>
        <w:tc>
          <w:tcPr>
            <w:tcW w:w="3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real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226,099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198,670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27,429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13.8 %</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442,878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395,881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46,997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11.9 %</w:t>
            </w:r>
          </w:p>
        </w:tc>
      </w:tr>
      <w:tr>
        <w:trPr>
          <w:trHeight w:val="266"/>
        </w:trPr>
        <w:tc>
          <w:tcPr>
            <w:tcW w:w="3180" w:type="dxa"/>
            <w:vAlign w:val="bottom"/>
          </w:tcPr>
          <w:p>
            <w:pPr>
              <w:ind w:left="40"/>
              <w:spacing w:after="0"/>
              <w:rPr>
                <w:sz w:val="20"/>
                <w:szCs w:val="20"/>
                <w:color w:val="auto"/>
              </w:rPr>
            </w:pPr>
            <w:r>
              <w:rPr>
                <w:rFonts w:ascii="Arial" w:cs="Arial" w:eastAsia="Arial" w:hAnsi="Arial"/>
                <w:sz w:val="15"/>
                <w:szCs w:val="15"/>
                <w:color w:val="auto"/>
              </w:rPr>
              <w:t>Property operating expenses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4"/>
        </w:trPr>
        <w:tc>
          <w:tcPr>
            <w:tcW w:w="3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Payroll and benefits</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22,097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18,671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18.3 %</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40,968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34,329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6,639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19.3 %</w:t>
            </w:r>
          </w:p>
        </w:tc>
      </w:tr>
      <w:tr>
        <w:trPr>
          <w:trHeight w:val="266"/>
        </w:trPr>
        <w:tc>
          <w:tcPr>
            <w:tcW w:w="3180" w:type="dxa"/>
            <w:vAlign w:val="bottom"/>
          </w:tcPr>
          <w:p>
            <w:pPr>
              <w:ind w:left="380"/>
              <w:spacing w:after="0"/>
              <w:rPr>
                <w:sz w:val="20"/>
                <w:szCs w:val="20"/>
                <w:color w:val="auto"/>
              </w:rPr>
            </w:pPr>
            <w:r>
              <w:rPr>
                <w:rFonts w:ascii="Arial" w:cs="Arial" w:eastAsia="Arial" w:hAnsi="Arial"/>
                <w:sz w:val="15"/>
                <w:szCs w:val="15"/>
                <w:color w:val="auto"/>
              </w:rPr>
              <w:t>Legal, taxes, and insurance</w:t>
            </w: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2,365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2,086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279</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13.4 %</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4,748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4,568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180</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3.9 %</w:t>
            </w:r>
          </w:p>
        </w:tc>
      </w:tr>
      <w:tr>
        <w:trPr>
          <w:trHeight w:val="274"/>
        </w:trPr>
        <w:tc>
          <w:tcPr>
            <w:tcW w:w="3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Utilities</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23,650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21,606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9.5 %</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48,078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44,159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8.9 %</w:t>
            </w:r>
          </w:p>
        </w:tc>
      </w:tr>
      <w:tr>
        <w:trPr>
          <w:trHeight w:val="266"/>
        </w:trPr>
        <w:tc>
          <w:tcPr>
            <w:tcW w:w="3180" w:type="dxa"/>
            <w:vAlign w:val="bottom"/>
          </w:tcPr>
          <w:p>
            <w:pPr>
              <w:ind w:left="380"/>
              <w:spacing w:after="0"/>
              <w:rPr>
                <w:sz w:val="20"/>
                <w:szCs w:val="20"/>
                <w:color w:val="auto"/>
              </w:rPr>
            </w:pPr>
            <w:r>
              <w:rPr>
                <w:rFonts w:ascii="Arial" w:cs="Arial" w:eastAsia="Arial" w:hAnsi="Arial"/>
                <w:sz w:val="15"/>
                <w:szCs w:val="15"/>
                <w:color w:val="auto"/>
              </w:rPr>
              <w:t>Supplies and repair</w:t>
            </w: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9,729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7,833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1,896</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24.2 %</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16,083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13,089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2,994</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22.9 %</w:t>
            </w:r>
          </w:p>
        </w:tc>
      </w:tr>
      <w:tr>
        <w:trPr>
          <w:trHeight w:val="274"/>
        </w:trPr>
        <w:tc>
          <w:tcPr>
            <w:tcW w:w="3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13,920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14,176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66"/>
        </w:trPr>
        <w:tc>
          <w:tcPr>
            <w:tcW w:w="31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Real estate taxes</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15,726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14,076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1,650</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11.7 %</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31,056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27,912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3,144</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11.3 %</w:t>
            </w:r>
          </w:p>
        </w:tc>
      </w:tr>
      <w:tr>
        <w:trPr>
          <w:trHeight w:val="250"/>
        </w:trPr>
        <w:tc>
          <w:tcPr>
            <w:tcW w:w="3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Property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81,614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72,767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8,847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12.2 %</w:t>
            </w:r>
          </w:p>
        </w:tc>
        <w:tc>
          <w:tcPr>
            <w:tcW w:w="2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154,853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138,233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16,620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12.0 %</w:t>
            </w:r>
          </w:p>
        </w:tc>
      </w:tr>
      <w:tr>
        <w:trPr>
          <w:trHeight w:val="241"/>
        </w:trPr>
        <w:tc>
          <w:tcPr>
            <w:tcW w:w="3180" w:type="dxa"/>
            <w:vAlign w:val="bottom"/>
          </w:tcPr>
          <w:p>
            <w:pPr>
              <w:ind w:left="40"/>
              <w:spacing w:after="0"/>
              <w:rPr>
                <w:sz w:val="20"/>
                <w:szCs w:val="20"/>
                <w:color w:val="auto"/>
              </w:rPr>
            </w:pPr>
            <w:r>
              <w:rPr>
                <w:rFonts w:ascii="Arial" w:cs="Arial" w:eastAsia="Arial" w:hAnsi="Arial"/>
                <w:sz w:val="15"/>
                <w:szCs w:val="15"/>
                <w:color w:val="auto"/>
              </w:rPr>
              <w:t>Real Property 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144,485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125,903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18,582</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14.8 %</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288,025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257,648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30,377</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11.8 %</w:t>
            </w: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61"/>
        </w:trPr>
        <w:tc>
          <w:tcPr>
            <w:tcW w:w="7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2019</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2018</w:t>
            </w:r>
          </w:p>
        </w:tc>
        <w:tc>
          <w:tcPr>
            <w:tcW w:w="140" w:type="dxa"/>
            <w:vAlign w:val="bottom"/>
          </w:tcPr>
          <w:p>
            <w:pPr>
              <w:spacing w:after="0"/>
              <w:rPr>
                <w:sz w:val="22"/>
                <w:szCs w:val="22"/>
                <w:color w:val="auto"/>
              </w:rPr>
            </w:pPr>
          </w:p>
        </w:tc>
        <w:tc>
          <w:tcPr>
            <w:tcW w:w="700" w:type="dxa"/>
            <w:vAlign w:val="bottom"/>
          </w:tcPr>
          <w:p>
            <w:pPr>
              <w:jc w:val="right"/>
              <w:ind w:right="83"/>
              <w:spacing w:after="0"/>
              <w:rPr>
                <w:sz w:val="20"/>
                <w:szCs w:val="20"/>
                <w:color w:val="auto"/>
              </w:rPr>
            </w:pPr>
            <w:r>
              <w:rPr>
                <w:rFonts w:ascii="Arial" w:cs="Arial" w:eastAsia="Arial" w:hAnsi="Arial"/>
                <w:sz w:val="15"/>
                <w:szCs w:val="15"/>
                <w:b w:val="1"/>
                <w:bCs w:val="1"/>
                <w:color w:val="auto"/>
                <w:w w:val="94"/>
              </w:rPr>
              <w:t>Change</w:t>
            </w:r>
          </w:p>
        </w:tc>
      </w:tr>
      <w:tr>
        <w:trPr>
          <w:trHeight w:val="266"/>
        </w:trPr>
        <w:tc>
          <w:tcPr>
            <w:tcW w:w="756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1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r>
      <w:tr>
        <w:trPr>
          <w:trHeight w:val="274"/>
        </w:trPr>
        <w:tc>
          <w:tcPr>
            <w:tcW w:w="7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properties</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15</w:t>
            </w:r>
          </w:p>
        </w:tc>
      </w:tr>
      <w:tr>
        <w:trPr>
          <w:trHeight w:val="270"/>
        </w:trPr>
        <w:tc>
          <w:tcPr>
            <w:tcW w:w="7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7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MH occupancy</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6"/>
        </w:trPr>
        <w:tc>
          <w:tcPr>
            <w:tcW w:w="7560" w:type="dxa"/>
            <w:vAlign w:val="bottom"/>
          </w:tcPr>
          <w:p>
            <w:pPr>
              <w:ind w:left="40"/>
              <w:spacing w:after="0"/>
              <w:rPr>
                <w:sz w:val="20"/>
                <w:szCs w:val="20"/>
                <w:color w:val="auto"/>
              </w:rPr>
            </w:pPr>
            <w:r>
              <w:rPr>
                <w:rFonts w:ascii="Arial" w:cs="Arial" w:eastAsia="Arial" w:hAnsi="Arial"/>
                <w:sz w:val="15"/>
                <w:szCs w:val="15"/>
                <w:color w:val="auto"/>
              </w:rPr>
              <w:t>RV occupancy</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756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r>
      <w:tr>
        <w:trPr>
          <w:trHeight w:val="297"/>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7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Sites available for development</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10,823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11,398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(575)</w:t>
            </w:r>
          </w:p>
        </w:tc>
      </w:tr>
      <w:tr>
        <w:trPr>
          <w:trHeight w:val="297"/>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7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MH</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23</w:t>
            </w:r>
          </w:p>
        </w:tc>
      </w:tr>
      <w:tr>
        <w:trPr>
          <w:trHeight w:val="270"/>
        </w:trPr>
        <w:tc>
          <w:tcPr>
            <w:tcW w:w="7560" w:type="dxa"/>
            <w:vAlign w:val="bottom"/>
          </w:tcPr>
          <w:p>
            <w:pPr>
              <w:ind w:left="40"/>
              <w:spacing w:after="0" w:line="270" w:lineRule="exact"/>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25"/>
                <w:szCs w:val="25"/>
                <w:color w:val="auto"/>
                <w:vertAlign w:val="superscript"/>
              </w:rPr>
              <w:t>(2)</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83"/>
              <w:spacing w:after="0"/>
              <w:rPr>
                <w:sz w:val="20"/>
                <w:szCs w:val="20"/>
                <w:color w:val="auto"/>
              </w:rPr>
            </w:pPr>
            <w:r>
              <w:rPr>
                <w:rFonts w:ascii="Arial" w:cs="Arial" w:eastAsia="Arial" w:hAnsi="Arial"/>
                <w:sz w:val="15"/>
                <w:szCs w:val="15"/>
                <w:color w:val="auto"/>
              </w:rPr>
              <w:t>473</w:t>
            </w:r>
          </w:p>
        </w:tc>
        <w:tc>
          <w:tcPr>
            <w:tcW w:w="12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83"/>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83"/>
              <w:spacing w:after="0"/>
              <w:rPr>
                <w:sz w:val="20"/>
                <w:szCs w:val="20"/>
                <w:color w:val="auto"/>
              </w:rPr>
            </w:pPr>
            <w:r>
              <w:rPr>
                <w:rFonts w:ascii="Arial" w:cs="Arial" w:eastAsia="Arial" w:hAnsi="Arial"/>
                <w:sz w:val="15"/>
                <w:szCs w:val="15"/>
                <w:color w:val="auto"/>
              </w:rPr>
              <w:t>27</w:t>
            </w:r>
          </w:p>
        </w:tc>
      </w:tr>
      <w:tr>
        <w:trPr>
          <w:trHeight w:val="270"/>
        </w:trPr>
        <w:tc>
          <w:tcPr>
            <w:tcW w:w="7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Total</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24</w:t>
            </w:r>
          </w:p>
        </w:tc>
      </w:tr>
    </w:tbl>
    <w:p>
      <w:pPr>
        <w:spacing w:after="0" w:line="1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Overall occupancy percentage includes MH and annual RV sites, and excludes transient RV sites.</w:t>
      </w:r>
    </w:p>
    <w:p>
      <w:pPr>
        <w:ind w:left="340" w:hanging="332"/>
        <w:spacing w:after="0" w:line="182" w:lineRule="auto"/>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Monthly base rent pertains to annual RV sites and excludes transient RV sites.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$18.6 million increase in Real Property NOI consists of $9.0 million from Same Communities as detailed below and $9.6 million from recently acquired properties in the three months ended June 30, 2019 as compared to the same period in 2018.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$30.4 million increase in Real Property NOI consists of $18.5 million from Same Communities as detailed below and $11.9 million from recently acquired properties in the six months ended June 30, 2019 as compared to the same period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Real Property Operations - Same Communities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Same Communities consist of properties owned and operated since January 1, 2018. The Same Community data may change from time-to-time depending on acquisitions, dispositions, management discretion, significant transactions, or unique situations. The Same Community data in this Form 10-Q includes all properties which we have owned and operated continuously since January 1, 2018.</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to evaluate the growth of the Same Communities, management has classified certain items differently than our GAAP statements. The reclassification difference between our GAAP statements and our Same Community portfolio is the reclassification of water and sewer revenues from income from real property to utilities. A significant portion of our utility charges are re-billed to our residents. We have reclassified water and sewer revenues of $8.5 million and $7.8 million for the three months ended June 30, 2019 and 2018, and $16.9 million and $15.7 million for the six months ended June 30, 2019 and 2018, respectively, to reflect the utility expenses associated with our Same Community portfolio net of recovery.</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and six months ended June 30, 2019 and 2018. The amounts in the table below reflect constant currency for comparative purposes. Canadian currency figures included within the three and six months ended June 30, 2018 have been translated at 2019 exchange rates: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5"/>
                <w:szCs w:val="15"/>
                <w:b w:val="1"/>
                <w:bCs w:val="1"/>
                <w:color w:val="auto"/>
                <w:w w:val="98"/>
              </w:rPr>
              <w:t>Three Months Ended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5"/>
                <w:szCs w:val="15"/>
                <w:b w:val="1"/>
                <w:bCs w:val="1"/>
                <w:color w:val="auto"/>
                <w:w w:val="98"/>
              </w:rPr>
              <w:t>Six Months Ended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61"/>
        </w:trPr>
        <w:tc>
          <w:tcPr>
            <w:tcW w:w="3040" w:type="dxa"/>
            <w:vAlign w:val="bottom"/>
          </w:tcPr>
          <w:p>
            <w:pPr>
              <w:spacing w:after="0"/>
              <w:rPr>
                <w:sz w:val="22"/>
                <w:szCs w:val="22"/>
                <w:color w:val="auto"/>
              </w:rPr>
            </w:pPr>
          </w:p>
        </w:tc>
        <w:tc>
          <w:tcPr>
            <w:tcW w:w="1120" w:type="dxa"/>
            <w:vAlign w:val="bottom"/>
            <w:gridSpan w:val="3"/>
          </w:tcPr>
          <w:p>
            <w:pPr>
              <w:ind w:left="60"/>
              <w:spacing w:after="0"/>
              <w:rPr>
                <w:sz w:val="20"/>
                <w:szCs w:val="20"/>
                <w:color w:val="auto"/>
              </w:rPr>
            </w:pPr>
            <w:r>
              <w:rPr>
                <w:rFonts w:ascii="Arial" w:cs="Arial" w:eastAsia="Arial" w:hAnsi="Arial"/>
                <w:sz w:val="15"/>
                <w:szCs w:val="15"/>
                <w:b w:val="1"/>
                <w:bCs w:val="1"/>
                <w:color w:val="auto"/>
              </w:rPr>
              <w:t>June 30, 2019</w:t>
            </w:r>
          </w:p>
        </w:tc>
        <w:tc>
          <w:tcPr>
            <w:tcW w:w="1120" w:type="dxa"/>
            <w:vAlign w:val="bottom"/>
            <w:gridSpan w:val="3"/>
          </w:tcPr>
          <w:p>
            <w:pPr>
              <w:ind w:left="60"/>
              <w:spacing w:after="0"/>
              <w:rPr>
                <w:sz w:val="20"/>
                <w:szCs w:val="20"/>
                <w:color w:val="auto"/>
              </w:rPr>
            </w:pPr>
            <w:r>
              <w:rPr>
                <w:rFonts w:ascii="Arial" w:cs="Arial" w:eastAsia="Arial" w:hAnsi="Arial"/>
                <w:sz w:val="15"/>
                <w:szCs w:val="15"/>
                <w:b w:val="1"/>
                <w:bCs w:val="1"/>
                <w:color w:val="auto"/>
              </w:rPr>
              <w:t>June 30, 2018</w:t>
            </w:r>
          </w:p>
        </w:tc>
        <w:tc>
          <w:tcPr>
            <w:tcW w:w="180" w:type="dxa"/>
            <w:vAlign w:val="bottom"/>
          </w:tcPr>
          <w:p>
            <w:pPr>
              <w:spacing w:after="0"/>
              <w:rPr>
                <w:sz w:val="22"/>
                <w:szCs w:val="22"/>
                <w:color w:val="auto"/>
              </w:rPr>
            </w:pPr>
          </w:p>
        </w:tc>
        <w:tc>
          <w:tcPr>
            <w:tcW w:w="820" w:type="dxa"/>
            <w:vAlign w:val="bottom"/>
          </w:tcPr>
          <w:p>
            <w:pPr>
              <w:jc w:val="right"/>
              <w:ind w:right="163"/>
              <w:spacing w:after="0"/>
              <w:rPr>
                <w:sz w:val="20"/>
                <w:szCs w:val="20"/>
                <w:color w:val="auto"/>
              </w:rPr>
            </w:pPr>
            <w:r>
              <w:rPr>
                <w:rFonts w:ascii="Arial" w:cs="Arial" w:eastAsia="Arial" w:hAnsi="Arial"/>
                <w:sz w:val="15"/>
                <w:szCs w:val="15"/>
                <w:b w:val="1"/>
                <w:bCs w:val="1"/>
                <w:color w:val="auto"/>
              </w:rPr>
              <w:t>Change</w:t>
            </w:r>
          </w:p>
        </w:tc>
        <w:tc>
          <w:tcPr>
            <w:tcW w:w="12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120" w:type="dxa"/>
            <w:vAlign w:val="bottom"/>
            <w:gridSpan w:val="3"/>
          </w:tcPr>
          <w:p>
            <w:pPr>
              <w:ind w:left="60"/>
              <w:spacing w:after="0"/>
              <w:rPr>
                <w:sz w:val="20"/>
                <w:szCs w:val="20"/>
                <w:color w:val="auto"/>
              </w:rPr>
            </w:pPr>
            <w:r>
              <w:rPr>
                <w:rFonts w:ascii="Arial" w:cs="Arial" w:eastAsia="Arial" w:hAnsi="Arial"/>
                <w:sz w:val="15"/>
                <w:szCs w:val="15"/>
                <w:b w:val="1"/>
                <w:bCs w:val="1"/>
                <w:color w:val="auto"/>
              </w:rPr>
              <w:t>June 30, 2019</w:t>
            </w:r>
          </w:p>
        </w:tc>
        <w:tc>
          <w:tcPr>
            <w:tcW w:w="1120" w:type="dxa"/>
            <w:vAlign w:val="bottom"/>
            <w:gridSpan w:val="3"/>
          </w:tcPr>
          <w:p>
            <w:pPr>
              <w:ind w:left="60"/>
              <w:spacing w:after="0"/>
              <w:rPr>
                <w:sz w:val="20"/>
                <w:szCs w:val="20"/>
                <w:color w:val="auto"/>
              </w:rPr>
            </w:pPr>
            <w:r>
              <w:rPr>
                <w:rFonts w:ascii="Arial" w:cs="Arial" w:eastAsia="Arial" w:hAnsi="Arial"/>
                <w:sz w:val="15"/>
                <w:szCs w:val="15"/>
                <w:b w:val="1"/>
                <w:bCs w:val="1"/>
                <w:color w:val="auto"/>
              </w:rPr>
              <w:t>June 30, 2018</w:t>
            </w:r>
          </w:p>
        </w:tc>
        <w:tc>
          <w:tcPr>
            <w:tcW w:w="140" w:type="dxa"/>
            <w:vAlign w:val="bottom"/>
          </w:tcPr>
          <w:p>
            <w:pPr>
              <w:spacing w:after="0"/>
              <w:rPr>
                <w:sz w:val="22"/>
                <w:szCs w:val="22"/>
                <w:color w:val="auto"/>
              </w:rPr>
            </w:pPr>
          </w:p>
        </w:tc>
        <w:tc>
          <w:tcPr>
            <w:tcW w:w="740" w:type="dxa"/>
            <w:vAlign w:val="bottom"/>
          </w:tcPr>
          <w:p>
            <w:pPr>
              <w:jc w:val="right"/>
              <w:ind w:right="103"/>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9"/>
              </w:rPr>
              <w:t>% Change</w:t>
            </w:r>
          </w:p>
        </w:tc>
      </w:tr>
      <w:tr>
        <w:trPr>
          <w:trHeight w:val="266"/>
        </w:trPr>
        <w:tc>
          <w:tcPr>
            <w:tcW w:w="304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 (in thousands)</w:t>
            </w:r>
          </w:p>
        </w:tc>
        <w:tc>
          <w:tcPr>
            <w:tcW w:w="2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74"/>
        </w:trPr>
        <w:tc>
          <w:tcPr>
            <w:tcW w:w="304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Income from real property</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196,305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184,532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11,773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6.4 %</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395,389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372,358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23,031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6.2 %</w:t>
            </w:r>
          </w:p>
        </w:tc>
      </w:tr>
      <w:tr>
        <w:trPr>
          <w:trHeight w:val="266"/>
        </w:trPr>
        <w:tc>
          <w:tcPr>
            <w:tcW w:w="3040" w:type="dxa"/>
            <w:vAlign w:val="bottom"/>
          </w:tcPr>
          <w:p>
            <w:pPr>
              <w:ind w:left="40"/>
              <w:spacing w:after="0"/>
              <w:rPr>
                <w:sz w:val="20"/>
                <w:szCs w:val="20"/>
                <w:color w:val="auto"/>
              </w:rPr>
            </w:pPr>
            <w:r>
              <w:rPr>
                <w:rFonts w:ascii="Arial" w:cs="Arial" w:eastAsia="Arial" w:hAnsi="Arial"/>
                <w:sz w:val="15"/>
                <w:szCs w:val="15"/>
                <w:color w:val="auto"/>
              </w:rPr>
              <w:t>Property operating expenses</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3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Payroll and benefits</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18,673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17,609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35,094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33,143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5.9 %</w:t>
            </w:r>
          </w:p>
        </w:tc>
      </w:tr>
      <w:tr>
        <w:trPr>
          <w:trHeight w:val="266"/>
        </w:trPr>
        <w:tc>
          <w:tcPr>
            <w:tcW w:w="3040" w:type="dxa"/>
            <w:vAlign w:val="bottom"/>
          </w:tcPr>
          <w:p>
            <w:pPr>
              <w:ind w:left="380"/>
              <w:spacing w:after="0"/>
              <w:rPr>
                <w:sz w:val="20"/>
                <w:szCs w:val="20"/>
                <w:color w:val="auto"/>
              </w:rPr>
            </w:pPr>
            <w:r>
              <w:rPr>
                <w:rFonts w:ascii="Arial" w:cs="Arial" w:eastAsia="Arial" w:hAnsi="Arial"/>
                <w:sz w:val="15"/>
                <w:szCs w:val="15"/>
                <w:color w:val="auto"/>
              </w:rPr>
              <w:t>Legal, taxes, and insurance</w:t>
            </w:r>
          </w:p>
        </w:tc>
        <w:tc>
          <w:tcPr>
            <w:tcW w:w="2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2,047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84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4.1 %</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4,322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4,518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(4.3)%</w:t>
            </w:r>
          </w:p>
        </w:tc>
      </w:tr>
      <w:tr>
        <w:trPr>
          <w:trHeight w:val="274"/>
        </w:trPr>
        <w:tc>
          <w:tcPr>
            <w:tcW w:w="3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Utilities</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13,244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13,325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27,678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27,788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66"/>
        </w:trPr>
        <w:tc>
          <w:tcPr>
            <w:tcW w:w="3040" w:type="dxa"/>
            <w:vAlign w:val="bottom"/>
          </w:tcPr>
          <w:p>
            <w:pPr>
              <w:ind w:left="380"/>
              <w:spacing w:after="0"/>
              <w:rPr>
                <w:sz w:val="20"/>
                <w:szCs w:val="20"/>
                <w:color w:val="auto"/>
              </w:rPr>
            </w:pPr>
            <w:r>
              <w:rPr>
                <w:rFonts w:ascii="Arial" w:cs="Arial" w:eastAsia="Arial" w:hAnsi="Arial"/>
                <w:sz w:val="15"/>
                <w:szCs w:val="15"/>
                <w:color w:val="auto"/>
              </w:rPr>
              <w:t>Supplies and repair</w:t>
            </w:r>
          </w:p>
        </w:tc>
        <w:tc>
          <w:tcPr>
            <w:tcW w:w="2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8,472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7,739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733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9.5 %</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14,191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12,898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1,293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10.0 %</w:t>
            </w:r>
          </w:p>
        </w:tc>
      </w:tr>
      <w:tr>
        <w:trPr>
          <w:trHeight w:val="274"/>
        </w:trPr>
        <w:tc>
          <w:tcPr>
            <w:tcW w:w="3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0.2 %</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66"/>
        </w:trPr>
        <w:tc>
          <w:tcPr>
            <w:tcW w:w="304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Real estate taxes</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14,896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13,896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1,000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7.2 %</w:t>
            </w:r>
          </w:p>
        </w:tc>
        <w:tc>
          <w:tcPr>
            <w:tcW w:w="2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29,486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27,662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1,824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6.6 %</w:t>
            </w:r>
          </w:p>
        </w:tc>
      </w:tr>
      <w:tr>
        <w:trPr>
          <w:trHeight w:val="250"/>
        </w:trPr>
        <w:tc>
          <w:tcPr>
            <w:tcW w:w="3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Property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62,827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60,018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120,637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116,099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4,538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3.9 %</w:t>
            </w:r>
          </w:p>
        </w:tc>
      </w:tr>
      <w:tr>
        <w:trPr>
          <w:trHeight w:val="241"/>
        </w:trPr>
        <w:tc>
          <w:tcPr>
            <w:tcW w:w="3040" w:type="dxa"/>
            <w:vAlign w:val="bottom"/>
          </w:tcPr>
          <w:p>
            <w:pPr>
              <w:ind w:left="40"/>
              <w:spacing w:after="0"/>
              <w:rPr>
                <w:sz w:val="20"/>
                <w:szCs w:val="20"/>
                <w:color w:val="auto"/>
              </w:rPr>
            </w:pPr>
            <w:r>
              <w:rPr>
                <w:rFonts w:ascii="Arial" w:cs="Arial" w:eastAsia="Arial" w:hAnsi="Arial"/>
                <w:sz w:val="15"/>
                <w:szCs w:val="15"/>
                <w:color w:val="auto"/>
              </w:rPr>
              <w:t>Real Property NOI</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133,478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124,514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8,964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7.2 %</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274,752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256,259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18,493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7.2 %</w:t>
            </w:r>
          </w:p>
        </w:tc>
      </w:tr>
      <w:tr>
        <w:trPr>
          <w:trHeight w:val="20"/>
        </w:trPr>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As of</w:t>
            </w:r>
          </w:p>
        </w:tc>
        <w:tc>
          <w:tcPr>
            <w:tcW w:w="840" w:type="dxa"/>
            <w:vAlign w:val="bottom"/>
            <w:tcBorders>
              <w:bottom w:val="single" w:sz="8" w:color="auto"/>
            </w:tcBorders>
          </w:tcPr>
          <w:p>
            <w:pPr>
              <w:spacing w:after="0"/>
              <w:rPr>
                <w:sz w:val="17"/>
                <w:szCs w:val="17"/>
                <w:color w:val="auto"/>
              </w:rPr>
            </w:pPr>
          </w:p>
        </w:tc>
      </w:tr>
      <w:tr>
        <w:trPr>
          <w:trHeight w:val="261"/>
        </w:trPr>
        <w:tc>
          <w:tcPr>
            <w:tcW w:w="7660" w:type="dxa"/>
            <w:vAlign w:val="bottom"/>
          </w:tcPr>
          <w:p>
            <w:pPr>
              <w:spacing w:after="0"/>
              <w:rPr>
                <w:sz w:val="22"/>
                <w:szCs w:val="22"/>
                <w:color w:val="auto"/>
              </w:rPr>
            </w:pPr>
          </w:p>
        </w:tc>
        <w:tc>
          <w:tcPr>
            <w:tcW w:w="1300" w:type="dxa"/>
            <w:vAlign w:val="bottom"/>
          </w:tcPr>
          <w:p>
            <w:pPr>
              <w:jc w:val="right"/>
              <w:ind w:right="123"/>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22"/>
                <w:szCs w:val="22"/>
                <w:color w:val="auto"/>
              </w:rPr>
            </w:pPr>
          </w:p>
        </w:tc>
        <w:tc>
          <w:tcPr>
            <w:tcW w:w="1500" w:type="dxa"/>
            <w:vAlign w:val="bottom"/>
            <w:gridSpan w:val="2"/>
          </w:tcPr>
          <w:p>
            <w:pPr>
              <w:ind w:left="240"/>
              <w:spacing w:after="0"/>
              <w:rPr>
                <w:sz w:val="20"/>
                <w:szCs w:val="20"/>
                <w:color w:val="auto"/>
              </w:rPr>
            </w:pPr>
            <w:r>
              <w:rPr>
                <w:rFonts w:ascii="Arial" w:cs="Arial" w:eastAsia="Arial" w:hAnsi="Arial"/>
                <w:sz w:val="15"/>
                <w:szCs w:val="15"/>
                <w:b w:val="1"/>
                <w:bCs w:val="1"/>
                <w:color w:val="auto"/>
              </w:rPr>
              <w:t>June 30, 2018</w:t>
            </w:r>
          </w:p>
        </w:tc>
        <w:tc>
          <w:tcPr>
            <w:tcW w:w="840" w:type="dxa"/>
            <w:vAlign w:val="bottom"/>
          </w:tcPr>
          <w:p>
            <w:pPr>
              <w:jc w:val="right"/>
              <w:ind w:right="83"/>
              <w:spacing w:after="0"/>
              <w:rPr>
                <w:sz w:val="20"/>
                <w:szCs w:val="20"/>
                <w:color w:val="auto"/>
              </w:rPr>
            </w:pPr>
            <w:r>
              <w:rPr>
                <w:rFonts w:ascii="Arial" w:cs="Arial" w:eastAsia="Arial" w:hAnsi="Arial"/>
                <w:sz w:val="15"/>
                <w:szCs w:val="15"/>
                <w:b w:val="1"/>
                <w:bCs w:val="1"/>
                <w:color w:val="auto"/>
              </w:rPr>
              <w:t>Change</w:t>
            </w:r>
          </w:p>
        </w:tc>
      </w:tr>
      <w:tr>
        <w:trPr>
          <w:trHeight w:val="266"/>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1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r>
      <w:tr>
        <w:trPr>
          <w:trHeight w:val="274"/>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properties</w:t>
            </w:r>
          </w:p>
        </w:tc>
        <w:tc>
          <w:tcPr>
            <w:tcW w:w="13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203"/>
              <w:spacing w:after="0"/>
              <w:rPr>
                <w:sz w:val="20"/>
                <w:szCs w:val="20"/>
                <w:color w:val="auto"/>
              </w:rPr>
            </w:pPr>
            <w:r>
              <w:rPr>
                <w:rFonts w:ascii="Arial" w:cs="Arial" w:eastAsia="Arial" w:hAnsi="Arial"/>
                <w:sz w:val="15"/>
                <w:szCs w:val="15"/>
                <w:color w:val="auto"/>
                <w:w w:val="87"/>
              </w:rPr>
              <w:t>345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70"/>
        </w:trPr>
        <w:tc>
          <w:tcPr>
            <w:tcW w:w="76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5"/>
                <w:szCs w:val="15"/>
                <w:color w:val="auto"/>
              </w:rPr>
              <w:t xml:space="preserve">MH occupancy </w:t>
            </w:r>
            <w:r>
              <w:rPr>
                <w:rFonts w:ascii="Arial" w:cs="Arial" w:eastAsia="Arial" w:hAnsi="Arial"/>
                <w:sz w:val="25"/>
                <w:szCs w:val="25"/>
                <w:color w:val="auto"/>
                <w:vertAlign w:val="superscript"/>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5"/>
                <w:szCs w:val="15"/>
                <w:color w:val="auto"/>
              </w:rPr>
              <w:t xml:space="preserve">RV occupancy </w:t>
            </w:r>
            <w:r>
              <w:rPr>
                <w:rFonts w:ascii="Arial" w:cs="Arial" w:eastAsia="Arial" w:hAnsi="Arial"/>
                <w:sz w:val="25"/>
                <w:szCs w:val="25"/>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25"/>
                <w:szCs w:val="25"/>
                <w:color w:val="auto"/>
                <w:vertAlign w:val="superscript"/>
              </w:rPr>
              <w:t>(2) (3)</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Sites available for development</w:t>
            </w:r>
          </w:p>
        </w:tc>
        <w:tc>
          <w:tcPr>
            <w:tcW w:w="3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7,237</w:t>
            </w:r>
          </w:p>
        </w:tc>
        <w:tc>
          <w:tcPr>
            <w:tcW w:w="6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7,463</w:t>
            </w:r>
          </w:p>
        </w:tc>
        <w:tc>
          <w:tcPr>
            <w:tcW w:w="3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(226)</w:t>
            </w:r>
          </w:p>
        </w:tc>
      </w:tr>
      <w:tr>
        <w:trPr>
          <w:trHeight w:val="297"/>
        </w:trPr>
        <w:tc>
          <w:tcPr>
            <w:tcW w:w="49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MH</w:t>
            </w:r>
          </w:p>
        </w:tc>
        <w:tc>
          <w:tcPr>
            <w:tcW w:w="320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568</w:t>
            </w:r>
          </w:p>
        </w:tc>
        <w:tc>
          <w:tcPr>
            <w:tcW w:w="64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545</w:t>
            </w: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23</w:t>
            </w: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25"/>
                <w:szCs w:val="25"/>
                <w:color w:val="auto"/>
                <w:vertAlign w:val="superscript"/>
              </w:rPr>
              <w:t>(4)</w:t>
            </w:r>
          </w:p>
        </w:tc>
        <w:tc>
          <w:tcPr>
            <w:tcW w:w="32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473</w:t>
            </w:r>
          </w:p>
        </w:tc>
        <w:tc>
          <w:tcPr>
            <w:tcW w:w="64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445</w:t>
            </w:r>
          </w:p>
        </w:tc>
        <w:tc>
          <w:tcPr>
            <w:tcW w:w="3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83"/>
              <w:spacing w:after="0"/>
              <w:rPr>
                <w:sz w:val="20"/>
                <w:szCs w:val="20"/>
                <w:color w:val="auto"/>
              </w:rPr>
            </w:pPr>
            <w:r>
              <w:rPr>
                <w:rFonts w:ascii="Arial" w:cs="Arial" w:eastAsia="Arial" w:hAnsi="Arial"/>
                <w:sz w:val="15"/>
                <w:szCs w:val="15"/>
                <w:color w:val="auto"/>
              </w:rPr>
              <w:t>28</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Total</w:t>
            </w:r>
          </w:p>
        </w:tc>
        <w:tc>
          <w:tcPr>
            <w:tcW w:w="320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547</w:t>
            </w:r>
          </w:p>
        </w:tc>
        <w:tc>
          <w:tcPr>
            <w:tcW w:w="64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523</w:t>
            </w: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24</w:t>
            </w:r>
          </w:p>
        </w:tc>
      </w:tr>
    </w:tbl>
    <w:p>
      <w:pPr>
        <w:spacing w:after="0" w:line="179" w:lineRule="exact"/>
        <w:rPr>
          <w:sz w:val="20"/>
          <w:szCs w:val="20"/>
          <w:color w:val="auto"/>
        </w:rPr>
      </w:pPr>
    </w:p>
    <w:p>
      <w:pPr>
        <w:jc w:val="both"/>
        <w:ind w:left="340" w:hanging="332"/>
        <w:spacing w:after="0" w:line="224"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Company adopted ASC 842, the new leasing standard, as of January 1, 2019 which required the reclassification of bad debt expense from Property operating expense to Income from real property. To assist with comparability within Same Community results, bad debt expense has been reclassified to be shown as a reduction of Income from real property for all periods presented.</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The occupancy percentage includes MH and annual RV sites, and excludes recently completed but vacant expansion sites and transient RV sites.</w:t>
      </w:r>
    </w:p>
    <w:p>
      <w:pPr>
        <w:ind w:left="340" w:right="20" w:hanging="332"/>
        <w:spacing w:after="0" w:line="207"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occupancy percentage for 2018 has been adjusted to reflect incremental growth period-over-period from filled MH expansion sites and the conversion of transient RV sites to annual RV sites.</w:t>
      </w:r>
    </w:p>
    <w:p>
      <w:pPr>
        <w:spacing w:after="0" w:line="1" w:lineRule="exact"/>
        <w:rPr>
          <w:rFonts w:ascii="Arial" w:cs="Arial" w:eastAsia="Arial" w:hAnsi="Arial"/>
          <w:sz w:val="22"/>
          <w:szCs w:val="22"/>
          <w:color w:val="auto"/>
          <w:vertAlign w:val="superscript"/>
        </w:rPr>
      </w:pPr>
    </w:p>
    <w:p>
      <w:pPr>
        <w:ind w:left="340" w:hanging="332"/>
        <w:spacing w:after="0" w:line="182"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Monthly base rent pertains to annual RV sites and excludes transient RV sites.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6" w:name="page37"/>
    <w:bookmarkEnd w:id="36"/>
    <w:p>
      <w:pPr>
        <w:jc w:val="both"/>
        <w:spacing w:after="0" w:line="302" w:lineRule="auto"/>
        <w:rPr>
          <w:sz w:val="20"/>
          <w:szCs w:val="20"/>
          <w:color w:val="auto"/>
        </w:rPr>
      </w:pPr>
      <w:r>
        <w:rPr>
          <w:rFonts w:ascii="Arial" w:cs="Arial" w:eastAsia="Arial" w:hAnsi="Arial"/>
          <w:sz w:val="16"/>
          <w:szCs w:val="16"/>
          <w:color w:val="auto"/>
        </w:rPr>
        <w:t>For the three months ended June 30, 2019 and 2018 the 7.2 percent growth in NOI is primarily due to increased Income from real property of $11.8 million, or 6.4 percent. The 6.4 percent increase is primarily attributable to a 2.0 percent increase in occupancy and a 4.5 percent increase in total monthly base rent per site when compared to the same period in 2018. The increase in Income from real property was partially offset by a $2.8 million, or 4.7 percent, increase in Property operating expenses, primarily attributable to increases in Payroll and benefits, Real estate taxes, and Supplies and repair.</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2019 and 2018 the 7.2 percent growth in NOI is primarily due to increased Income from real property of $23 million, or 6.2 percent. The 6.2 percent increase is primarily attributable to a 2.0 percent increase in occupancy and a 4.5 percent increase in total monthly base rent per site when compared to the same period in 2018. The increase in Income from real property was partially offset by a $4.5 million, or 3.9 percent, increase in Property operating expenses, primarily attributable to increases in Payroll and benefits, Real estate taxes, and Supplies and repair.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Home Sales Summary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and six months ended June 30, 2019 and 2018 (in thousands, except for average selling prices and statistical information):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5"/>
                <w:szCs w:val="15"/>
                <w:b w:val="1"/>
                <w:bCs w:val="1"/>
                <w:color w:val="auto"/>
                <w:w w:val="98"/>
              </w:rPr>
              <w:t>Three Months Ended</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69"/>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4"/>
                <w:szCs w:val="14"/>
                <w:color w:val="auto"/>
              </w:rPr>
            </w:pPr>
          </w:p>
        </w:tc>
        <w:tc>
          <w:tcPr>
            <w:tcW w:w="88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4"/>
                <w:szCs w:val="14"/>
                <w:color w:val="auto"/>
              </w:rPr>
            </w:pPr>
          </w:p>
        </w:tc>
        <w:tc>
          <w:tcPr>
            <w:tcW w:w="88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0"/>
        </w:trPr>
        <w:tc>
          <w:tcPr>
            <w:tcW w:w="330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160" w:type="dxa"/>
            <w:vAlign w:val="bottom"/>
          </w:tcPr>
          <w:p>
            <w:pPr>
              <w:spacing w:after="0"/>
              <w:rPr>
                <w:sz w:val="17"/>
                <w:szCs w:val="17"/>
                <w:color w:val="auto"/>
              </w:rPr>
            </w:pPr>
          </w:p>
        </w:tc>
        <w:tc>
          <w:tcPr>
            <w:tcW w:w="780" w:type="dxa"/>
            <w:vAlign w:val="bottom"/>
          </w:tcPr>
          <w:p>
            <w:pPr>
              <w:jc w:val="right"/>
              <w:ind w:right="24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3"/>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60" w:type="dxa"/>
            <w:vAlign w:val="bottom"/>
          </w:tcPr>
          <w:p>
            <w:pPr>
              <w:spacing w:after="0"/>
              <w:rPr>
                <w:sz w:val="17"/>
                <w:szCs w:val="17"/>
                <w:color w:val="auto"/>
              </w:rPr>
            </w:pPr>
          </w:p>
        </w:tc>
        <w:tc>
          <w:tcPr>
            <w:tcW w:w="780" w:type="dxa"/>
            <w:vAlign w:val="bottom"/>
          </w:tcPr>
          <w:p>
            <w:pPr>
              <w:jc w:val="right"/>
              <w:ind w:right="24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3"/>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9"/>
              </w:rPr>
              <w:t>% Change</w:t>
            </w:r>
          </w:p>
        </w:tc>
      </w:tr>
      <w:tr>
        <w:trPr>
          <w:trHeight w:val="266"/>
        </w:trPr>
        <w:tc>
          <w:tcPr>
            <w:tcW w:w="3300" w:type="dxa"/>
            <w:vAlign w:val="bottom"/>
          </w:tcPr>
          <w:p>
            <w:pPr>
              <w:ind w:left="40"/>
              <w:spacing w:after="0"/>
              <w:rPr>
                <w:sz w:val="20"/>
                <w:szCs w:val="20"/>
                <w:color w:val="auto"/>
              </w:rPr>
            </w:pPr>
            <w:r>
              <w:rPr>
                <w:rFonts w:ascii="Arial" w:cs="Arial" w:eastAsia="Arial" w:hAnsi="Arial"/>
                <w:sz w:val="15"/>
                <w:szCs w:val="15"/>
                <w:b w:val="1"/>
                <w:bCs w:val="1"/>
                <w:color w:val="auto"/>
              </w:rPr>
              <w:t>New homes</w:t>
            </w: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74"/>
        </w:trPr>
        <w:tc>
          <w:tcPr>
            <w:tcW w:w="3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New home sales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16,704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14,652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2,052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32,085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26,545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5,540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20.9 %</w:t>
            </w:r>
          </w:p>
        </w:tc>
      </w:tr>
      <w:tr>
        <w:trPr>
          <w:trHeight w:val="266"/>
        </w:trPr>
        <w:tc>
          <w:tcPr>
            <w:tcW w:w="3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New home cost of sales</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14,833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12,712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2,121</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16.7 %</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27,979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22,909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5,070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22.1 %</w:t>
            </w:r>
          </w:p>
        </w:tc>
      </w:tr>
      <w:tr>
        <w:trPr>
          <w:trHeight w:val="254"/>
        </w:trPr>
        <w:tc>
          <w:tcPr>
            <w:tcW w:w="3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NOI / Gross profit - new homes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1,871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1,940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4,106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3,636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12.9 %</w:t>
            </w:r>
          </w:p>
        </w:tc>
      </w:tr>
      <w:tr>
        <w:trPr>
          <w:trHeight w:val="266"/>
        </w:trPr>
        <w:tc>
          <w:tcPr>
            <w:tcW w:w="3300" w:type="dxa"/>
            <w:vAlign w:val="bottom"/>
          </w:tcPr>
          <w:p>
            <w:pPr>
              <w:ind w:left="180"/>
              <w:spacing w:after="0"/>
              <w:rPr>
                <w:sz w:val="20"/>
                <w:szCs w:val="20"/>
                <w:color w:val="auto"/>
              </w:rPr>
            </w:pPr>
            <w:r>
              <w:rPr>
                <w:rFonts w:ascii="Arial" w:cs="Arial" w:eastAsia="Arial" w:hAnsi="Arial"/>
                <w:sz w:val="15"/>
                <w:szCs w:val="15"/>
                <w:color w:val="auto"/>
              </w:rPr>
              <w:t>Gross margin % – new homes</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3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Average selling price – new homes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120,173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109,343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10,830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121,534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110,604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10,930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9.9 %</w:t>
            </w:r>
          </w:p>
        </w:tc>
      </w:tr>
      <w:tr>
        <w:trPr>
          <w:trHeight w:val="270"/>
        </w:trPr>
        <w:tc>
          <w:tcPr>
            <w:tcW w:w="3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3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Pre-owned homes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3300" w:type="dxa"/>
            <w:vAlign w:val="bottom"/>
          </w:tcPr>
          <w:p>
            <w:pPr>
              <w:ind w:left="180"/>
              <w:spacing w:after="0"/>
              <w:rPr>
                <w:sz w:val="20"/>
                <w:szCs w:val="20"/>
                <w:color w:val="auto"/>
              </w:rPr>
            </w:pPr>
            <w:r>
              <w:rPr>
                <w:rFonts w:ascii="Arial" w:cs="Arial" w:eastAsia="Arial" w:hAnsi="Arial"/>
                <w:sz w:val="15"/>
                <w:szCs w:val="15"/>
                <w:color w:val="auto"/>
              </w:rPr>
              <w:t>Pre-owned home sales</w:t>
            </w: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30,538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26,565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3,973</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15.0 %</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54,775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49,572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23"/>
              <w:spacing w:after="0"/>
              <w:rPr>
                <w:sz w:val="20"/>
                <w:szCs w:val="20"/>
                <w:color w:val="auto"/>
              </w:rPr>
            </w:pPr>
            <w:r>
              <w:rPr>
                <w:rFonts w:ascii="Arial" w:cs="Arial" w:eastAsia="Arial" w:hAnsi="Arial"/>
                <w:sz w:val="15"/>
                <w:szCs w:val="15"/>
                <w:color w:val="auto"/>
              </w:rPr>
              <w:t>5,203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10.5 %</w:t>
            </w:r>
          </w:p>
        </w:tc>
      </w:tr>
      <w:tr>
        <w:trPr>
          <w:trHeight w:val="270"/>
        </w:trPr>
        <w:tc>
          <w:tcPr>
            <w:tcW w:w="3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Pre-owned home cost of sales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19,602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18,220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1,382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2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35,733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34,594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1,139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3.3 %</w:t>
            </w:r>
          </w:p>
        </w:tc>
      </w:tr>
      <w:tr>
        <w:trPr>
          <w:trHeight w:val="250"/>
        </w:trPr>
        <w:tc>
          <w:tcPr>
            <w:tcW w:w="3300" w:type="dxa"/>
            <w:vAlign w:val="bottom"/>
          </w:tcPr>
          <w:p>
            <w:pPr>
              <w:ind w:left="180"/>
              <w:spacing w:after="0"/>
              <w:rPr>
                <w:sz w:val="20"/>
                <w:szCs w:val="20"/>
                <w:color w:val="auto"/>
              </w:rPr>
            </w:pPr>
            <w:r>
              <w:rPr>
                <w:rFonts w:ascii="Arial" w:cs="Arial" w:eastAsia="Arial" w:hAnsi="Arial"/>
                <w:sz w:val="15"/>
                <w:szCs w:val="15"/>
                <w:color w:val="auto"/>
              </w:rPr>
              <w:t>NOI / Gross profit - pre-owned homes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10,936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8,345</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2,591</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31.0 %</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19,042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14,978</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23"/>
              <w:spacing w:after="0"/>
              <w:rPr>
                <w:sz w:val="20"/>
                <w:szCs w:val="20"/>
                <w:color w:val="auto"/>
              </w:rPr>
            </w:pPr>
            <w:r>
              <w:rPr>
                <w:rFonts w:ascii="Arial" w:cs="Arial" w:eastAsia="Arial" w:hAnsi="Arial"/>
                <w:sz w:val="15"/>
                <w:szCs w:val="15"/>
                <w:color w:val="auto"/>
              </w:rPr>
              <w:t>4,064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27.1 %</w:t>
            </w:r>
          </w:p>
        </w:tc>
      </w:tr>
      <w:tr>
        <w:trPr>
          <w:trHeight w:val="274"/>
        </w:trPr>
        <w:tc>
          <w:tcPr>
            <w:tcW w:w="3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Gross margin % – pre-owned homes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3300" w:type="dxa"/>
            <w:vAlign w:val="bottom"/>
          </w:tcPr>
          <w:p>
            <w:pPr>
              <w:ind w:left="180"/>
              <w:spacing w:after="0"/>
              <w:rPr>
                <w:sz w:val="20"/>
                <w:szCs w:val="20"/>
                <w:color w:val="auto"/>
              </w:rPr>
            </w:pPr>
            <w:r>
              <w:rPr>
                <w:rFonts w:ascii="Arial" w:cs="Arial" w:eastAsia="Arial" w:hAnsi="Arial"/>
                <w:sz w:val="15"/>
                <w:szCs w:val="15"/>
                <w:color w:val="auto"/>
              </w:rPr>
              <w:t>Average selling price – pre-owned homes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38,754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32,837</w:t>
            </w:r>
          </w:p>
        </w:tc>
        <w:tc>
          <w:tcPr>
            <w:tcW w:w="10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5,917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18.0 %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37,491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32,190</w:t>
            </w:r>
          </w:p>
        </w:tc>
        <w:tc>
          <w:tcPr>
            <w:tcW w:w="10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23"/>
              <w:spacing w:after="0"/>
              <w:rPr>
                <w:sz w:val="20"/>
                <w:szCs w:val="20"/>
                <w:color w:val="auto"/>
              </w:rPr>
            </w:pPr>
            <w:r>
              <w:rPr>
                <w:rFonts w:ascii="Arial" w:cs="Arial" w:eastAsia="Arial" w:hAnsi="Arial"/>
                <w:sz w:val="15"/>
                <w:szCs w:val="15"/>
                <w:color w:val="auto"/>
              </w:rPr>
              <w:t>5,301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16.5 %</w:t>
            </w:r>
          </w:p>
        </w:tc>
      </w:tr>
      <w:tr>
        <w:trPr>
          <w:trHeight w:val="274"/>
        </w:trPr>
        <w:tc>
          <w:tcPr>
            <w:tcW w:w="3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3300" w:type="dxa"/>
            <w:vAlign w:val="bottom"/>
          </w:tcPr>
          <w:p>
            <w:pPr>
              <w:ind w:left="40"/>
              <w:spacing w:after="0"/>
              <w:rPr>
                <w:sz w:val="20"/>
                <w:szCs w:val="20"/>
                <w:color w:val="auto"/>
              </w:rPr>
            </w:pPr>
            <w:r>
              <w:rPr>
                <w:rFonts w:ascii="Arial" w:cs="Arial" w:eastAsia="Arial" w:hAnsi="Arial"/>
                <w:sz w:val="15"/>
                <w:szCs w:val="15"/>
                <w:color w:val="auto"/>
              </w:rPr>
              <w:t>Revenue from home sales</w:t>
            </w: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47,242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41,217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6,025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14.6 %</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86,860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76,117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23"/>
              <w:spacing w:after="0"/>
              <w:rPr>
                <w:sz w:val="20"/>
                <w:szCs w:val="20"/>
                <w:color w:val="auto"/>
              </w:rPr>
            </w:pPr>
            <w:r>
              <w:rPr>
                <w:rFonts w:ascii="Arial" w:cs="Arial" w:eastAsia="Arial" w:hAnsi="Arial"/>
                <w:sz w:val="15"/>
                <w:szCs w:val="15"/>
                <w:color w:val="auto"/>
              </w:rPr>
              <w:t>10,743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14.1 %</w:t>
            </w:r>
          </w:p>
        </w:tc>
      </w:tr>
      <w:tr>
        <w:trPr>
          <w:trHeight w:val="270"/>
        </w:trPr>
        <w:tc>
          <w:tcPr>
            <w:tcW w:w="3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Cost of home sales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34,435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30,932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3,503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2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63,712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57,503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6,209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10.8 %</w:t>
            </w:r>
          </w:p>
        </w:tc>
      </w:tr>
      <w:tr>
        <w:trPr>
          <w:trHeight w:val="281"/>
        </w:trPr>
        <w:tc>
          <w:tcPr>
            <w:tcW w:w="3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NOI / Gross profit - home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12,807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10,285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2,522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24.5 %</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23,148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18,614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4,534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24.4 %</w:t>
            </w:r>
          </w:p>
        </w:tc>
      </w:tr>
      <w:tr>
        <w:trPr>
          <w:trHeight w:val="264"/>
        </w:trPr>
        <w:tc>
          <w:tcPr>
            <w:tcW w:w="3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6"/>
        </w:trPr>
        <w:tc>
          <w:tcPr>
            <w:tcW w:w="3300" w:type="dxa"/>
            <w:vAlign w:val="bottom"/>
          </w:tcPr>
          <w:p>
            <w:pPr>
              <w:ind w:left="40"/>
              <w:spacing w:after="0"/>
              <w:rPr>
                <w:sz w:val="20"/>
                <w:szCs w:val="20"/>
                <w:color w:val="auto"/>
              </w:rPr>
            </w:pPr>
            <w:r>
              <w:rPr>
                <w:rFonts w:ascii="Arial" w:cs="Arial" w:eastAsia="Arial" w:hAnsi="Arial"/>
                <w:sz w:val="15"/>
                <w:szCs w:val="15"/>
                <w:b w:val="1"/>
                <w:bCs w:val="1"/>
                <w:color w:val="auto"/>
              </w:rPr>
              <w:t>Statistical Information</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3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New home sales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66"/>
        </w:trPr>
        <w:tc>
          <w:tcPr>
            <w:tcW w:w="3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Pre-owned home sales</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788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809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(21)</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(2.6)%</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1,461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1,540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(79)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(5.1)%</w:t>
            </w:r>
          </w:p>
        </w:tc>
      </w:tr>
      <w:tr>
        <w:trPr>
          <w:trHeight w:val="241"/>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homes sold</w:t>
            </w: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943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1,780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(55)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Gross profit - new homes</w:t>
      </w:r>
    </w:p>
    <w:p>
      <w:pPr>
        <w:spacing w:after="0" w:line="117"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color w:val="auto"/>
        </w:rPr>
        <w:t>Decreased $0.1 million or 3.6 percent in the three months ended June 30, 2019 as compared to the same period in 2018. This decrease is the result of increased cost of sales that outpaced the increase in selling price in the three months ended June 30, 2019 as compared to the same period in 2018.</w:t>
      </w:r>
    </w:p>
    <w:p>
      <w:pPr>
        <w:spacing w:after="0" w:line="1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Increased $0.5 million or 12.9 percent in the six months ended June 30, 2019, as compared to the same period in 2018. This increase is primarily the result of a 10.0 percent increase in new home sales volumes.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Gross profit - pre-owned homes</w:t>
      </w:r>
    </w:p>
    <w:p>
      <w:pPr>
        <w:spacing w:after="0" w:line="11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Increased $2.6 million, or 31.0 percent in the three months ended June 30, 2019 as compared to the same period in 2018. The increase is primarily the result of a 18.0 percent increase in the average selling price of pre-owned homes.</w:t>
      </w:r>
    </w:p>
    <w:p>
      <w:pPr>
        <w:spacing w:after="0" w:line="6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Increased $4.1 million or 27.1 percent in the six months ended June 30, 2019, as compared to the same period in 2018. This increase is primarily the result of a 16.5 percent increase in the average selling price of pre-owned homes.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Rental Program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and six months ended June 30, 2019 and 2018 (in thousands, except for statistical information):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5"/>
                <w:szCs w:val="15"/>
                <w:b w:val="1"/>
                <w:bCs w:val="1"/>
                <w:color w:val="auto"/>
                <w:w w:val="97"/>
              </w:rPr>
              <w:t>Three Months Ended</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69"/>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0"/>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3"/>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740" w:type="dxa"/>
            <w:vAlign w:val="bottom"/>
          </w:tcPr>
          <w:p>
            <w:pPr>
              <w:jc w:val="right"/>
              <w:ind w:right="20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20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3"/>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9"/>
              </w:rPr>
              <w:t>% Change</w:t>
            </w:r>
          </w:p>
        </w:tc>
      </w:tr>
      <w:tr>
        <w:trPr>
          <w:trHeight w:val="266"/>
        </w:trPr>
        <w:tc>
          <w:tcPr>
            <w:tcW w:w="364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74"/>
        </w:trPr>
        <w:tc>
          <w:tcPr>
            <w:tcW w:w="3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3640" w:type="dxa"/>
            <w:vAlign w:val="bottom"/>
          </w:tcPr>
          <w:p>
            <w:pPr>
              <w:ind w:left="280"/>
              <w:spacing w:after="0"/>
              <w:rPr>
                <w:sz w:val="20"/>
                <w:szCs w:val="20"/>
                <w:color w:val="auto"/>
              </w:rPr>
            </w:pPr>
            <w:r>
              <w:rPr>
                <w:rFonts w:ascii="Arial" w:cs="Arial" w:eastAsia="Arial" w:hAnsi="Arial"/>
                <w:sz w:val="15"/>
                <w:szCs w:val="15"/>
                <w:color w:val="auto"/>
              </w:rPr>
              <w:t>Rental home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14,412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13,348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1,064</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8.0 %</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28,383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26,368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2,015</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7.6 %</w:t>
            </w:r>
          </w:p>
        </w:tc>
      </w:tr>
      <w:tr>
        <w:trPr>
          <w:trHeight w:val="274"/>
        </w:trPr>
        <w:tc>
          <w:tcPr>
            <w:tcW w:w="3640" w:type="dxa"/>
            <w:vAlign w:val="bottom"/>
            <w:shd w:val="clear" w:color="auto" w:fill="CCEEFF"/>
          </w:tcPr>
          <w:p>
            <w:pPr>
              <w:ind w:left="280"/>
              <w:spacing w:after="0" w:line="274" w:lineRule="exact"/>
              <w:rPr>
                <w:sz w:val="20"/>
                <w:szCs w:val="20"/>
                <w:color w:val="auto"/>
              </w:rPr>
            </w:pPr>
            <w:r>
              <w:rPr>
                <w:rFonts w:ascii="Arial" w:cs="Arial" w:eastAsia="Arial" w:hAnsi="Arial"/>
                <w:sz w:val="15"/>
                <w:szCs w:val="15"/>
                <w:color w:val="auto"/>
              </w:rPr>
              <w:t xml:space="preserve">Site rent from Rental Program </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17,178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16,539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34,056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32,848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3.7 %</w:t>
            </w:r>
          </w:p>
        </w:tc>
      </w:tr>
      <w:tr>
        <w:trPr>
          <w:trHeight w:val="246"/>
        </w:trPr>
        <w:tc>
          <w:tcPr>
            <w:tcW w:w="3640" w:type="dxa"/>
            <w:vAlign w:val="bottom"/>
          </w:tcPr>
          <w:p>
            <w:pPr>
              <w:ind w:left="280"/>
              <w:spacing w:after="0"/>
              <w:rPr>
                <w:sz w:val="20"/>
                <w:szCs w:val="20"/>
                <w:color w:val="auto"/>
              </w:rPr>
            </w:pPr>
            <w:r>
              <w:rPr>
                <w:rFonts w:ascii="Arial" w:cs="Arial" w:eastAsia="Arial" w:hAnsi="Arial"/>
                <w:sz w:val="15"/>
                <w:szCs w:val="15"/>
                <w:color w:val="auto"/>
              </w:rPr>
              <w:t>Rental Program revenue</w:t>
            </w:r>
          </w:p>
        </w:tc>
        <w:tc>
          <w:tcPr>
            <w:tcW w:w="140" w:type="dxa"/>
            <w:vAlign w:val="bottom"/>
          </w:tcPr>
          <w:p>
            <w:pPr>
              <w:spacing w:after="0"/>
              <w:rPr>
                <w:sz w:val="21"/>
                <w:szCs w:val="21"/>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31,590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29,887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1,703</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5.7 %</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62,439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59,216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3,223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5.4 %</w:t>
            </w:r>
          </w:p>
        </w:tc>
      </w:tr>
      <w:tr>
        <w:trPr>
          <w:trHeight w:val="274"/>
        </w:trPr>
        <w:tc>
          <w:tcPr>
            <w:tcW w:w="3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Expenses</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3640" w:type="dxa"/>
            <w:vAlign w:val="bottom"/>
          </w:tcPr>
          <w:p>
            <w:pPr>
              <w:ind w:left="280"/>
              <w:spacing w:after="0"/>
              <w:rPr>
                <w:sz w:val="20"/>
                <w:szCs w:val="20"/>
                <w:color w:val="auto"/>
              </w:rPr>
            </w:pPr>
            <w:r>
              <w:rPr>
                <w:rFonts w:ascii="Arial" w:cs="Arial" w:eastAsia="Arial" w:hAnsi="Arial"/>
                <w:sz w:val="15"/>
                <w:szCs w:val="15"/>
                <w:color w:val="auto"/>
              </w:rPr>
              <w:t>Repairs and refurbishment</w:t>
            </w: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2,803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2,207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596</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27.0 %</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5,107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4,521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586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13.0 %</w:t>
            </w:r>
          </w:p>
        </w:tc>
      </w:tr>
      <w:tr>
        <w:trPr>
          <w:trHeight w:val="274"/>
        </w:trPr>
        <w:tc>
          <w:tcPr>
            <w:tcW w:w="3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Taxes and insurance</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16.4 %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18.5 %</w:t>
            </w:r>
          </w:p>
        </w:tc>
      </w:tr>
      <w:tr>
        <w:trPr>
          <w:trHeight w:val="266"/>
        </w:trPr>
        <w:tc>
          <w:tcPr>
            <w:tcW w:w="36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461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1,539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(1,078)</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(70.0)%</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1,081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2,906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(62.8)%</w:t>
            </w:r>
          </w:p>
        </w:tc>
      </w:tr>
      <w:tr>
        <w:trPr>
          <w:trHeight w:val="250"/>
        </w:trPr>
        <w:tc>
          <w:tcPr>
            <w:tcW w:w="3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Program operating and maintenance</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5,091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5,315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9,879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10,542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w:t>
            </w:r>
          </w:p>
        </w:tc>
      </w:tr>
      <w:tr>
        <w:trPr>
          <w:trHeight w:val="281"/>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Rental Program 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26,499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24,572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1,927</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7.8 %</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52,560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48,674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3,886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8.0 %</w:t>
            </w:r>
          </w:p>
        </w:tc>
      </w:tr>
      <w:tr>
        <w:trPr>
          <w:trHeight w:val="278"/>
        </w:trPr>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6"/>
        </w:trPr>
        <w:tc>
          <w:tcPr>
            <w:tcW w:w="364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3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sold rental homes</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20.7 %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6.5 %</w:t>
            </w:r>
          </w:p>
        </w:tc>
      </w:tr>
      <w:tr>
        <w:trPr>
          <w:trHeight w:val="266"/>
        </w:trPr>
        <w:tc>
          <w:tcPr>
            <w:tcW w:w="3640" w:type="dxa"/>
            <w:vAlign w:val="bottom"/>
          </w:tcPr>
          <w:p>
            <w:pPr>
              <w:ind w:left="40"/>
              <w:spacing w:after="0"/>
              <w:rPr>
                <w:sz w:val="20"/>
                <w:szCs w:val="20"/>
                <w:color w:val="auto"/>
              </w:rPr>
            </w:pPr>
            <w:r>
              <w:rPr>
                <w:rFonts w:ascii="Arial" w:cs="Arial" w:eastAsia="Arial" w:hAnsi="Arial"/>
                <w:sz w:val="15"/>
                <w:szCs w:val="15"/>
                <w:color w:val="auto"/>
              </w:rPr>
              <w:t>Number of occupied rentals, end of period</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11,230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11,072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158</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1.4 %</w:t>
            </w:r>
          </w:p>
        </w:tc>
      </w:tr>
      <w:tr>
        <w:trPr>
          <w:trHeight w:val="274"/>
        </w:trPr>
        <w:tc>
          <w:tcPr>
            <w:tcW w:w="3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in occupied rental homes, end of period</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561,219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514,756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46,463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9.0 %</w:t>
            </w:r>
          </w:p>
        </w:tc>
      </w:tr>
      <w:tr>
        <w:trPr>
          <w:trHeight w:val="262"/>
        </w:trPr>
        <w:tc>
          <w:tcPr>
            <w:tcW w:w="3640" w:type="dxa"/>
            <w:vAlign w:val="bottom"/>
          </w:tcPr>
          <w:p>
            <w:pPr>
              <w:ind w:left="40"/>
              <w:spacing w:after="0"/>
              <w:rPr>
                <w:sz w:val="20"/>
                <w:szCs w:val="20"/>
                <w:color w:val="auto"/>
              </w:rPr>
            </w:pPr>
            <w:r>
              <w:rPr>
                <w:rFonts w:ascii="Arial" w:cs="Arial" w:eastAsia="Arial" w:hAnsi="Arial"/>
                <w:sz w:val="15"/>
                <w:szCs w:val="15"/>
                <w:color w:val="auto"/>
              </w:rPr>
              <w:t>Weighted average monthly rental rate, end of period</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975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927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48</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5.2 %</w:t>
            </w:r>
          </w:p>
        </w:tc>
      </w:tr>
    </w:tbl>
    <w:p>
      <w:pPr>
        <w:spacing w:after="0" w:line="228" w:lineRule="exact"/>
        <w:rPr>
          <w:sz w:val="20"/>
          <w:szCs w:val="20"/>
          <w:color w:val="auto"/>
        </w:rPr>
      </w:pPr>
    </w:p>
    <w:p>
      <w:pPr>
        <w:ind w:left="360" w:hanging="352"/>
        <w:spacing w:after="0" w:line="270" w:lineRule="auto"/>
        <w:tabs>
          <w:tab w:leader="none" w:pos="234"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The renter’s monthly payment includes the site rent and an amount attributable to rental home lease. The site rent is reflected in the Real Property Operations segment. For purposes of management analysis, the site rent is included in the Rental Program revenue to evaluate the incremental revenue gains associated with implementation of the Rental Program, and assess the overall growth and performance of the Rental Program and financial impact to our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Rental Program NOI increased by 7.8 percent for the three months ended June 30, 2019 as compared to the same period in 2018. The increase is due to an increase in Rental Program revenues of 5.7 percent, or $1.7 million, which is primarily attributable to a 5.2 percent increase in the weighted average monthly rental rate, coupled with a decrease of $0.2 million in expenses.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Rental Program NOI increased by 8.0 percent for the six months ended June 30, 2019 as compared to the same period in 2018. The increase is primarily due to an increase in Rental Program revenues of 5.4 percent, or $3.2 million, and a decrease in operating and maintenance expenses of 6.3 percent, or $0.7 million. The increase in revenues is partially attributable to a 5.2 percent increase in the weighted average monthly rental rate and a slight increase in the number of occupied rentals. The decrease in operating and maintenance expenses of $0.7 million is primarily the result of commission expenses being capitalized under ASC 842 in the six months ended June 30, 2019 as compared to the same period in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Other Items -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 income and expenses for the three and six months ended June 30, 2019 and 2018 (amounts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5"/>
                <w:szCs w:val="15"/>
                <w:b w:val="1"/>
                <w:bCs w:val="1"/>
                <w:color w:val="auto"/>
              </w:rPr>
              <w:t>Three Months Ended</w:t>
            </w: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Six Months Ended</w:t>
            </w:r>
          </w:p>
        </w:tc>
        <w:tc>
          <w:tcPr>
            <w:tcW w:w="900" w:type="dxa"/>
            <w:vAlign w:val="bottom"/>
            <w:tcBorders>
              <w:bottom w:val="single" w:sz="8" w:color="auto"/>
            </w:tcBorders>
          </w:tcPr>
          <w:p>
            <w:pPr>
              <w:spacing w:after="0"/>
              <w:rPr>
                <w:sz w:val="17"/>
                <w:szCs w:val="17"/>
                <w:color w:val="auto"/>
              </w:rPr>
            </w:pPr>
          </w:p>
        </w:tc>
      </w:tr>
      <w:tr>
        <w:trPr>
          <w:trHeight w:val="169"/>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2"/>
        </w:trPr>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Change</w:t>
            </w:r>
          </w:p>
        </w:tc>
        <w:tc>
          <w:tcPr>
            <w:tcW w:w="1120" w:type="dxa"/>
            <w:vAlign w:val="bottom"/>
            <w:gridSpan w:val="2"/>
          </w:tcPr>
          <w:p>
            <w:pPr>
              <w:ind w:left="100"/>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Change</w:t>
            </w:r>
          </w:p>
        </w:tc>
        <w:tc>
          <w:tcPr>
            <w:tcW w:w="900" w:type="dxa"/>
            <w:vAlign w:val="bottom"/>
          </w:tcPr>
          <w:p>
            <w:pPr>
              <w:jc w:val="right"/>
              <w:ind w:right="23"/>
              <w:spacing w:after="0"/>
              <w:rPr>
                <w:sz w:val="20"/>
                <w:szCs w:val="20"/>
                <w:color w:val="auto"/>
              </w:rPr>
            </w:pPr>
            <w:r>
              <w:rPr>
                <w:rFonts w:ascii="Arial" w:cs="Arial" w:eastAsia="Arial" w:hAnsi="Arial"/>
                <w:sz w:val="15"/>
                <w:szCs w:val="15"/>
                <w:b w:val="1"/>
                <w:bCs w:val="1"/>
                <w:color w:val="auto"/>
              </w:rPr>
              <w:t>% Change</w:t>
            </w:r>
          </w:p>
        </w:tc>
      </w:tr>
      <w:tr>
        <w:trPr>
          <w:trHeight w:val="254"/>
        </w:trPr>
        <w:tc>
          <w:tcPr>
            <w:tcW w:w="3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Ancillary revenues,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4,785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3,790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995</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26.3 %</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6,166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4,975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1,191</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23.9 %</w:t>
            </w:r>
          </w:p>
        </w:tc>
      </w:tr>
      <w:tr>
        <w:trPr>
          <w:trHeight w:val="266"/>
        </w:trPr>
        <w:tc>
          <w:tcPr>
            <w:tcW w:w="3420" w:type="dxa"/>
            <w:vAlign w:val="bottom"/>
          </w:tcPr>
          <w:p>
            <w:pPr>
              <w:ind w:left="40"/>
              <w:spacing w:after="0"/>
              <w:rPr>
                <w:sz w:val="20"/>
                <w:szCs w:val="20"/>
                <w:color w:val="auto"/>
              </w:rPr>
            </w:pPr>
            <w:r>
              <w:rPr>
                <w:rFonts w:ascii="Arial" w:cs="Arial" w:eastAsia="Arial" w:hAnsi="Arial"/>
                <w:sz w:val="15"/>
                <w:szCs w:val="15"/>
                <w:color w:val="auto"/>
              </w:rPr>
              <w:t>Interest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4,919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5,277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(358)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(6.8)%</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9,719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10,593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(874)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74"/>
        </w:trPr>
        <w:tc>
          <w:tcPr>
            <w:tcW w:w="3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Brokerage commissions and other revenues,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1,617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181.5 %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4,337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234.3 %</w:t>
            </w:r>
          </w:p>
        </w:tc>
      </w:tr>
      <w:tr>
        <w:trPr>
          <w:trHeight w:val="266"/>
        </w:trPr>
        <w:tc>
          <w:tcPr>
            <w:tcW w:w="3420" w:type="dxa"/>
            <w:vAlign w:val="bottom"/>
          </w:tcPr>
          <w:p>
            <w:pPr>
              <w:ind w:left="40"/>
              <w:spacing w:after="0"/>
              <w:rPr>
                <w:sz w:val="20"/>
                <w:szCs w:val="20"/>
                <w:color w:val="auto"/>
              </w:rPr>
            </w:pPr>
            <w:r>
              <w:rPr>
                <w:rFonts w:ascii="Arial" w:cs="Arial" w:eastAsia="Arial" w:hAnsi="Arial"/>
                <w:sz w:val="15"/>
                <w:szCs w:val="15"/>
                <w:color w:val="auto"/>
              </w:rPr>
              <w:t>Home selling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3,626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3,986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(360)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(9.0)%</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6,950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7,276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(326)</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74"/>
        </w:trPr>
        <w:tc>
          <w:tcPr>
            <w:tcW w:w="3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23,697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21,452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2,245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45,584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41,209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4,375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w:t>
            </w:r>
          </w:p>
        </w:tc>
      </w:tr>
      <w:tr>
        <w:trPr>
          <w:trHeight w:val="266"/>
        </w:trPr>
        <w:tc>
          <w:tcPr>
            <w:tcW w:w="3420" w:type="dxa"/>
            <w:vAlign w:val="bottom"/>
          </w:tcPr>
          <w:p>
            <w:pPr>
              <w:ind w:left="40"/>
              <w:spacing w:after="0"/>
              <w:rPr>
                <w:sz w:val="20"/>
                <w:szCs w:val="20"/>
                <w:color w:val="auto"/>
              </w:rPr>
            </w:pPr>
            <w:r>
              <w:rPr>
                <w:rFonts w:ascii="Arial" w:cs="Arial" w:eastAsia="Arial" w:hAnsi="Arial"/>
                <w:sz w:val="15"/>
                <w:szCs w:val="15"/>
                <w:color w:val="auto"/>
              </w:rPr>
              <w:t>Catastrophic weather related charges, net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237.7 %</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961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(2,160)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3,121</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(144.5)%</w:t>
            </w:r>
          </w:p>
        </w:tc>
      </w:tr>
      <w:tr>
        <w:trPr>
          <w:trHeight w:val="274"/>
        </w:trPr>
        <w:tc>
          <w:tcPr>
            <w:tcW w:w="3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76,153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67,773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8,380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152,709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134,210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18,499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13.8 %</w:t>
            </w:r>
          </w:p>
        </w:tc>
      </w:tr>
      <w:tr>
        <w:trPr>
          <w:trHeight w:val="266"/>
        </w:trPr>
        <w:tc>
          <w:tcPr>
            <w:tcW w:w="3420" w:type="dxa"/>
            <w:vAlign w:val="bottom"/>
          </w:tcPr>
          <w:p>
            <w:pPr>
              <w:ind w:left="4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1,522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(1,452)</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(95.4)%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723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1,718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(995)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(57.9)%</w:t>
            </w:r>
          </w:p>
        </w:tc>
      </w:tr>
      <w:tr>
        <w:trPr>
          <w:trHeight w:val="274"/>
        </w:trPr>
        <w:tc>
          <w:tcPr>
            <w:tcW w:w="342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34,842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33,050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1,792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69,950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64,807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5,143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7.9 %</w:t>
            </w:r>
          </w:p>
        </w:tc>
      </w:tr>
      <w:tr>
        <w:trPr>
          <w:trHeight w:val="266"/>
        </w:trPr>
        <w:tc>
          <w:tcPr>
            <w:tcW w:w="3420" w:type="dxa"/>
            <w:vAlign w:val="bottom"/>
          </w:tcPr>
          <w:p>
            <w:pPr>
              <w:ind w:left="40"/>
              <w:spacing w:after="0"/>
              <w:rPr>
                <w:sz w:val="20"/>
                <w:szCs w:val="20"/>
                <w:color w:val="auto"/>
              </w:rPr>
            </w:pPr>
            <w:r>
              <w:rPr>
                <w:rFonts w:ascii="Arial" w:cs="Arial" w:eastAsia="Arial" w:hAnsi="Arial"/>
                <w:sz w:val="15"/>
                <w:szCs w:val="15"/>
                <w:color w:val="auto"/>
              </w:rPr>
              <w:t>Remeasurement of marketable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3,620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3,620</w:t>
            </w:r>
          </w:p>
        </w:tc>
        <w:tc>
          <w:tcPr>
            <w:tcW w:w="100" w:type="dxa"/>
            <w:vAlign w:val="bottom"/>
          </w:tcPr>
          <w:p>
            <w:pPr>
              <w:spacing w:after="0"/>
              <w:rPr>
                <w:sz w:val="23"/>
                <w:szCs w:val="23"/>
                <w:color w:val="auto"/>
              </w:rPr>
            </w:pPr>
          </w:p>
        </w:tc>
        <w:tc>
          <w:tcPr>
            <w:tcW w:w="1120" w:type="dxa"/>
            <w:vAlign w:val="bottom"/>
            <w:gridSpan w:val="2"/>
          </w:tcPr>
          <w:p>
            <w:pPr>
              <w:ind w:left="520"/>
              <w:spacing w:after="0"/>
              <w:rPr>
                <w:sz w:val="20"/>
                <w:szCs w:val="20"/>
                <w:color w:val="auto"/>
              </w:rPr>
            </w:pPr>
            <w:r>
              <w:rPr>
                <w:rFonts w:ascii="Arial" w:cs="Arial" w:eastAsia="Arial" w:hAnsi="Arial"/>
                <w:sz w:val="15"/>
                <w:szCs w:val="15"/>
                <w:color w:val="auto"/>
              </w:rPr>
              <w:t>— %</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3,887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3,887</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74"/>
        </w:trPr>
        <w:tc>
          <w:tcPr>
            <w:tcW w:w="3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2,849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155.9 %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7,364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165.7 %</w:t>
            </w:r>
          </w:p>
        </w:tc>
      </w:tr>
      <w:tr>
        <w:trPr>
          <w:trHeight w:val="266"/>
        </w:trPr>
        <w:tc>
          <w:tcPr>
            <w:tcW w:w="3420" w:type="dxa"/>
            <w:vAlign w:val="bottom"/>
          </w:tcPr>
          <w:p>
            <w:pPr>
              <w:ind w:left="40"/>
              <w:spacing w:after="0"/>
              <w:rPr>
                <w:sz w:val="20"/>
                <w:szCs w:val="20"/>
                <w:color w:val="auto"/>
              </w:rPr>
            </w:pPr>
            <w:r>
              <w:rPr>
                <w:rFonts w:ascii="Arial" w:cs="Arial" w:eastAsia="Arial" w:hAnsi="Arial"/>
                <w:sz w:val="15"/>
                <w:szCs w:val="15"/>
                <w:color w:val="auto"/>
              </w:rPr>
              <w:t>Income / (loss) from nonconsolidated affiliates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393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401</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5,012.5 %</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737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804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1,200.0 %</w:t>
            </w:r>
          </w:p>
        </w:tc>
      </w:tr>
      <w:tr>
        <w:trPr>
          <w:trHeight w:val="274"/>
        </w:trPr>
        <w:tc>
          <w:tcPr>
            <w:tcW w:w="3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Current 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r>
      <w:tr>
        <w:trPr>
          <w:trHeight w:val="266"/>
        </w:trPr>
        <w:tc>
          <w:tcPr>
            <w:tcW w:w="3420" w:type="dxa"/>
            <w:vAlign w:val="bottom"/>
          </w:tcPr>
          <w:p>
            <w:pPr>
              <w:ind w:left="40"/>
              <w:spacing w:after="0"/>
              <w:rPr>
                <w:sz w:val="20"/>
                <w:szCs w:val="20"/>
                <w:color w:val="auto"/>
              </w:rPr>
            </w:pPr>
            <w:r>
              <w:rPr>
                <w:rFonts w:ascii="Arial" w:cs="Arial" w:eastAsia="Arial" w:hAnsi="Arial"/>
                <w:sz w:val="15"/>
                <w:szCs w:val="15"/>
                <w:color w:val="auto"/>
              </w:rPr>
              <w:t>Deferred tax benefit /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(185.7)%</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313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33.2 %</w:t>
            </w:r>
          </w:p>
        </w:tc>
      </w:tr>
      <w:tr>
        <w:trPr>
          <w:trHeight w:val="274"/>
        </w:trPr>
        <w:tc>
          <w:tcPr>
            <w:tcW w:w="3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return to preferred OP units /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615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55.8 %</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39.3 %</w:t>
            </w:r>
          </w:p>
        </w:tc>
      </w:tr>
      <w:tr>
        <w:trPr>
          <w:trHeight w:val="266"/>
        </w:trPr>
        <w:tc>
          <w:tcPr>
            <w:tcW w:w="3420" w:type="dxa"/>
            <w:vAlign w:val="bottom"/>
          </w:tcPr>
          <w:p>
            <w:pPr>
              <w:ind w:left="40"/>
              <w:spacing w:after="0"/>
              <w:rPr>
                <w:sz w:val="20"/>
                <w:szCs w:val="20"/>
                <w:color w:val="auto"/>
              </w:rPr>
            </w:pPr>
            <w:r>
              <w:rPr>
                <w:rFonts w:ascii="Arial" w:cs="Arial" w:eastAsia="Arial" w:hAnsi="Arial"/>
                <w:sz w:val="15"/>
                <w:szCs w:val="15"/>
                <w:color w:val="auto"/>
              </w:rPr>
              <w:t>Amounts attributable to noncontrolling interests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2,585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2,227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3"/>
              <w:spacing w:after="0"/>
              <w:rPr>
                <w:sz w:val="20"/>
                <w:szCs w:val="20"/>
                <w:color w:val="auto"/>
              </w:rPr>
            </w:pPr>
            <w:r>
              <w:rPr>
                <w:rFonts w:ascii="Arial" w:cs="Arial" w:eastAsia="Arial" w:hAnsi="Arial"/>
                <w:sz w:val="15"/>
                <w:szCs w:val="15"/>
                <w:color w:val="auto"/>
              </w:rPr>
              <w:t>358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16.1 %</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3,626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4,321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(695)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(16.1)%</w:t>
            </w:r>
          </w:p>
        </w:tc>
      </w:tr>
      <w:tr>
        <w:trPr>
          <w:trHeight w:val="274"/>
        </w:trPr>
        <w:tc>
          <w:tcPr>
            <w:tcW w:w="34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stock distribution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r>
    </w:tbl>
    <w:p>
      <w:pPr>
        <w:spacing w:after="0" w:line="173"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interest expense and interest on mandatorily redeemable preferred OP units / equity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Ancillary revenues, net - </w:t>
      </w:r>
      <w:r>
        <w:rPr>
          <w:rFonts w:ascii="Arial" w:cs="Arial" w:eastAsia="Arial" w:hAnsi="Arial"/>
          <w:sz w:val="18"/>
          <w:szCs w:val="18"/>
          <w:color w:val="auto"/>
        </w:rPr>
        <w:t>for the three and six months ended June 30, 2019, increased primarily due to RV vacation home rental income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acquisitions as compared to the same period in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 </w:t>
      </w:r>
      <w:r>
        <w:rPr>
          <w:rFonts w:ascii="Arial" w:cs="Arial" w:eastAsia="Arial" w:hAnsi="Arial"/>
          <w:sz w:val="18"/>
          <w:szCs w:val="18"/>
          <w:color w:val="auto"/>
        </w:rPr>
        <w:t>for the three and six months ended June 30, 2019, decreased primarily due to a decrease in our interest bearing receivables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2018. Refer to Note 4, “Collateralized Receivables and Transfers of Financial Assets,” and Note 5, “Notes and Other Receivables” of our accompanying Consolidated Financial Statements for additional information.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Brokerage commissions and other revenues, net - </w:t>
      </w:r>
      <w:r>
        <w:rPr>
          <w:rFonts w:ascii="Arial" w:cs="Arial" w:eastAsia="Arial" w:hAnsi="Arial"/>
          <w:sz w:val="17"/>
          <w:szCs w:val="17"/>
          <w:color w:val="auto"/>
        </w:rPr>
        <w:t>for the three months ended June 30, 2019, increased primarily due to a $0.8 million increase in brokerage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and a decrease in loan loss reserve estimates, as compared to the same period in 2018. For the six months ended June 30, 2019, increased primarily due to a $1.6 million increase in brokerage commissions, a $1.0 million decrease in loan loss reserve estimates and a $0.9 million increase in dividend income from our investment in marketable securities, as compared to the same period in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Home selling expenses - </w:t>
      </w:r>
      <w:r>
        <w:rPr>
          <w:rFonts w:ascii="Arial" w:cs="Arial" w:eastAsia="Arial" w:hAnsi="Arial"/>
          <w:sz w:val="18"/>
          <w:szCs w:val="18"/>
          <w:color w:val="auto"/>
        </w:rPr>
        <w:t>decreased primarily due to a 1.7 percent decrease and 3.1 percent decrease in total homes sold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respectively, compared to the same periods in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and six months ended June 30, 2019, increased primarily due to an increase in wages and incentives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Catastrophic weather related charges, net - </w:t>
      </w:r>
      <w:r>
        <w:rPr>
          <w:rFonts w:ascii="Arial" w:cs="Arial" w:eastAsia="Arial" w:hAnsi="Arial"/>
          <w:sz w:val="18"/>
          <w:szCs w:val="18"/>
          <w:color w:val="auto"/>
        </w:rPr>
        <w:t>for the six months ended June 30, 2019, the catastrophic weather related charges, net was favorable due to $2.2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adjustment of insurance recovery estimates, related to our Florida Keys communities in 2018 compared to estimated damage losses for recent weather events of $1.0 million in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i w:val="1"/>
          <w:iCs w:val="1"/>
          <w:color w:val="auto"/>
        </w:rPr>
        <w:t xml:space="preserve">Depreciation and amortization - </w:t>
      </w:r>
      <w:r>
        <w:rPr>
          <w:rFonts w:ascii="Arial" w:cs="Arial" w:eastAsia="Arial" w:hAnsi="Arial"/>
          <w:sz w:val="18"/>
          <w:szCs w:val="18"/>
          <w:color w:val="auto"/>
        </w:rPr>
        <w:t>for the three and six months ended June 30, 2019, increased as a result of our recent property acquisitions and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and development activities. Refer to Note 3, “Real Estate Acquisitions” of our accompanying Consolidated Financial Statements for additional information.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Loss on extinguishment of debt - </w:t>
      </w:r>
      <w:r>
        <w:rPr>
          <w:rFonts w:ascii="Arial" w:cs="Arial" w:eastAsia="Arial" w:hAnsi="Arial"/>
          <w:sz w:val="18"/>
          <w:szCs w:val="18"/>
          <w:color w:val="auto"/>
        </w:rPr>
        <w:t>for the three and six months ended June 30, 2019, decreased primarily due to lower prepayment penalties related to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activity as compared to 2018. Refer to Note 9, “Debt and Lines of Credit” of our accompanying Consolidated Financial Statements for additional information.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Interest expense - </w:t>
      </w:r>
      <w:r>
        <w:rPr>
          <w:rFonts w:ascii="Arial" w:cs="Arial" w:eastAsia="Arial" w:hAnsi="Arial"/>
          <w:sz w:val="16"/>
          <w:szCs w:val="16"/>
          <w:color w:val="auto"/>
        </w:rPr>
        <w:t>for the three and six months ended June 30, 2019, increased primarily due to a net increase in mortgage interest expense as a result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recent acquisitions and an increase in interest expense on our line of credit due a higher average balance for the quarter and year ended June 30, 2019 as compared to 2018. Refer to Note 9, “Debt and Lines of Credit,” in our accompanying Consolidated Financial Statements for additional information.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Remeasurement of marketable securities - </w:t>
      </w:r>
      <w:r>
        <w:rPr>
          <w:rFonts w:ascii="Arial" w:cs="Arial" w:eastAsia="Arial" w:hAnsi="Arial"/>
          <w:sz w:val="18"/>
          <w:szCs w:val="18"/>
          <w:color w:val="auto"/>
        </w:rPr>
        <w:t>for the three and six months ended June 30, 2019, was $3.6 million and $3.8 million remeasurement loss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marketable securities. Refer to Note 15, “Fair Value of Financial Instruments,” in our accompanying Consolidated Financial Statements for additional information.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 (expense), net - </w:t>
      </w:r>
      <w:r>
        <w:rPr>
          <w:rFonts w:ascii="Arial" w:cs="Arial" w:eastAsia="Arial" w:hAnsi="Arial"/>
          <w:sz w:val="18"/>
          <w:szCs w:val="18"/>
          <w:color w:val="auto"/>
        </w:rPr>
        <w:t>for the three months ended June 30, 2019, was primarily due to a foreign currency translation gain of $1.1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foreign currency translation loss of $1.7 million during the same period in 2018. In the six months ended June 30, 2019, other income / (expense) was primarily due to a foreign currency translation gain of $3.1 million as compared to a foreign currency translation loss of $4.2 million during the same period in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 (loss) from nonconsolidated affiliates - </w:t>
      </w:r>
      <w:r>
        <w:rPr>
          <w:rFonts w:ascii="Arial" w:cs="Arial" w:eastAsia="Arial" w:hAnsi="Arial"/>
          <w:sz w:val="18"/>
          <w:szCs w:val="18"/>
          <w:color w:val="auto"/>
        </w:rPr>
        <w:t>for the three and six months ended June 30, 2019, was $0.4 million and $0.7 million income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from our investment in GTSC, partially offset by losses at RezPlot. Refer to Note 7, “Investment in Affiliates,” of our accompanying Consolidated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Current tax expense - </w:t>
      </w:r>
      <w:r>
        <w:rPr>
          <w:rFonts w:ascii="Arial" w:cs="Arial" w:eastAsia="Arial" w:hAnsi="Arial"/>
          <w:sz w:val="18"/>
          <w:szCs w:val="18"/>
          <w:color w:val="auto"/>
        </w:rPr>
        <w:t>Refer to Note 13, “Income Taxes,” of our accompanying Consolidated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Deferred tax benefit / (expense) - </w:t>
      </w:r>
      <w:r>
        <w:rPr>
          <w:rFonts w:ascii="Arial" w:cs="Arial" w:eastAsia="Arial" w:hAnsi="Arial"/>
          <w:sz w:val="17"/>
          <w:szCs w:val="17"/>
          <w:color w:val="auto"/>
        </w:rPr>
        <w:t>Refer to Note 13, “Income Taxes,” of our accompanying Consolidated Financial Statements for additional information.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net income to FFO data for diluted purposes for the three and six months ended June 30, 2019 and 2018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2018</w:t>
            </w:r>
          </w:p>
        </w:tc>
        <w:tc>
          <w:tcPr>
            <w:tcW w:w="14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22"/>
                <w:szCs w:val="22"/>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w w:val="92"/>
              </w:rPr>
              <w:t>June 30, 2018</w:t>
            </w:r>
          </w:p>
        </w:tc>
        <w:tc>
          <w:tcPr>
            <w:tcW w:w="0" w:type="dxa"/>
            <w:vAlign w:val="bottom"/>
          </w:tcPr>
          <w:p>
            <w:pPr>
              <w:spacing w:after="0"/>
              <w:rPr>
                <w:sz w:val="1"/>
                <w:szCs w:val="1"/>
                <w:color w:val="auto"/>
              </w:rPr>
            </w:pPr>
          </w:p>
        </w:tc>
      </w:tr>
      <w:tr>
        <w:trPr>
          <w:trHeight w:val="254"/>
        </w:trPr>
        <w:tc>
          <w:tcPr>
            <w:tcW w:w="5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40,385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20,408</w:t>
            </w: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74,716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50,394</w:t>
            </w:r>
          </w:p>
        </w:tc>
        <w:tc>
          <w:tcPr>
            <w:tcW w:w="0" w:type="dxa"/>
            <w:vAlign w:val="bottom"/>
          </w:tcPr>
          <w:p>
            <w:pPr>
              <w:spacing w:after="0"/>
              <w:rPr>
                <w:sz w:val="1"/>
                <w:szCs w:val="1"/>
                <w:color w:val="auto"/>
              </w:rPr>
            </w:pPr>
          </w:p>
        </w:tc>
      </w:tr>
      <w:tr>
        <w:trPr>
          <w:trHeight w:val="270"/>
        </w:trPr>
        <w:tc>
          <w:tcPr>
            <w:tcW w:w="594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shd w:val="clear" w:color="auto" w:fill="CCEEFF"/>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76,294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67,977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153,006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134,623</w:t>
            </w:r>
          </w:p>
        </w:tc>
        <w:tc>
          <w:tcPr>
            <w:tcW w:w="0" w:type="dxa"/>
            <w:vAlign w:val="bottom"/>
          </w:tcPr>
          <w:p>
            <w:pPr>
              <w:spacing w:after="0"/>
              <w:rPr>
                <w:sz w:val="1"/>
                <w:szCs w:val="1"/>
                <w:color w:val="auto"/>
              </w:rPr>
            </w:pPr>
          </w:p>
        </w:tc>
      </w:tr>
      <w:tr>
        <w:trPr>
          <w:trHeight w:val="266"/>
        </w:trPr>
        <w:tc>
          <w:tcPr>
            <w:tcW w:w="5940" w:type="dxa"/>
            <w:vAlign w:val="bottom"/>
          </w:tcPr>
          <w:p>
            <w:pPr>
              <w:ind w:left="520"/>
              <w:spacing w:after="0"/>
              <w:rPr>
                <w:sz w:val="20"/>
                <w:szCs w:val="20"/>
                <w:color w:val="auto"/>
              </w:rPr>
            </w:pPr>
            <w:r>
              <w:rPr>
                <w:rFonts w:ascii="Arial" w:cs="Arial" w:eastAsia="Arial" w:hAnsi="Arial"/>
                <w:sz w:val="15"/>
                <w:szCs w:val="15"/>
                <w:color w:val="auto"/>
              </w:rPr>
              <w:t>Remeasurement of marketable securities</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(3,887)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5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Amounts attributable to noncontrolling interests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2,089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2,881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3,978</w:t>
            </w:r>
          </w:p>
        </w:tc>
        <w:tc>
          <w:tcPr>
            <w:tcW w:w="0" w:type="dxa"/>
            <w:vAlign w:val="bottom"/>
          </w:tcPr>
          <w:p>
            <w:pPr>
              <w:spacing w:after="0"/>
              <w:rPr>
                <w:sz w:val="1"/>
                <w:szCs w:val="1"/>
                <w:color w:val="auto"/>
              </w:rPr>
            </w:pPr>
          </w:p>
        </w:tc>
      </w:tr>
      <w:tr>
        <w:trPr>
          <w:trHeight w:val="266"/>
        </w:trPr>
        <w:tc>
          <w:tcPr>
            <w:tcW w:w="5940" w:type="dxa"/>
            <w:vAlign w:val="bottom"/>
          </w:tcPr>
          <w:p>
            <w:pPr>
              <w:ind w:left="520"/>
              <w:spacing w:after="0"/>
              <w:rPr>
                <w:sz w:val="20"/>
                <w:szCs w:val="20"/>
                <w:color w:val="auto"/>
              </w:rPr>
            </w:pPr>
            <w:r>
              <w:rPr>
                <w:rFonts w:ascii="Arial" w:cs="Arial" w:eastAsia="Arial" w:hAnsi="Arial"/>
                <w:sz w:val="15"/>
                <w:szCs w:val="15"/>
                <w:color w:val="auto"/>
              </w:rPr>
              <w:t>Preferred return to preferred OP units</w:t>
            </w: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552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1,064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1,105</w:t>
            </w:r>
          </w:p>
        </w:tc>
        <w:tc>
          <w:tcPr>
            <w:tcW w:w="0" w:type="dxa"/>
            <w:vAlign w:val="bottom"/>
          </w:tcPr>
          <w:p>
            <w:pPr>
              <w:spacing w:after="0"/>
              <w:rPr>
                <w:sz w:val="1"/>
                <w:szCs w:val="1"/>
                <w:color w:val="auto"/>
              </w:rPr>
            </w:pPr>
          </w:p>
        </w:tc>
      </w:tr>
      <w:tr>
        <w:trPr>
          <w:trHeight w:val="274"/>
        </w:trPr>
        <w:tc>
          <w:tcPr>
            <w:tcW w:w="5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Preferred distribution to Series A-4 preferred stock</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432</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873</w:t>
            </w:r>
          </w:p>
        </w:tc>
        <w:tc>
          <w:tcPr>
            <w:tcW w:w="0" w:type="dxa"/>
            <w:vAlign w:val="bottom"/>
          </w:tcPr>
          <w:p>
            <w:pPr>
              <w:spacing w:after="0"/>
              <w:rPr>
                <w:sz w:val="1"/>
                <w:szCs w:val="1"/>
                <w:color w:val="auto"/>
              </w:rPr>
            </w:pPr>
          </w:p>
        </w:tc>
      </w:tr>
      <w:tr>
        <w:trPr>
          <w:trHeight w:val="266"/>
        </w:trPr>
        <w:tc>
          <w:tcPr>
            <w:tcW w:w="594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Gain on disposition of assets, net</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(8,070)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(5,835)</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(13,749)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(10,374)</w:t>
            </w:r>
          </w:p>
        </w:tc>
        <w:tc>
          <w:tcPr>
            <w:tcW w:w="0" w:type="dxa"/>
            <w:vAlign w:val="bottom"/>
          </w:tcPr>
          <w:p>
            <w:pPr>
              <w:spacing w:after="0"/>
              <w:rPr>
                <w:sz w:val="1"/>
                <w:szCs w:val="1"/>
                <w:color w:val="auto"/>
              </w:rPr>
            </w:pPr>
          </w:p>
        </w:tc>
      </w:tr>
      <w:tr>
        <w:trPr>
          <w:trHeight w:val="154"/>
        </w:trPr>
        <w:tc>
          <w:tcPr>
            <w:tcW w:w="5940" w:type="dxa"/>
            <w:vAlign w:val="bottom"/>
            <w:shd w:val="clear" w:color="auto" w:fill="CCEEFF"/>
          </w:tcPr>
          <w:p>
            <w:pPr>
              <w:ind w:left="40"/>
              <w:spacing w:after="0" w:line="154" w:lineRule="exact"/>
              <w:rPr>
                <w:sz w:val="20"/>
                <w:szCs w:val="20"/>
                <w:color w:val="auto"/>
              </w:rPr>
            </w:pPr>
            <w:r>
              <w:rPr>
                <w:rFonts w:ascii="Arial" w:cs="Arial" w:eastAsia="Arial" w:hAnsi="Arial"/>
                <w:sz w:val="15"/>
                <w:szCs w:val="15"/>
                <w:b w:val="1"/>
                <w:bCs w:val="1"/>
                <w:color w:val="auto"/>
                <w:w w:val="92"/>
              </w:rPr>
              <w:t>FFO attributable to Sun Communities, Inc. common stockholders and dilutive convertible</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 xml:space="preserve">securities </w:t>
            </w:r>
            <w:r>
              <w:rPr>
                <w:rFonts w:ascii="Arial" w:cs="Arial" w:eastAsia="Arial" w:hAnsi="Arial"/>
                <w:sz w:val="25"/>
                <w:szCs w:val="25"/>
                <w:b w:val="1"/>
                <w:bCs w:val="1"/>
                <w:color w:val="auto"/>
                <w:vertAlign w:val="superscript"/>
              </w:rPr>
              <w:t>(1)</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108,112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85,623</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214,891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180,599</w:t>
            </w:r>
          </w:p>
        </w:tc>
        <w:tc>
          <w:tcPr>
            <w:tcW w:w="0" w:type="dxa"/>
            <w:vAlign w:val="bottom"/>
          </w:tcPr>
          <w:p>
            <w:pPr>
              <w:spacing w:after="0"/>
              <w:rPr>
                <w:sz w:val="1"/>
                <w:szCs w:val="1"/>
                <w:color w:val="auto"/>
              </w:rPr>
            </w:pPr>
          </w:p>
        </w:tc>
      </w:tr>
      <w:tr>
        <w:trPr>
          <w:trHeight w:val="266"/>
        </w:trPr>
        <w:tc>
          <w:tcPr>
            <w:tcW w:w="594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40" w:type="dxa"/>
            <w:vAlign w:val="bottom"/>
            <w:shd w:val="clear" w:color="auto" w:fill="CCEEFF"/>
          </w:tcPr>
          <w:p>
            <w:pPr>
              <w:ind w:left="520"/>
              <w:spacing w:after="0" w:line="274" w:lineRule="exact"/>
              <w:rPr>
                <w:sz w:val="20"/>
                <w:szCs w:val="20"/>
                <w:color w:val="auto"/>
              </w:rPr>
            </w:pPr>
            <w:r>
              <w:rPr>
                <w:rFonts w:ascii="Arial" w:cs="Arial" w:eastAsia="Arial" w:hAnsi="Arial"/>
                <w:sz w:val="15"/>
                <w:szCs w:val="15"/>
                <w:color w:val="auto"/>
              </w:rPr>
              <w:t xml:space="preserve">Other acquisition related costs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301</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266"/>
        </w:trPr>
        <w:tc>
          <w:tcPr>
            <w:tcW w:w="5940" w:type="dxa"/>
            <w:vAlign w:val="bottom"/>
          </w:tcPr>
          <w:p>
            <w:pPr>
              <w:ind w:left="52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1,522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723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74"/>
        </w:trPr>
        <w:tc>
          <w:tcPr>
            <w:tcW w:w="5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Debt premium write-off</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w:t>
            </w:r>
          </w:p>
        </w:tc>
        <w:tc>
          <w:tcPr>
            <w:tcW w:w="0" w:type="dxa"/>
            <w:vAlign w:val="bottom"/>
          </w:tcPr>
          <w:p>
            <w:pPr>
              <w:spacing w:after="0"/>
              <w:rPr>
                <w:sz w:val="1"/>
                <w:szCs w:val="1"/>
                <w:color w:val="auto"/>
              </w:rPr>
            </w:pPr>
          </w:p>
        </w:tc>
      </w:tr>
      <w:tr>
        <w:trPr>
          <w:trHeight w:val="266"/>
        </w:trPr>
        <w:tc>
          <w:tcPr>
            <w:tcW w:w="5940" w:type="dxa"/>
            <w:vAlign w:val="bottom"/>
          </w:tcPr>
          <w:p>
            <w:pPr>
              <w:ind w:left="520"/>
              <w:spacing w:after="0"/>
              <w:rPr>
                <w:sz w:val="20"/>
                <w:szCs w:val="20"/>
                <w:color w:val="auto"/>
              </w:rPr>
            </w:pPr>
            <w:r>
              <w:rPr>
                <w:rFonts w:ascii="Arial" w:cs="Arial" w:eastAsia="Arial" w:hAnsi="Arial"/>
                <w:sz w:val="15"/>
                <w:szCs w:val="15"/>
                <w:color w:val="auto"/>
              </w:rPr>
              <w:t>Catastrophic weather related charges, net</w:t>
            </w: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976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(2,160)</w:t>
            </w:r>
          </w:p>
        </w:tc>
        <w:tc>
          <w:tcPr>
            <w:tcW w:w="0" w:type="dxa"/>
            <w:vAlign w:val="bottom"/>
          </w:tcPr>
          <w:p>
            <w:pPr>
              <w:spacing w:after="0"/>
              <w:rPr>
                <w:sz w:val="1"/>
                <w:szCs w:val="1"/>
                <w:color w:val="auto"/>
              </w:rPr>
            </w:pPr>
          </w:p>
        </w:tc>
      </w:tr>
      <w:tr>
        <w:trPr>
          <w:trHeight w:val="274"/>
        </w:trPr>
        <w:tc>
          <w:tcPr>
            <w:tcW w:w="5940" w:type="dxa"/>
            <w:vAlign w:val="bottom"/>
            <w:shd w:val="clear" w:color="auto" w:fill="CCEEFF"/>
          </w:tcPr>
          <w:p>
            <w:pPr>
              <w:ind w:left="520"/>
              <w:spacing w:after="0" w:line="274" w:lineRule="exact"/>
              <w:rPr>
                <w:sz w:val="20"/>
                <w:szCs w:val="20"/>
                <w:color w:val="auto"/>
              </w:rPr>
            </w:pPr>
            <w:r>
              <w:rPr>
                <w:rFonts w:ascii="Arial" w:cs="Arial" w:eastAsia="Arial" w:hAnsi="Arial"/>
                <w:sz w:val="15"/>
                <w:szCs w:val="15"/>
                <w:color w:val="auto"/>
              </w:rPr>
              <w:t xml:space="preserve">Loss of earnings - catastrophic weather related </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325</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650</w:t>
            </w:r>
          </w:p>
        </w:tc>
        <w:tc>
          <w:tcPr>
            <w:tcW w:w="0" w:type="dxa"/>
            <w:vAlign w:val="bottom"/>
          </w:tcPr>
          <w:p>
            <w:pPr>
              <w:spacing w:after="0"/>
              <w:rPr>
                <w:sz w:val="1"/>
                <w:szCs w:val="1"/>
                <w:color w:val="auto"/>
              </w:rPr>
            </w:pPr>
          </w:p>
        </w:tc>
      </w:tr>
      <w:tr>
        <w:trPr>
          <w:trHeight w:val="266"/>
        </w:trPr>
        <w:tc>
          <w:tcPr>
            <w:tcW w:w="5940" w:type="dxa"/>
            <w:vAlign w:val="bottom"/>
          </w:tcPr>
          <w:p>
            <w:pPr>
              <w:ind w:left="520"/>
              <w:spacing w:after="0"/>
              <w:rPr>
                <w:sz w:val="20"/>
                <w:szCs w:val="20"/>
                <w:color w:val="auto"/>
              </w:rPr>
            </w:pPr>
            <w:r>
              <w:rPr>
                <w:rFonts w:ascii="Arial" w:cs="Arial" w:eastAsia="Arial" w:hAnsi="Arial"/>
                <w:sz w:val="15"/>
                <w:szCs w:val="15"/>
                <w:color w:val="auto"/>
              </w:rPr>
              <w:t>Other (income) / expense, net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1,828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4,445</w:t>
            </w:r>
          </w:p>
        </w:tc>
        <w:tc>
          <w:tcPr>
            <w:tcW w:w="0" w:type="dxa"/>
            <w:vAlign w:val="bottom"/>
          </w:tcPr>
          <w:p>
            <w:pPr>
              <w:spacing w:after="0"/>
              <w:rPr>
                <w:sz w:val="1"/>
                <w:szCs w:val="1"/>
                <w:color w:val="auto"/>
              </w:rPr>
            </w:pPr>
          </w:p>
        </w:tc>
      </w:tr>
      <w:tr>
        <w:trPr>
          <w:trHeight w:val="274"/>
        </w:trPr>
        <w:tc>
          <w:tcPr>
            <w:tcW w:w="59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Ground lease intangible write-off</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817</w:t>
            </w:r>
          </w:p>
        </w:tc>
        <w:tc>
          <w:tcPr>
            <w:tcW w:w="0" w:type="dxa"/>
            <w:vAlign w:val="bottom"/>
          </w:tcPr>
          <w:p>
            <w:pPr>
              <w:spacing w:after="0"/>
              <w:rPr>
                <w:sz w:val="1"/>
                <w:szCs w:val="1"/>
                <w:color w:val="auto"/>
              </w:rPr>
            </w:pPr>
          </w:p>
        </w:tc>
      </w:tr>
      <w:tr>
        <w:trPr>
          <w:trHeight w:val="266"/>
        </w:trPr>
        <w:tc>
          <w:tcPr>
            <w:tcW w:w="594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Deferred tax benefit</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112</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54"/>
        </w:trPr>
        <w:tc>
          <w:tcPr>
            <w:tcW w:w="5940" w:type="dxa"/>
            <w:vAlign w:val="bottom"/>
            <w:shd w:val="clear" w:color="auto" w:fill="CCEEFF"/>
          </w:tcPr>
          <w:p>
            <w:pPr>
              <w:ind w:left="40"/>
              <w:spacing w:after="0" w:line="154" w:lineRule="exact"/>
              <w:rPr>
                <w:sz w:val="20"/>
                <w:szCs w:val="20"/>
                <w:color w:val="auto"/>
              </w:rPr>
            </w:pPr>
            <w:r>
              <w:rPr>
                <w:rFonts w:ascii="Arial" w:cs="Arial" w:eastAsia="Arial" w:hAnsi="Arial"/>
                <w:sz w:val="15"/>
                <w:szCs w:val="15"/>
                <w:b w:val="1"/>
                <w:bCs w:val="1"/>
                <w:color w:val="auto"/>
                <w:w w:val="99"/>
              </w:rPr>
              <w:t>Core FFO attributable to Sun Communities, Inc. common stockholders and dilutive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108,002</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90,372</w:t>
            </w:r>
          </w:p>
        </w:tc>
        <w:tc>
          <w:tcPr>
            <w:tcW w:w="2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214,261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185,279</w:t>
            </w:r>
          </w:p>
        </w:tc>
        <w:tc>
          <w:tcPr>
            <w:tcW w:w="0" w:type="dxa"/>
            <w:vAlign w:val="bottom"/>
          </w:tcPr>
          <w:p>
            <w:pPr>
              <w:spacing w:after="0"/>
              <w:rPr>
                <w:sz w:val="1"/>
                <w:szCs w:val="1"/>
                <w:color w:val="auto"/>
              </w:rPr>
            </w:pPr>
          </w:p>
        </w:tc>
      </w:tr>
      <w:tr>
        <w:trPr>
          <w:trHeight w:val="120"/>
        </w:trPr>
        <w:tc>
          <w:tcPr>
            <w:tcW w:w="5940" w:type="dxa"/>
            <w:vAlign w:val="bottom"/>
            <w:vMerge w:val="restart"/>
            <w:shd w:val="clear" w:color="auto" w:fill="CCEEFF"/>
          </w:tcPr>
          <w:p>
            <w:pPr>
              <w:ind w:left="40"/>
              <w:spacing w:after="0" w:line="195" w:lineRule="exact"/>
              <w:rPr>
                <w:sz w:val="20"/>
                <w:szCs w:val="20"/>
                <w:color w:val="auto"/>
              </w:rPr>
            </w:pPr>
            <w:r>
              <w:rPr>
                <w:rFonts w:ascii="Arial" w:cs="Arial" w:eastAsia="Arial" w:hAnsi="Arial"/>
                <w:sz w:val="14"/>
                <w:szCs w:val="14"/>
                <w:b w:val="1"/>
                <w:bCs w:val="1"/>
                <w:color w:val="auto"/>
              </w:rPr>
              <w:t>convertible</w:t>
            </w:r>
            <w:r>
              <w:rPr>
                <w:rFonts w:ascii="Arial" w:cs="Arial" w:eastAsia="Arial" w:hAnsi="Arial"/>
                <w:sz w:val="22"/>
                <w:szCs w:val="22"/>
                <w:b w:val="1"/>
                <w:bCs w:val="1"/>
                <w:color w:val="auto"/>
                <w:vertAlign w:val="superscript"/>
              </w:rPr>
              <w:t>(1)</w:t>
            </w:r>
          </w:p>
        </w:tc>
        <w:tc>
          <w:tcPr>
            <w:tcW w:w="140" w:type="dxa"/>
            <w:vAlign w:val="bottom"/>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594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Weighted average common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87,130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79,612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86,325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79,233</w:t>
            </w:r>
          </w:p>
        </w:tc>
        <w:tc>
          <w:tcPr>
            <w:tcW w:w="0" w:type="dxa"/>
            <w:vAlign w:val="bottom"/>
          </w:tcPr>
          <w:p>
            <w:pPr>
              <w:spacing w:after="0"/>
              <w:rPr>
                <w:sz w:val="1"/>
                <w:szCs w:val="1"/>
                <w:color w:val="auto"/>
              </w:rPr>
            </w:pPr>
          </w:p>
        </w:tc>
      </w:tr>
      <w:tr>
        <w:trPr>
          <w:trHeight w:val="266"/>
        </w:trPr>
        <w:tc>
          <w:tcPr>
            <w:tcW w:w="5940" w:type="dxa"/>
            <w:vAlign w:val="bottom"/>
          </w:tcPr>
          <w:p>
            <w:pPr>
              <w:ind w:left="40"/>
              <w:spacing w:after="0"/>
              <w:rPr>
                <w:sz w:val="20"/>
                <w:szCs w:val="20"/>
                <w:color w:val="auto"/>
              </w:rPr>
            </w:pPr>
            <w:r>
              <w:rPr>
                <w:rFonts w:ascii="Arial" w:cs="Arial" w:eastAsia="Arial" w:hAnsi="Arial"/>
                <w:sz w:val="15"/>
                <w:szCs w:val="15"/>
                <w:color w:val="auto"/>
              </w:rPr>
              <w:t>Add</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shd w:val="clear" w:color="auto" w:fill="CCEEFF"/>
              </w:rPr>
              <w:t>Common stock issuable upon conversion of stock options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66"/>
        </w:trPr>
        <w:tc>
          <w:tcPr>
            <w:tcW w:w="5940" w:type="dxa"/>
            <w:vAlign w:val="bottom"/>
          </w:tcPr>
          <w:p>
            <w:pPr>
              <w:ind w:left="600"/>
              <w:spacing w:after="0"/>
              <w:rPr>
                <w:sz w:val="20"/>
                <w:szCs w:val="20"/>
                <w:color w:val="auto"/>
              </w:rPr>
            </w:pPr>
            <w:r>
              <w:rPr>
                <w:rFonts w:ascii="Arial" w:cs="Arial" w:eastAsia="Arial" w:hAnsi="Arial"/>
                <w:sz w:val="15"/>
                <w:szCs w:val="15"/>
                <w:color w:val="auto"/>
              </w:rPr>
              <w:t>Restricted stock</w:t>
            </w: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433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502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254"/>
        </w:trPr>
        <w:tc>
          <w:tcPr>
            <w:tcW w:w="5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shd w:val="clear" w:color="auto" w:fill="CCEEFF"/>
              </w:rPr>
              <w:t>Common OP units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2,487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2,735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2,605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2,738</w:t>
            </w:r>
          </w:p>
        </w:tc>
        <w:tc>
          <w:tcPr>
            <w:tcW w:w="0" w:type="dxa"/>
            <w:vAlign w:val="bottom"/>
          </w:tcPr>
          <w:p>
            <w:pPr>
              <w:spacing w:after="0"/>
              <w:rPr>
                <w:sz w:val="1"/>
                <w:szCs w:val="1"/>
                <w:color w:val="auto"/>
              </w:rPr>
            </w:pPr>
          </w:p>
        </w:tc>
      </w:tr>
      <w:tr>
        <w:trPr>
          <w:trHeight w:val="266"/>
        </w:trPr>
        <w:tc>
          <w:tcPr>
            <w:tcW w:w="5940" w:type="dxa"/>
            <w:vAlign w:val="bottom"/>
          </w:tcPr>
          <w:p>
            <w:pPr>
              <w:ind w:left="600"/>
              <w:spacing w:after="0"/>
              <w:rPr>
                <w:sz w:val="20"/>
                <w:szCs w:val="20"/>
                <w:color w:val="auto"/>
              </w:rPr>
            </w:pPr>
            <w:r>
              <w:rPr>
                <w:rFonts w:ascii="Arial" w:cs="Arial" w:eastAsia="Arial" w:hAnsi="Arial"/>
                <w:sz w:val="15"/>
                <w:szCs w:val="15"/>
                <w:color w:val="auto"/>
              </w:rPr>
              <w:t>Common stock issuable upon conversion of Series A-4 preferred stock</w:t>
            </w: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467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472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472</w:t>
            </w:r>
          </w:p>
        </w:tc>
        <w:tc>
          <w:tcPr>
            <w:tcW w:w="0" w:type="dxa"/>
            <w:vAlign w:val="bottom"/>
          </w:tcPr>
          <w:p>
            <w:pPr>
              <w:spacing w:after="0"/>
              <w:rPr>
                <w:sz w:val="1"/>
                <w:szCs w:val="1"/>
                <w:color w:val="auto"/>
              </w:rPr>
            </w:pPr>
          </w:p>
        </w:tc>
      </w:tr>
      <w:tr>
        <w:trPr>
          <w:trHeight w:val="254"/>
        </w:trPr>
        <w:tc>
          <w:tcPr>
            <w:tcW w:w="5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shd w:val="clear" w:color="auto" w:fill="CCEEFF"/>
              </w:rPr>
              <w:t>Common stock issuable upon conversion of Series A-3 preferred OP units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66"/>
        </w:trPr>
        <w:tc>
          <w:tcPr>
            <w:tcW w:w="5940" w:type="dxa"/>
            <w:vAlign w:val="bottom"/>
            <w:tcBorders>
              <w:bottom w:val="single" w:sz="8" w:color="CCEEFF"/>
            </w:tcBorders>
          </w:tcPr>
          <w:p>
            <w:pPr>
              <w:ind w:left="600"/>
              <w:spacing w:after="0"/>
              <w:rPr>
                <w:sz w:val="20"/>
                <w:szCs w:val="20"/>
                <w:color w:val="auto"/>
              </w:rPr>
            </w:pPr>
            <w:r>
              <w:rPr>
                <w:rFonts w:ascii="Arial" w:cs="Arial" w:eastAsia="Arial" w:hAnsi="Arial"/>
                <w:sz w:val="15"/>
                <w:szCs w:val="15"/>
                <w:color w:val="auto"/>
              </w:rPr>
              <w:t>Common stock issuable upon conversion of Series A-1 preferred OP units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825</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831</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shd w:val="clear" w:color="auto" w:fill="CCEEFF"/>
              </w:rPr>
              <w:t>Weighted average common shares outstanding - fully diluted</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91,386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84,223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90,715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84,021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59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92"/>
              </w:rPr>
              <w:t>FFO attributable to Sun Communities, Inc. common stockholders and dilutive convertible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securities per share - fully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72"/>
        </w:trPr>
        <w:tc>
          <w:tcPr>
            <w:tcW w:w="5940" w:type="dxa"/>
            <w:vAlign w:val="bottom"/>
          </w:tcPr>
          <w:p>
            <w:pPr>
              <w:ind w:left="40"/>
              <w:spacing w:after="0"/>
              <w:rPr>
                <w:sz w:val="20"/>
                <w:szCs w:val="20"/>
                <w:color w:val="auto"/>
              </w:rPr>
            </w:pPr>
            <w:r>
              <w:rPr>
                <w:rFonts w:ascii="Arial" w:cs="Arial" w:eastAsia="Arial" w:hAnsi="Arial"/>
                <w:sz w:val="15"/>
                <w:szCs w:val="15"/>
                <w:b w:val="1"/>
                <w:bCs w:val="1"/>
                <w:color w:val="auto"/>
                <w:w w:val="99"/>
              </w:rPr>
              <w:t>Core FFO attributable to Sun Communities, Inc. common stockholders and dilutive</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40"/>
              <w:spacing w:after="0"/>
              <w:rPr>
                <w:sz w:val="20"/>
                <w:szCs w:val="20"/>
                <w:color w:val="auto"/>
              </w:rPr>
            </w:pPr>
            <w:r>
              <w:rPr>
                <w:rFonts w:ascii="Arial" w:cs="Arial" w:eastAsia="Arial" w:hAnsi="Arial"/>
                <w:sz w:val="15"/>
                <w:szCs w:val="15"/>
                <w:b w:val="1"/>
                <w:bCs w:val="1"/>
                <w:color w:val="auto"/>
              </w:rPr>
              <w:t>convertible securities per share - fully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1.07</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9"/>
          <w:szCs w:val="9"/>
          <w:color w:val="auto"/>
        </w:rPr>
      </w:pPr>
      <w:r>
        <w:rPr>
          <w:rFonts w:ascii="Arial" w:cs="Arial" w:eastAsia="Arial" w:hAnsi="Arial"/>
          <w:sz w:val="14"/>
          <w:szCs w:val="14"/>
          <w:color w:val="auto"/>
        </w:rPr>
        <w:t>The effect of certain anti-dilutive convertible securities is excluded from these items.</w:t>
      </w:r>
    </w:p>
    <w:p>
      <w:pPr>
        <w:spacing w:after="0" w:line="13" w:lineRule="exact"/>
        <w:rPr>
          <w:rFonts w:ascii="Arial" w:cs="Arial" w:eastAsia="Arial" w:hAnsi="Arial"/>
          <w:sz w:val="9"/>
          <w:szCs w:val="9"/>
          <w:color w:val="auto"/>
        </w:rPr>
      </w:pPr>
    </w:p>
    <w:p>
      <w:pPr>
        <w:ind w:left="340" w:hanging="332"/>
        <w:spacing w:after="0" w:line="241" w:lineRule="auto"/>
        <w:tabs>
          <w:tab w:leader="none" w:pos="340" w:val="left"/>
        </w:tabs>
        <w:numPr>
          <w:ilvl w:val="0"/>
          <w:numId w:val="27"/>
        </w:numPr>
        <w:rPr>
          <w:rFonts w:ascii="Arial" w:cs="Arial" w:eastAsia="Arial" w:hAnsi="Arial"/>
          <w:sz w:val="9"/>
          <w:szCs w:val="9"/>
          <w:color w:val="auto"/>
        </w:rPr>
      </w:pPr>
      <w:r>
        <w:rPr>
          <w:rFonts w:ascii="Arial" w:cs="Arial" w:eastAsia="Arial" w:hAnsi="Arial"/>
          <w:sz w:val="14"/>
          <w:szCs w:val="14"/>
          <w:color w:val="auto"/>
        </w:rPr>
        <w:t>These costs represent the expenses incurred to bring recently acquired properties up to our operating standards, including items such as tree trimming and painting costs that do not meet our capitalization policy.</w:t>
      </w:r>
    </w:p>
    <w:p>
      <w:pPr>
        <w:ind w:left="340" w:hanging="332"/>
        <w:spacing w:after="0" w:line="255" w:lineRule="auto"/>
        <w:tabs>
          <w:tab w:leader="none" w:pos="340" w:val="left"/>
        </w:tabs>
        <w:numPr>
          <w:ilvl w:val="0"/>
          <w:numId w:val="27"/>
        </w:numPr>
        <w:rPr>
          <w:rFonts w:ascii="Arial" w:cs="Arial" w:eastAsia="Arial" w:hAnsi="Arial"/>
          <w:sz w:val="9"/>
          <w:szCs w:val="9"/>
          <w:color w:val="auto"/>
        </w:rPr>
      </w:pPr>
      <w:r>
        <w:rPr>
          <w:rFonts w:ascii="Arial" w:cs="Arial" w:eastAsia="Arial" w:hAnsi="Arial"/>
          <w:sz w:val="14"/>
          <w:szCs w:val="14"/>
          <w:color w:val="auto"/>
        </w:rPr>
        <w:t>Adjustment represents estimated loss of earnings in excess of the applicable business interruption deductible in relation to our three Florida Keys communities that were impaired by Hurricane Irma which had not yet been received from our insurer.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market conditions, we intend to continue to identify opportunities to expand our development pipeline and acquire existing communities. We finance acquisitions through available cash, secured financing, draws on our lines of credit, the assumption of existing debt on properties, and the issuance of equity securities. We will continue to evaluate acquisition opportunities that meet our criteria. Refer to Note 3, “Real Estate Acquisitions” in our accompanying Consolidated Financial Statements for information regarding recent community acquisitions.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lines of credit, and the use of debt and equity offerings under our shelf registration statement. Refer to Note 9, “Debt and Lines of Credit” and Note 10, “Equity and Temporary Equity” in our accompanying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include expansion and development, lot modifications, recurring capital expenditures and rental home purchases.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2019 and 2018, expansion and development activities of $121.3 million and $61.3 million, respectively, related to costs consisting primarily of construction of sites and other costs necessary to complete home site improvements.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2019 and 2018, lot modification expenditures were $13.9 million and $9.5 million, respectively.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2019 and 2018, recurring capital expenditures of $11.1 million and $7.1 million, respectively, related to our continued commitment to the upkeep of our properties.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invest in the acquisition of homes intended for the Rental Program. Expenditures for these investments depend upon the condition of the markets for repossessions and new home sales, as well as rental homes. We finance certain of our new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903"/>
              <w:spacing w:after="0"/>
              <w:rPr>
                <w:sz w:val="20"/>
                <w:szCs w:val="20"/>
                <w:color w:val="auto"/>
              </w:rPr>
            </w:pPr>
            <w:r>
              <w:rPr>
                <w:rFonts w:ascii="Arial" w:cs="Arial" w:eastAsia="Arial" w:hAnsi="Arial"/>
                <w:sz w:val="15"/>
                <w:szCs w:val="15"/>
                <w:b w:val="1"/>
                <w:bCs w:val="1"/>
                <w:color w:val="auto"/>
              </w:rPr>
              <w:t>Six Months Ended</w:t>
            </w:r>
          </w:p>
        </w:tc>
      </w:tr>
      <w:tr>
        <w:trPr>
          <w:trHeight w:val="264"/>
        </w:trPr>
        <w:tc>
          <w:tcPr>
            <w:tcW w:w="8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2019</w:t>
            </w:r>
          </w:p>
        </w:tc>
        <w:tc>
          <w:tcPr>
            <w:tcW w:w="200" w:type="dxa"/>
            <w:vAlign w:val="bottom"/>
          </w:tcPr>
          <w:p>
            <w:pPr>
              <w:spacing w:after="0"/>
              <w:rPr>
                <w:sz w:val="22"/>
                <w:szCs w:val="22"/>
                <w:color w:val="auto"/>
              </w:rPr>
            </w:pPr>
          </w:p>
        </w:tc>
        <w:tc>
          <w:tcPr>
            <w:tcW w:w="1260" w:type="dxa"/>
            <w:vAlign w:val="bottom"/>
          </w:tcPr>
          <w:p>
            <w:pPr>
              <w:jc w:val="right"/>
              <w:ind w:right="203"/>
              <w:spacing w:after="0"/>
              <w:rPr>
                <w:sz w:val="20"/>
                <w:szCs w:val="20"/>
                <w:color w:val="auto"/>
              </w:rPr>
            </w:pPr>
            <w:r>
              <w:rPr>
                <w:rFonts w:ascii="Arial" w:cs="Arial" w:eastAsia="Arial" w:hAnsi="Arial"/>
                <w:sz w:val="15"/>
                <w:szCs w:val="15"/>
                <w:b w:val="1"/>
                <w:bCs w:val="1"/>
                <w:color w:val="auto"/>
                <w:w w:val="98"/>
              </w:rPr>
              <w:t>June 30, 2018</w:t>
            </w:r>
          </w:p>
        </w:tc>
      </w:tr>
      <w:tr>
        <w:trPr>
          <w:trHeight w:val="254"/>
        </w:trPr>
        <w:tc>
          <w:tcPr>
            <w:tcW w:w="8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259,844</w:t>
            </w: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198,682</w:t>
            </w:r>
          </w:p>
        </w:tc>
      </w:tr>
      <w:tr>
        <w:trPr>
          <w:trHeight w:val="266"/>
        </w:trPr>
        <w:tc>
          <w:tcPr>
            <w:tcW w:w="8240" w:type="dxa"/>
            <w:vAlign w:val="bottom"/>
          </w:tcPr>
          <w:p>
            <w:pPr>
              <w:ind w:left="40"/>
              <w:spacing w:after="0"/>
              <w:rPr>
                <w:sz w:val="20"/>
                <w:szCs w:val="20"/>
                <w:color w:val="auto"/>
              </w:rPr>
            </w:pPr>
            <w:r>
              <w:rPr>
                <w:rFonts w:ascii="Arial" w:cs="Arial" w:eastAsia="Arial" w:hAnsi="Arial"/>
                <w:sz w:val="15"/>
                <w:szCs w:val="15"/>
                <w:color w:val="auto"/>
              </w:rPr>
              <w:t>Net Cash Used for Investing Activities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(570,530)</w:t>
            </w:r>
          </w:p>
        </w:tc>
        <w:tc>
          <w:tcPr>
            <w:tcW w:w="22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(407,491)</w:t>
            </w:r>
          </w:p>
        </w:tc>
      </w:tr>
      <w:tr>
        <w:trPr>
          <w:trHeight w:val="274"/>
        </w:trPr>
        <w:tc>
          <w:tcPr>
            <w:tcW w:w="8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294,019</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222,353</w:t>
            </w:r>
          </w:p>
        </w:tc>
      </w:tr>
      <w:tr>
        <w:trPr>
          <w:trHeight w:val="262"/>
        </w:trPr>
        <w:tc>
          <w:tcPr>
            <w:tcW w:w="8240" w:type="dxa"/>
            <w:vAlign w:val="bottom"/>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443</w:t>
            </w:r>
          </w:p>
        </w:tc>
        <w:tc>
          <w:tcPr>
            <w:tcW w:w="220" w:type="dxa"/>
            <w:vAlign w:val="bottom"/>
          </w:tcPr>
          <w:p>
            <w:pPr>
              <w:spacing w:after="0"/>
              <w:rPr>
                <w:sz w:val="22"/>
                <w:szCs w:val="22"/>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(252)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restricted cash decreased by $16.3 million from $62.3 million as of December 31, 2018, to $46.0 million as of June 30,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increased by $61.1 million from $198.7 million for the six months ended June 30, 2018 to $259.8 million for the six months ended June 30,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6"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lower occupancy and rental rates of our properties; (c) increased operating costs, such as wage and benefit costs, insurance premiums, real estate taxes and utilities, that cannot be passed on to our tenants; (d) decreased sales of manufactured homes; and (e) current volatility in economic conditions and the financial markets. See “Risk Factors” in Part I, Item 1A of our 2018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for investing activities was $570.5 million for the six months ended June 30, 2019, compared to $407.5 million for the six months ended June 30, 2018. Refer to Note 3, “Real Estate Acquisitions” in our accompanying Consolidated Financial Statements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$294.0 million for the six months ended June 30, 2019, compared to net cash provided by financing activities of $222.4 million for the six months ended June 30, 2018. Refer to Note 9, “Debt and Lines of Credit” and Note 10, “Equity and Temporary Equity” in our accompanying Consolidated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Flexibility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2017, we entered into an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June 30, 2019, we have sold shares of our common stock for gross proceeds of $163.8 million under the Sales Agreement.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we amended and restated our credit agreement (the “A&amp;R Credit Agreement”) with Citibank, N.A. (“Citibank”) and certain other lenders. Pursuant to the A&amp;R Credit Agreement, we entered into a senior credit facility with Citibank and certain other lenders in the amount of $750.0 million, comprised of a $650.0 million revolving loan, with the ability to use up to $100.0 million for advances in Australian dollars, and a $100.0 million term loan (the “A&amp;R Facility”). The Company has until November 18, 2019 to draw on the term loan. As of June 30, 2019, the Company has not drawn any funds on the term loan. The A&amp;R Credit Agreement has a four-year term ending May 21, 2023, which can be extended for two additional six-month periods, subject to the satisfaction of certain conditions as defined in the credit agreement. The A&amp;R Credit Agreement also provides for, subject to the satisfaction of certain conditions, additional commitments in an amount not to exceed $350.0 million. If additional borrowings are made pursuant to any such additional commitments, the aggregate borrowing limit under the A&amp;R Facility may be increased up to $1.1 billion.</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A&amp;R Facility bears interest at a floating rate based on the Eurodollar rate or BBSY Bid rate plus a margin that is determined based on our leverage ratio calculated in accordance with the A&amp;R Credit Agreement, which margin can range from 1.20 percent to 2.10 percent for the revolving loan and 1.20 percent to 2.05 percent for the term loan. As of June 30, 2019, the margin based on our leverage ratio was 1.20 percent on the revolving loan and 1.20 percent on the term loan. We had $71.0 million and zero of borrowings on the revolving loan and the term loans, respectively, as of June 30, 2019.</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June 30, 2019 and December 31, 2018, approximately $5.5 million and $3.9 million of availability was used to back standby letters of credit.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1"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We are currently in compliance with these covenants. The most restrictive financial covenants for the A&amp;R Facility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Borders>
              <w:bottom w:val="single" w:sz="8" w:color="auto"/>
            </w:tcBorders>
          </w:tcPr>
          <w:p>
            <w:pPr>
              <w:ind w:left="3340"/>
              <w:spacing w:after="0"/>
              <w:rPr>
                <w:sz w:val="20"/>
                <w:szCs w:val="20"/>
                <w:color w:val="auto"/>
              </w:rPr>
            </w:pPr>
            <w:r>
              <w:rPr>
                <w:rFonts w:ascii="Arial" w:cs="Arial" w:eastAsia="Arial" w:hAnsi="Arial"/>
                <w:sz w:val="15"/>
                <w:szCs w:val="15"/>
                <w:b w:val="1"/>
                <w:bCs w:val="1"/>
                <w:color w:val="auto"/>
              </w:rPr>
              <w:t>Covenant</w:t>
            </w:r>
          </w:p>
        </w:tc>
        <w:tc>
          <w:tcPr>
            <w:tcW w:w="2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Requirement</w:t>
            </w:r>
          </w:p>
        </w:tc>
        <w:tc>
          <w:tcPr>
            <w:tcW w:w="2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As of June 30, 2019</w:t>
            </w:r>
          </w:p>
        </w:tc>
      </w:tr>
      <w:tr>
        <w:trPr>
          <w:trHeight w:val="254"/>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Maximum Leverage Ratio</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20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26.4%</w:t>
            </w:r>
          </w:p>
        </w:tc>
      </w:tr>
      <w:tr>
        <w:trPr>
          <w:trHeight w:val="266"/>
        </w:trPr>
        <w:tc>
          <w:tcPr>
            <w:tcW w:w="7540" w:type="dxa"/>
            <w:vAlign w:val="bottom"/>
            <w:gridSpan w:val="2"/>
          </w:tcPr>
          <w:p>
            <w:pPr>
              <w:ind w:left="40"/>
              <w:spacing w:after="0"/>
              <w:rPr>
                <w:sz w:val="20"/>
                <w:szCs w:val="20"/>
                <w:color w:val="auto"/>
              </w:rPr>
            </w:pPr>
            <w:r>
              <w:rPr>
                <w:rFonts w:ascii="Arial" w:cs="Arial" w:eastAsia="Arial" w:hAnsi="Arial"/>
                <w:sz w:val="15"/>
                <w:szCs w:val="15"/>
                <w:color w:val="auto"/>
              </w:rPr>
              <w:t>Minimum Fixed Charge Coverage Ratio</w:t>
            </w:r>
          </w:p>
        </w:tc>
        <w:tc>
          <w:tcPr>
            <w:tcW w:w="1620" w:type="dxa"/>
            <w:vAlign w:val="bottom"/>
          </w:tcPr>
          <w:p>
            <w:pPr>
              <w:jc w:val="center"/>
              <w:spacing w:after="0"/>
              <w:rPr>
                <w:sz w:val="20"/>
                <w:szCs w:val="20"/>
                <w:color w:val="auto"/>
              </w:rPr>
            </w:pPr>
            <w:r>
              <w:rPr>
                <w:rFonts w:ascii="Arial" w:cs="Arial" w:eastAsia="Arial" w:hAnsi="Arial"/>
                <w:sz w:val="15"/>
                <w:szCs w:val="15"/>
                <w:color w:val="auto"/>
                <w:w w:val="89"/>
              </w:rPr>
              <w:t>&gt;1.40</w:t>
            </w:r>
          </w:p>
        </w:tc>
        <w:tc>
          <w:tcPr>
            <w:tcW w:w="2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88"/>
              </w:rPr>
              <w:t>3.14</w:t>
            </w:r>
          </w:p>
        </w:tc>
      </w:tr>
      <w:tr>
        <w:trPr>
          <w:trHeight w:val="274"/>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Minimum Tangible Net Worth</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&gt;$3,257,121</w:t>
            </w:r>
          </w:p>
        </w:tc>
        <w:tc>
          <w:tcPr>
            <w:tcW w:w="200" w:type="dxa"/>
            <w:vAlign w:val="bottom"/>
            <w:shd w:val="clear" w:color="auto" w:fill="CCEEFF"/>
          </w:tcPr>
          <w:p>
            <w:pPr>
              <w:spacing w:after="0"/>
              <w:rPr>
                <w:sz w:val="23"/>
                <w:szCs w:val="23"/>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$5,221,696</w:t>
            </w:r>
          </w:p>
        </w:tc>
      </w:tr>
      <w:tr>
        <w:trPr>
          <w:trHeight w:val="262"/>
        </w:trPr>
        <w:tc>
          <w:tcPr>
            <w:tcW w:w="7540" w:type="dxa"/>
            <w:vAlign w:val="bottom"/>
            <w:gridSpan w:val="2"/>
          </w:tcPr>
          <w:p>
            <w:pPr>
              <w:ind w:left="40"/>
              <w:spacing w:after="0"/>
              <w:rPr>
                <w:sz w:val="20"/>
                <w:szCs w:val="20"/>
                <w:color w:val="auto"/>
              </w:rPr>
            </w:pPr>
            <w:r>
              <w:rPr>
                <w:rFonts w:ascii="Arial" w:cs="Arial" w:eastAsia="Arial" w:hAnsi="Arial"/>
                <w:sz w:val="15"/>
                <w:szCs w:val="15"/>
                <w:color w:val="auto"/>
              </w:rPr>
              <w:t>Maximum Dividend Payout Ratio</w:t>
            </w:r>
          </w:p>
        </w:tc>
        <w:tc>
          <w:tcPr>
            <w:tcW w:w="1620" w:type="dxa"/>
            <w:vAlign w:val="bottom"/>
          </w:tcPr>
          <w:p>
            <w:pPr>
              <w:jc w:val="center"/>
              <w:spacing w:after="0"/>
              <w:rPr>
                <w:sz w:val="20"/>
                <w:szCs w:val="20"/>
                <w:color w:val="auto"/>
              </w:rPr>
            </w:pPr>
            <w:r>
              <w:rPr>
                <w:rFonts w:ascii="Arial" w:cs="Arial" w:eastAsia="Arial" w:hAnsi="Arial"/>
                <w:sz w:val="15"/>
                <w:szCs w:val="15"/>
                <w:color w:val="auto"/>
                <w:w w:val="93"/>
              </w:rPr>
              <w:t>&lt;95.0%</w:t>
            </w:r>
          </w:p>
        </w:tc>
        <w:tc>
          <w:tcPr>
            <w:tcW w:w="2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3"/>
              </w:rPr>
              <w:t>58.2%</w:t>
            </w:r>
          </w:p>
        </w:tc>
      </w:tr>
    </w:tbl>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communities, and Operating Partnership unit redemptions through the issuance of certain debt or equity securities and/or the collateralization of our properties. At June 30, 2019, we had 197 unencumbered properties, of which 65 support the borrowing base for our $650.0 million revolving loan in our A&amp;R Facility.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may also issue shares of our capital stock, issue equity units in our Operating Partnership, obtain debt financing, or sell selected assets. Our ability to finance our long-term liquidity requirements in such a manner will be affected by numerous economic factors affecting the MH and RV community industry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2018 Annual Report and in Part II, Item 1A of this report. If we are unable to obtain additional debt or equity financing on acceptable terms, our business, results of operations and financial condition would be adversely impacted.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2019, our net debt to enterprise value was approximately 20.2 percent (assuming conversion of all common OP units, Series A-1 preferred OP units, Series A-3 preferred OP units, Series A-4 preferred OP units, Series C preferred OP units and Series D preferred OP units to shares of common stock). Our debt has a weighted average maturity of approximately 9.9 years and a weighted average interest rate of 4.4 percent.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Part I, Item IA, contained in our 2018 Annual Report and Item 8.01 in our Current Report on Form 8-K filed February 22, 2019, and our other filings with the SEC, such risks and uncertainties include, but are not limited to:</w:t>
      </w:r>
    </w:p>
    <w:p>
      <w:pPr>
        <w:spacing w:after="0" w:line="22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foreign currency exchange rates, including between the U.S. dollar and each of the Canadian and the Australian dollar;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 over financial reporting and disclosure controls and procedures;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maintain our status as a REIT;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manufactured home buyers to obtain financing;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repossessions by manufactured home lenders.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9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variable rate debt totaled $76.1 million and $536.8 million as of June 30, 2019 and 2018, respectively, and bears interest at Prime or various LIBOR rates. If Prime or LIBOR increased or decreased by 1.0 percent, our interest expense would have increased or decreased by approximately $1.5 million and $1.4 million for the six months ended June 30, 2019 and 2018, respectively, based on the $307.1 million and $291.5 million average balances outstanding under our variable rate debt facilities,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joint venture into U.S. dollars. Fluctuations in foreign currency exchange rates can therefore create volatility in our results of operations and may adversely affect our financial condition.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2019 and December 31, 2018, our stockholder’s equity included $159.2 million and $141.4 million from our Canadian subsidiaries and Australian equity investments, respectively, which represented 4.5 percent and 4.6 percent of total stockholder’s equity, respectively. Based on our sensitivity analysis, a 10.0 percent strengthening of the U.S. dollar against the Canadian and Australian dollar would have caused a reduction of $15.9 million and $14.1 million to our total stockholder’s equity at June 30, 2019 and December 31,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June 30, 2019. Based upon this evaluation, our CEO and CFO concluded that our disclosure controls and procedures were effective as of June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June 30, 2019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Refer to “Legal Proceedings” in Part 1 - Item 1 - Note 17, “Commitments and Contingencies” in our accompanying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described in Part 1, Item 1A, “Risk Factors,” in our 2018 Annual Report, Item 8.01 in our Current Report on Form 8-K filed February 22, 2019, and Item 1A “Risk Factors” in our Quarterly Report on Form 10-Q filed April 25, 2019 which could materially affect our business, financial condition or future results. There have been no material changes to the disclosure on these matters as set forth in such reports.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and Preferred stock have converted the following units during the three months ended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2"/>
          </w:tcPr>
          <w:p>
            <w:pPr>
              <w:jc w:val="right"/>
              <w:ind w:right="42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2"/>
          </w:tcPr>
          <w:p>
            <w:pPr>
              <w:jc w:val="right"/>
              <w:ind w:right="683"/>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Series</w:t>
            </w:r>
          </w:p>
        </w:tc>
        <w:tc>
          <w:tcPr>
            <w:tcW w:w="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122"/>
              <w:spacing w:after="0" w:line="165" w:lineRule="exact"/>
              <w:rPr>
                <w:sz w:val="20"/>
                <w:szCs w:val="20"/>
                <w:color w:val="auto"/>
              </w:rPr>
            </w:pPr>
            <w:r>
              <w:rPr>
                <w:rFonts w:ascii="Arial" w:cs="Arial" w:eastAsia="Arial" w:hAnsi="Arial"/>
                <w:sz w:val="15"/>
                <w:szCs w:val="15"/>
                <w:b w:val="1"/>
                <w:bCs w:val="1"/>
                <w:color w:val="auto"/>
              </w:rPr>
              <w:t>Units/Shares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7"/>
              </w:rPr>
              <w:t>Conversion Rate</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b w:val="1"/>
                <w:bCs w:val="1"/>
                <w:color w:val="auto"/>
              </w:rPr>
              <w:t>Converted</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9"/>
              </w:rPr>
              <w:t>Common Stock</w:t>
            </w:r>
          </w:p>
        </w:tc>
        <w:tc>
          <w:tcPr>
            <w:tcW w:w="0" w:type="dxa"/>
            <w:vAlign w:val="bottom"/>
          </w:tcPr>
          <w:p>
            <w:pPr>
              <w:spacing w:after="0"/>
              <w:rPr>
                <w:sz w:val="1"/>
                <w:szCs w:val="1"/>
                <w:color w:val="auto"/>
              </w:rPr>
            </w:pPr>
          </w:p>
        </w:tc>
      </w:tr>
      <w:tr>
        <w:trPr>
          <w:trHeight w:val="25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OP unit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429,644</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429,644</w:t>
            </w:r>
          </w:p>
        </w:tc>
        <w:tc>
          <w:tcPr>
            <w:tcW w:w="0" w:type="dxa"/>
            <w:vAlign w:val="bottom"/>
          </w:tcPr>
          <w:p>
            <w:pPr>
              <w:spacing w:after="0"/>
              <w:rPr>
                <w:sz w:val="1"/>
                <w:szCs w:val="1"/>
                <w:color w:val="auto"/>
              </w:rPr>
            </w:pPr>
          </w:p>
        </w:tc>
      </w:tr>
      <w:tr>
        <w:trPr>
          <w:trHeight w:val="266"/>
        </w:trPr>
        <w:tc>
          <w:tcPr>
            <w:tcW w:w="7440" w:type="dxa"/>
            <w:vAlign w:val="bottom"/>
            <w:gridSpan w:val="2"/>
          </w:tcPr>
          <w:p>
            <w:pPr>
              <w:ind w:left="40"/>
              <w:spacing w:after="0"/>
              <w:rPr>
                <w:sz w:val="20"/>
                <w:szCs w:val="20"/>
                <w:color w:val="auto"/>
              </w:rPr>
            </w:pPr>
            <w:r>
              <w:rPr>
                <w:rFonts w:ascii="Arial" w:cs="Arial" w:eastAsia="Arial" w:hAnsi="Arial"/>
                <w:sz w:val="15"/>
                <w:szCs w:val="15"/>
                <w:color w:val="auto"/>
              </w:rPr>
              <w:t>Series A-1 preferred OP unit</w:t>
            </w: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2.439</w:t>
            </w:r>
          </w:p>
        </w:tc>
        <w:tc>
          <w:tcPr>
            <w:tcW w:w="24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5"/>
                <w:szCs w:val="15"/>
                <w:color w:val="auto"/>
              </w:rPr>
              <w:t>4,000</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9,754</w:t>
            </w:r>
          </w:p>
        </w:tc>
        <w:tc>
          <w:tcPr>
            <w:tcW w:w="0" w:type="dxa"/>
            <w:vAlign w:val="bottom"/>
          </w:tcPr>
          <w:p>
            <w:pPr>
              <w:spacing w:after="0"/>
              <w:rPr>
                <w:sz w:val="1"/>
                <w:szCs w:val="1"/>
                <w:color w:val="auto"/>
              </w:rPr>
            </w:pPr>
          </w:p>
        </w:tc>
      </w:tr>
      <w:tr>
        <w:trPr>
          <w:trHeight w:val="27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A-4 preferred OP unit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0.4444</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4,708</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2,092</w:t>
            </w:r>
          </w:p>
        </w:tc>
        <w:tc>
          <w:tcPr>
            <w:tcW w:w="0" w:type="dxa"/>
            <w:vAlign w:val="bottom"/>
          </w:tcPr>
          <w:p>
            <w:pPr>
              <w:spacing w:after="0"/>
              <w:rPr>
                <w:sz w:val="1"/>
                <w:szCs w:val="1"/>
                <w:color w:val="auto"/>
              </w:rPr>
            </w:pPr>
          </w:p>
        </w:tc>
      </w:tr>
      <w:tr>
        <w:trPr>
          <w:trHeight w:val="262"/>
        </w:trPr>
        <w:tc>
          <w:tcPr>
            <w:tcW w:w="7440" w:type="dxa"/>
            <w:vAlign w:val="bottom"/>
            <w:gridSpan w:val="2"/>
          </w:tcPr>
          <w:p>
            <w:pPr>
              <w:ind w:left="40"/>
              <w:spacing w:after="0"/>
              <w:rPr>
                <w:sz w:val="20"/>
                <w:szCs w:val="20"/>
                <w:color w:val="auto"/>
              </w:rPr>
            </w:pPr>
            <w:r>
              <w:rPr>
                <w:rFonts w:ascii="Arial" w:cs="Arial" w:eastAsia="Arial" w:hAnsi="Arial"/>
                <w:sz w:val="15"/>
                <w:szCs w:val="15"/>
                <w:color w:val="auto"/>
              </w:rPr>
              <w:t>Series A-4 preferred stock</w:t>
            </w: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0.4444</w:t>
            </w:r>
          </w:p>
        </w:tc>
        <w:tc>
          <w:tcPr>
            <w:tcW w:w="240" w:type="dxa"/>
            <w:vAlign w:val="bottom"/>
          </w:tcPr>
          <w:p>
            <w:pPr>
              <w:spacing w:after="0"/>
              <w:rPr>
                <w:sz w:val="22"/>
                <w:szCs w:val="22"/>
                <w:color w:val="auto"/>
              </w:rPr>
            </w:pPr>
          </w:p>
        </w:tc>
        <w:tc>
          <w:tcPr>
            <w:tcW w:w="1240" w:type="dxa"/>
            <w:vAlign w:val="bottom"/>
          </w:tcPr>
          <w:p>
            <w:pPr>
              <w:jc w:val="right"/>
              <w:ind w:right="42"/>
              <w:spacing w:after="0"/>
              <w:rPr>
                <w:sz w:val="20"/>
                <w:szCs w:val="20"/>
                <w:color w:val="auto"/>
              </w:rPr>
            </w:pPr>
            <w:r>
              <w:rPr>
                <w:rFonts w:ascii="Arial" w:cs="Arial" w:eastAsia="Arial" w:hAnsi="Arial"/>
                <w:sz w:val="15"/>
                <w:szCs w:val="15"/>
                <w:color w:val="auto"/>
              </w:rPr>
              <w:t>11,288</w:t>
            </w: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5,016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above shares of common stock were issued in private placements in reliance on Section 4(a)(2) of the Securities Act of 1933, as amended, including Regulation D promulgated thereunder. No underwriters were used in connection with any of such issuances.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1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359" w:lineRule="exact"/>
        <w:rPr>
          <w:sz w:val="20"/>
          <w:szCs w:val="20"/>
          <w:color w:val="auto"/>
        </w:rPr>
      </w:pPr>
    </w:p>
    <w:tbl>
      <w:tblPr>
        <w:tblLayout w:type="fixed"/>
        <w:tblInd w:w="310" w:type="dxa"/>
        <w:tblCellMar>
          <w:top w:w="0" w:type="dxa"/>
          <w:left w:w="0" w:type="dxa"/>
          <w:bottom w:w="0" w:type="dxa"/>
          <w:right w:w="0" w:type="dxa"/>
        </w:tblCellMar>
      </w:tblPr>
      <w:tr>
        <w:trPr>
          <w:trHeight w:val="257"/>
        </w:trPr>
        <w:tc>
          <w:tcPr>
            <w:tcW w:w="12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Exhibit No.</w:t>
            </w:r>
          </w:p>
        </w:tc>
        <w:tc>
          <w:tcPr>
            <w:tcW w:w="2100" w:type="dxa"/>
            <w:vAlign w:val="bottom"/>
            <w:tcBorders>
              <w:top w:val="single" w:sz="8" w:color="auto"/>
            </w:tcBorders>
          </w:tcPr>
          <w:p>
            <w:pPr>
              <w:spacing w:after="0"/>
              <w:rPr>
                <w:sz w:val="22"/>
                <w:szCs w:val="22"/>
                <w:color w:val="auto"/>
              </w:rPr>
            </w:pPr>
          </w:p>
        </w:tc>
        <w:tc>
          <w:tcPr>
            <w:tcW w:w="4600" w:type="dxa"/>
            <w:vAlign w:val="bottom"/>
            <w:tcBorders>
              <w:top w:val="single" w:sz="8" w:color="auto"/>
              <w:right w:val="single" w:sz="8" w:color="auto"/>
            </w:tcBorders>
            <w:gridSpan w:val="10"/>
          </w:tcPr>
          <w:p>
            <w:pPr>
              <w:ind w:left="780"/>
              <w:spacing w:after="0"/>
              <w:rPr>
                <w:sz w:val="20"/>
                <w:szCs w:val="20"/>
                <w:color w:val="auto"/>
              </w:rPr>
            </w:pPr>
            <w:r>
              <w:rPr>
                <w:rFonts w:ascii="Arial" w:cs="Arial" w:eastAsia="Arial" w:hAnsi="Arial"/>
                <w:sz w:val="18"/>
                <w:szCs w:val="18"/>
                <w:b w:val="1"/>
                <w:bCs w:val="1"/>
                <w:color w:val="auto"/>
              </w:rPr>
              <w:t>Description</w:t>
            </w:r>
          </w:p>
        </w:tc>
        <w:tc>
          <w:tcPr>
            <w:tcW w:w="292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27"/>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6700" w:type="dxa"/>
            <w:vAlign w:val="bottom"/>
            <w:tcBorders>
              <w:right w:val="single" w:sz="8" w:color="auto"/>
            </w:tcBorders>
            <w:gridSpan w:val="11"/>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Third Amended and Restated Credit Agreement, dated May 21, 2019, among Sun</w:t>
              </w:r>
            </w:hyperlink>
          </w:p>
        </w:tc>
        <w:tc>
          <w:tcPr>
            <w:tcW w:w="2920" w:type="dxa"/>
            <w:vAlign w:val="bottom"/>
            <w:tcBorders>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558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Communities Operating Limited Partnership, as Borrower, Citibank, N.A., as</w:t>
              </w:r>
            </w:hyperlink>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right w:val="single" w:sz="8" w:color="auto"/>
            </w:tcBorders>
            <w:gridSpan w:val="7"/>
            <w:shd w:val="clear" w:color="auto" w:fill="CCEEFF"/>
          </w:tcPr>
          <w:p>
            <w:pPr>
              <w:spacing w:after="0"/>
              <w:rPr>
                <w:sz w:val="17"/>
                <w:szCs w:val="17"/>
                <w:color w:val="auto"/>
              </w:rPr>
            </w:pPr>
          </w:p>
        </w:tc>
        <w:tc>
          <w:tcPr>
            <w:tcW w:w="2920" w:type="dxa"/>
            <w:vAlign w:val="bottom"/>
            <w:tcBorders>
              <w:top w:val="single" w:sz="8" w:color="CCEEFF"/>
              <w:bottom w:val="single" w:sz="8" w:color="CCEEFF"/>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Communities, Inc.’s Current Report on</w:t>
            </w: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right w:val="single" w:sz="8" w:color="auto"/>
            </w:tcBorders>
            <w:shd w:val="clear" w:color="auto" w:fill="CCEEFF"/>
          </w:tcPr>
          <w:p>
            <w:pPr>
              <w:spacing w:after="0"/>
              <w:rPr>
                <w:sz w:val="17"/>
                <w:szCs w:val="17"/>
                <w:color w:val="auto"/>
              </w:rPr>
            </w:pPr>
          </w:p>
        </w:tc>
        <w:tc>
          <w:tcPr>
            <w:tcW w:w="6700" w:type="dxa"/>
            <w:vAlign w:val="bottom"/>
            <w:tcBorders>
              <w:right w:val="single" w:sz="8" w:color="auto"/>
            </w:tcBorders>
            <w:gridSpan w:val="11"/>
            <w:shd w:val="clear" w:color="auto" w:fill="CCEEFF"/>
          </w:tcPr>
          <w:p>
            <w:pPr>
              <w:spacing w:after="0" w:line="196" w:lineRule="exact"/>
              <w:rPr>
                <w:rFonts w:ascii="Arial" w:cs="Arial" w:eastAsia="Arial" w:hAnsi="Arial"/>
                <w:sz w:val="18"/>
                <w:szCs w:val="18"/>
                <w:color w:val="0000FF"/>
                <w:w w:val="94"/>
              </w:rPr>
            </w:pPr>
            <w:hyperlink r:id="rId16">
              <w:r>
                <w:rPr>
                  <w:rFonts w:ascii="Arial" w:cs="Arial" w:eastAsia="Arial" w:hAnsi="Arial"/>
                  <w:sz w:val="18"/>
                  <w:szCs w:val="18"/>
                  <w:color w:val="0000FF"/>
                  <w:w w:val="94"/>
                </w:rPr>
                <w:t>Administrative Agent, Swing Line Lender and L/C Issuer, Citibank, N.A., BofA Securities,</w:t>
              </w:r>
            </w:hyperlink>
          </w:p>
        </w:tc>
        <w:tc>
          <w:tcPr>
            <w:tcW w:w="2920" w:type="dxa"/>
            <w:vAlign w:val="bottom"/>
            <w:tcBorders>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Form 8-K filed on May 24, 2019</w:t>
            </w: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658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Inc., and BMO Capital Markets, as Joint Lead Arrangers, and Citibank, N.A., BofA</w:t>
              </w:r>
            </w:hyperlink>
          </w:p>
        </w:tc>
        <w:tc>
          <w:tcPr>
            <w:tcW w:w="120" w:type="dxa"/>
            <w:vAlign w:val="bottom"/>
            <w:tcBorders>
              <w:top w:val="single" w:sz="8" w:color="CCEEFF"/>
              <w:right w:val="single" w:sz="8" w:color="auto"/>
            </w:tcBorders>
            <w:gridSpan w:val="3"/>
            <w:shd w:val="clear" w:color="auto" w:fill="CCEEFF"/>
          </w:tcPr>
          <w:p>
            <w:pPr>
              <w:spacing w:after="0"/>
              <w:rPr>
                <w:sz w:val="17"/>
                <w:szCs w:val="17"/>
                <w:color w:val="auto"/>
              </w:rPr>
            </w:pPr>
          </w:p>
        </w:tc>
        <w:tc>
          <w:tcPr>
            <w:tcW w:w="292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29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Borders>
              <w:left w:val="single" w:sz="8" w:color="auto"/>
              <w:right w:val="single" w:sz="8" w:color="auto"/>
            </w:tcBorders>
            <w:shd w:val="clear" w:color="auto" w:fill="CCEEFF"/>
          </w:tcPr>
          <w:p>
            <w:pPr>
              <w:spacing w:after="0"/>
              <w:rPr>
                <w:sz w:val="17"/>
                <w:szCs w:val="17"/>
                <w:color w:val="auto"/>
              </w:rPr>
            </w:pPr>
          </w:p>
        </w:tc>
        <w:tc>
          <w:tcPr>
            <w:tcW w:w="6700" w:type="dxa"/>
            <w:vAlign w:val="bottom"/>
            <w:tcBorders>
              <w:right w:val="single" w:sz="8" w:color="auto"/>
            </w:tcBorders>
            <w:gridSpan w:val="11"/>
            <w:shd w:val="clear" w:color="auto" w:fill="CCEEFF"/>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Securities, Inc., as Joint Bookrunners, and Bank of America, N.A. and Bank of Montreal, as</w:t>
              </w:r>
            </w:hyperlink>
          </w:p>
        </w:tc>
        <w:tc>
          <w:tcPr>
            <w:tcW w:w="2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660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Co-Syndication Agents and Fifth Third Bank, an Ohio Banking Corporation, Regions Bank</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9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right w:val="single" w:sz="8" w:color="auto"/>
            </w:tcBorders>
            <w:shd w:val="clear" w:color="auto" w:fill="CCEEFF"/>
          </w:tcPr>
          <w:p>
            <w:pPr>
              <w:spacing w:after="0"/>
              <w:rPr>
                <w:sz w:val="17"/>
                <w:szCs w:val="17"/>
                <w:color w:val="auto"/>
              </w:rPr>
            </w:pPr>
          </w:p>
        </w:tc>
        <w:tc>
          <w:tcPr>
            <w:tcW w:w="6700" w:type="dxa"/>
            <w:vAlign w:val="bottom"/>
            <w:tcBorders>
              <w:right w:val="single" w:sz="8" w:color="auto"/>
            </w:tcBorders>
            <w:gridSpan w:val="11"/>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and RBC Capital Markets as Co-Documentation Agents</w:t>
              </w:r>
            </w:hyperlink>
          </w:p>
        </w:tc>
        <w:tc>
          <w:tcPr>
            <w:tcW w:w="29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40" w:type="dxa"/>
            <w:vAlign w:val="bottom"/>
            <w:tcBorders>
              <w:top w:val="single" w:sz="8" w:color="CCEEFF"/>
              <w:left w:val="single" w:sz="8" w:color="auto"/>
              <w:bottom w:val="single" w:sz="8" w:color="auto"/>
              <w:right w:val="single" w:sz="8" w:color="auto"/>
            </w:tcBorders>
            <w:shd w:val="clear" w:color="auto" w:fill="CCEEFF"/>
          </w:tcPr>
          <w:p>
            <w:pPr>
              <w:spacing w:after="0"/>
              <w:rPr>
                <w:sz w:val="22"/>
                <w:szCs w:val="22"/>
                <w:color w:val="auto"/>
              </w:rPr>
            </w:pPr>
          </w:p>
        </w:tc>
        <w:tc>
          <w:tcPr>
            <w:tcW w:w="2100" w:type="dxa"/>
            <w:vAlign w:val="bottom"/>
            <w:tcBorders>
              <w:top w:val="single" w:sz="8" w:color="0000FF"/>
              <w:bottom w:val="single" w:sz="8" w:color="auto"/>
            </w:tcBorders>
            <w:shd w:val="clear" w:color="auto" w:fill="CCEEFF"/>
          </w:tcPr>
          <w:p>
            <w:pPr>
              <w:spacing w:after="0"/>
              <w:rPr>
                <w:sz w:val="22"/>
                <w:szCs w:val="22"/>
                <w:color w:val="auto"/>
              </w:rPr>
            </w:pPr>
          </w:p>
        </w:tc>
        <w:tc>
          <w:tcPr>
            <w:tcW w:w="1940" w:type="dxa"/>
            <w:vAlign w:val="bottom"/>
            <w:tcBorders>
              <w:top w:val="single" w:sz="8" w:color="0000FF"/>
              <w:bottom w:val="single" w:sz="8" w:color="auto"/>
            </w:tcBorders>
            <w:shd w:val="clear" w:color="auto" w:fill="CCEEFF"/>
          </w:tcPr>
          <w:p>
            <w:pPr>
              <w:spacing w:after="0"/>
              <w:rPr>
                <w:sz w:val="22"/>
                <w:szCs w:val="22"/>
                <w:color w:val="auto"/>
              </w:rPr>
            </w:pPr>
          </w:p>
        </w:tc>
        <w:tc>
          <w:tcPr>
            <w:tcW w:w="1540" w:type="dxa"/>
            <w:vAlign w:val="bottom"/>
            <w:tcBorders>
              <w:top w:val="single" w:sz="8" w:color="CCEEFF"/>
              <w:bottom w:val="single" w:sz="8" w:color="auto"/>
            </w:tcBorders>
            <w:shd w:val="clear" w:color="auto" w:fill="CCEEFF"/>
          </w:tcPr>
          <w:p>
            <w:pPr>
              <w:spacing w:after="0"/>
              <w:rPr>
                <w:sz w:val="22"/>
                <w:szCs w:val="22"/>
                <w:color w:val="auto"/>
              </w:rPr>
            </w:pPr>
          </w:p>
        </w:tc>
        <w:tc>
          <w:tcPr>
            <w:tcW w:w="300" w:type="dxa"/>
            <w:vAlign w:val="bottom"/>
            <w:tcBorders>
              <w:top w:val="single" w:sz="8" w:color="CCEEFF"/>
              <w:bottom w:val="single" w:sz="8" w:color="auto"/>
            </w:tcBorders>
            <w:shd w:val="clear" w:color="auto" w:fill="CCEEFF"/>
          </w:tcPr>
          <w:p>
            <w:pPr>
              <w:spacing w:after="0"/>
              <w:rPr>
                <w:sz w:val="22"/>
                <w:szCs w:val="22"/>
                <w:color w:val="auto"/>
              </w:rPr>
            </w:pPr>
          </w:p>
        </w:tc>
        <w:tc>
          <w:tcPr>
            <w:tcW w:w="140" w:type="dxa"/>
            <w:vAlign w:val="bottom"/>
            <w:tcBorders>
              <w:top w:val="single" w:sz="8" w:color="CCEEFF"/>
              <w:bottom w:val="single" w:sz="8" w:color="auto"/>
            </w:tcBorders>
            <w:shd w:val="clear" w:color="auto" w:fill="CCEEFF"/>
          </w:tcPr>
          <w:p>
            <w:pPr>
              <w:spacing w:after="0"/>
              <w:rPr>
                <w:sz w:val="22"/>
                <w:szCs w:val="22"/>
                <w:color w:val="auto"/>
              </w:rPr>
            </w:pPr>
          </w:p>
        </w:tc>
        <w:tc>
          <w:tcPr>
            <w:tcW w:w="340" w:type="dxa"/>
            <w:vAlign w:val="bottom"/>
            <w:tcBorders>
              <w:top w:val="single" w:sz="8" w:color="CCEEFF"/>
              <w:bottom w:val="single" w:sz="8" w:color="auto"/>
              <w:right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auto"/>
            </w:tcBorders>
            <w:shd w:val="clear" w:color="auto" w:fill="CCEEFF"/>
          </w:tcPr>
          <w:p>
            <w:pPr>
              <w:spacing w:after="0"/>
              <w:rPr>
                <w:sz w:val="22"/>
                <w:szCs w:val="22"/>
                <w:color w:val="auto"/>
              </w:rPr>
            </w:pPr>
          </w:p>
        </w:tc>
        <w:tc>
          <w:tcPr>
            <w:tcW w:w="120" w:type="dxa"/>
            <w:vAlign w:val="bottom"/>
            <w:tcBorders>
              <w:top w:val="single" w:sz="8" w:color="CCEEFF"/>
              <w:bottom w:val="single" w:sz="8" w:color="auto"/>
            </w:tcBorders>
            <w:shd w:val="clear" w:color="auto" w:fill="CCEEFF"/>
          </w:tcPr>
          <w:p>
            <w:pPr>
              <w:spacing w:after="0"/>
              <w:rPr>
                <w:sz w:val="22"/>
                <w:szCs w:val="22"/>
                <w:color w:val="auto"/>
              </w:rPr>
            </w:pPr>
          </w:p>
        </w:tc>
        <w:tc>
          <w:tcPr>
            <w:tcW w:w="20" w:type="dxa"/>
            <w:vAlign w:val="bottom"/>
            <w:tcBorders>
              <w:top w:val="single" w:sz="8" w:color="CCEEFF"/>
              <w:bottom w:val="single" w:sz="8" w:color="auto"/>
            </w:tcBorders>
            <w:shd w:val="clear" w:color="auto" w:fill="CCEEFF"/>
          </w:tcPr>
          <w:p>
            <w:pPr>
              <w:spacing w:after="0"/>
              <w:rPr>
                <w:sz w:val="22"/>
                <w:szCs w:val="22"/>
                <w:color w:val="auto"/>
              </w:rPr>
            </w:pPr>
          </w:p>
        </w:tc>
        <w:tc>
          <w:tcPr>
            <w:tcW w:w="20" w:type="dxa"/>
            <w:vAlign w:val="bottom"/>
            <w:tcBorders>
              <w:top w:val="single" w:sz="8" w:color="CCEEFF"/>
              <w:bottom w:val="single" w:sz="8" w:color="auto"/>
            </w:tcBorders>
            <w:shd w:val="clear" w:color="auto" w:fill="CCEEFF"/>
          </w:tcPr>
          <w:p>
            <w:pPr>
              <w:spacing w:after="0"/>
              <w:rPr>
                <w:sz w:val="22"/>
                <w:szCs w:val="22"/>
                <w:color w:val="auto"/>
              </w:rPr>
            </w:pPr>
          </w:p>
        </w:tc>
        <w:tc>
          <w:tcPr>
            <w:tcW w:w="80" w:type="dxa"/>
            <w:vAlign w:val="bottom"/>
            <w:tcBorders>
              <w:top w:val="single" w:sz="8" w:color="CCEEFF"/>
              <w:bottom w:val="single" w:sz="8" w:color="auto"/>
              <w:right w:val="single" w:sz="8" w:color="auto"/>
            </w:tcBorders>
            <w:shd w:val="clear" w:color="auto" w:fill="CCEEFF"/>
          </w:tcPr>
          <w:p>
            <w:pPr>
              <w:spacing w:after="0"/>
              <w:rPr>
                <w:sz w:val="22"/>
                <w:szCs w:val="22"/>
                <w:color w:val="auto"/>
              </w:rPr>
            </w:pPr>
          </w:p>
        </w:tc>
        <w:tc>
          <w:tcPr>
            <w:tcW w:w="2920" w:type="dxa"/>
            <w:vAlign w:val="bottom"/>
            <w:tcBorders>
              <w:top w:val="single" w:sz="8" w:color="CCEEFF"/>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6700" w:type="dxa"/>
            <w:vAlign w:val="bottom"/>
            <w:tcBorders>
              <w:right w:val="single" w:sz="8" w:color="auto"/>
            </w:tcBorders>
            <w:gridSpan w:val="11"/>
          </w:tcPr>
          <w:p>
            <w:pPr>
              <w:spacing w:after="0" w:line="196" w:lineRule="exact"/>
              <w:rPr>
                <w:rFonts w:ascii="Arial" w:cs="Arial" w:eastAsia="Arial" w:hAnsi="Arial"/>
                <w:sz w:val="18"/>
                <w:szCs w:val="18"/>
                <w:color w:val="0000FF"/>
                <w:w w:val="96"/>
              </w:rPr>
            </w:pPr>
            <w:hyperlink w:anchor="page51">
              <w:r>
                <w:rPr>
                  <w:rFonts w:ascii="Arial" w:cs="Arial" w:eastAsia="Arial" w:hAnsi="Arial"/>
                  <w:sz w:val="18"/>
                  <w:szCs w:val="18"/>
                  <w:color w:val="0000FF"/>
                  <w:w w:val="96"/>
                </w:rPr>
                <w:t>Certification of Chief Executive Officer pursuant to Securities Exchange Act Rules 13a-</w:t>
              </w:r>
            </w:hyperlink>
          </w:p>
        </w:tc>
        <w:tc>
          <w:tcPr>
            <w:tcW w:w="292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240" w:type="dxa"/>
            <w:vAlign w:val="bottom"/>
            <w:tcBorders>
              <w:left w:val="single" w:sz="8" w:color="auto"/>
              <w:right w:val="single" w:sz="8" w:color="auto"/>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26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gridSpan w:val="4"/>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Borders>
              <w:left w:val="single" w:sz="8" w:color="auto"/>
              <w:right w:val="single" w:sz="8" w:color="auto"/>
            </w:tcBorders>
          </w:tcPr>
          <w:p>
            <w:pPr>
              <w:spacing w:after="0"/>
              <w:rPr>
                <w:sz w:val="17"/>
                <w:szCs w:val="17"/>
                <w:color w:val="auto"/>
              </w:rPr>
            </w:pPr>
          </w:p>
        </w:tc>
        <w:tc>
          <w:tcPr>
            <w:tcW w:w="6700" w:type="dxa"/>
            <w:vAlign w:val="bottom"/>
            <w:tcBorders>
              <w:right w:val="single" w:sz="8" w:color="auto"/>
            </w:tcBorders>
            <w:gridSpan w:val="11"/>
          </w:tcPr>
          <w:p>
            <w:pPr>
              <w:spacing w:after="0" w:line="196" w:lineRule="exact"/>
              <w:rPr>
                <w:rFonts w:ascii="Arial" w:cs="Arial" w:eastAsia="Arial" w:hAnsi="Arial"/>
                <w:sz w:val="18"/>
                <w:szCs w:val="18"/>
                <w:color w:val="0000FF"/>
                <w:w w:val="92"/>
              </w:rPr>
            </w:pPr>
            <w:hyperlink w:anchor="page51">
              <w:r>
                <w:rPr>
                  <w:rFonts w:ascii="Arial" w:cs="Arial" w:eastAsia="Arial" w:hAnsi="Arial"/>
                  <w:sz w:val="18"/>
                  <w:szCs w:val="18"/>
                  <w:color w:val="0000FF"/>
                  <w:w w:val="92"/>
                </w:rPr>
                <w:t>14(a)/15(d)-14(a), as adopted pursuant to Section 302 of the Sarbanes-Oxley Act of 2002.</w:t>
              </w:r>
            </w:hyperlink>
          </w:p>
        </w:tc>
        <w:tc>
          <w:tcPr>
            <w:tcW w:w="2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1940" w:type="dxa"/>
            <w:vAlign w:val="bottom"/>
            <w:tcBorders>
              <w:top w:val="single" w:sz="8" w:color="0000FF"/>
              <w:bottom w:val="single" w:sz="8" w:color="auto"/>
            </w:tcBorders>
          </w:tcPr>
          <w:p>
            <w:pPr>
              <w:spacing w:after="0"/>
              <w:rPr>
                <w:sz w:val="4"/>
                <w:szCs w:val="4"/>
                <w:color w:val="auto"/>
              </w:rPr>
            </w:pPr>
          </w:p>
        </w:tc>
        <w:tc>
          <w:tcPr>
            <w:tcW w:w="154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bottom w:val="single" w:sz="8" w:color="CCEEFF"/>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6360" w:type="dxa"/>
            <w:vAlign w:val="bottom"/>
            <w:tcBorders>
              <w:bottom w:val="single" w:sz="8" w:color="0000FF"/>
              <w:right w:val="single" w:sz="8" w:color="CCEEFF"/>
            </w:tcBorders>
            <w:gridSpan w:val="6"/>
            <w:shd w:val="clear" w:color="auto" w:fill="CCEEFF"/>
          </w:tcPr>
          <w:p>
            <w:pPr>
              <w:spacing w:after="0" w:line="196" w:lineRule="exact"/>
              <w:rPr>
                <w:rFonts w:ascii="Arial" w:cs="Arial" w:eastAsia="Arial" w:hAnsi="Arial"/>
                <w:sz w:val="18"/>
                <w:szCs w:val="18"/>
                <w:color w:val="0000FF"/>
                <w:w w:val="92"/>
              </w:rPr>
            </w:pPr>
            <w:hyperlink w:anchor="page52">
              <w:r>
                <w:rPr>
                  <w:rFonts w:ascii="Arial" w:cs="Arial" w:eastAsia="Arial" w:hAnsi="Arial"/>
                  <w:sz w:val="18"/>
                  <w:szCs w:val="18"/>
                  <w:color w:val="0000FF"/>
                  <w:w w:val="92"/>
                </w:rPr>
                <w:t>Certification of Chief Financial Officer pursuant to Securities Exchange Act Rules 13a-</w:t>
              </w:r>
            </w:hyperlink>
          </w:p>
        </w:tc>
        <w:tc>
          <w:tcPr>
            <w:tcW w:w="340" w:type="dxa"/>
            <w:vAlign w:val="bottom"/>
            <w:tcBorders>
              <w:bottom w:val="single" w:sz="8" w:color="CCEEFF"/>
              <w:right w:val="single" w:sz="8" w:color="auto"/>
            </w:tcBorders>
            <w:gridSpan w:val="5"/>
            <w:shd w:val="clear" w:color="auto" w:fill="CCEEFF"/>
          </w:tcPr>
          <w:p>
            <w:pPr>
              <w:spacing w:after="0"/>
              <w:rPr>
                <w:sz w:val="17"/>
                <w:szCs w:val="17"/>
                <w:color w:val="auto"/>
              </w:rPr>
            </w:pPr>
          </w:p>
        </w:tc>
        <w:tc>
          <w:tcPr>
            <w:tcW w:w="2920" w:type="dxa"/>
            <w:vAlign w:val="bottom"/>
            <w:tcBorders>
              <w:bottom w:val="single" w:sz="8" w:color="CCEEFF"/>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4"/>
        </w:trPr>
        <w:tc>
          <w:tcPr>
            <w:tcW w:w="124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6700" w:type="dxa"/>
            <w:vAlign w:val="bottom"/>
            <w:tcBorders>
              <w:bottom w:val="single" w:sz="8" w:color="auto"/>
              <w:right w:val="single" w:sz="8" w:color="auto"/>
            </w:tcBorders>
            <w:gridSpan w:val="11"/>
            <w:shd w:val="clear" w:color="auto" w:fill="CCEEFF"/>
          </w:tcPr>
          <w:p>
            <w:pPr>
              <w:spacing w:after="0" w:line="196" w:lineRule="exact"/>
              <w:rPr>
                <w:rFonts w:ascii="Arial" w:cs="Arial" w:eastAsia="Arial" w:hAnsi="Arial"/>
                <w:sz w:val="18"/>
                <w:szCs w:val="18"/>
                <w:color w:val="0000FF"/>
                <w:w w:val="92"/>
              </w:rPr>
            </w:pPr>
            <w:hyperlink w:anchor="page52">
              <w:r>
                <w:rPr>
                  <w:rFonts w:ascii="Arial" w:cs="Arial" w:eastAsia="Arial" w:hAnsi="Arial"/>
                  <w:sz w:val="18"/>
                  <w:szCs w:val="18"/>
                  <w:color w:val="0000FF"/>
                  <w:w w:val="92"/>
                </w:rPr>
                <w:t>14(a)/15(d)-14(a), as adopted pursuant to Section 302 of the Sarbanes-Oxley Act of 2002.</w:t>
              </w:r>
            </w:hyperlink>
          </w:p>
        </w:tc>
        <w:tc>
          <w:tcPr>
            <w:tcW w:w="29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6700" w:type="dxa"/>
            <w:vAlign w:val="bottom"/>
            <w:tcBorders>
              <w:bottom w:val="single" w:sz="8" w:color="0000FF"/>
              <w:right w:val="single" w:sz="8" w:color="auto"/>
            </w:tcBorders>
            <w:gridSpan w:val="11"/>
          </w:tcPr>
          <w:p>
            <w:pPr>
              <w:spacing w:after="0" w:line="196"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Certification pursuant to 18 U.S.C. Section 1350, as adopted pursuant to Section 906 of the</w:t>
              </w:r>
            </w:hyperlink>
          </w:p>
        </w:tc>
        <w:tc>
          <w:tcPr>
            <w:tcW w:w="292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right w:val="single" w:sz="8" w:color="auto"/>
            </w:tcBorders>
          </w:tcPr>
          <w:p>
            <w:pPr>
              <w:spacing w:after="0"/>
              <w:rPr>
                <w:sz w:val="17"/>
                <w:szCs w:val="17"/>
                <w:color w:val="auto"/>
              </w:rPr>
            </w:pPr>
          </w:p>
        </w:tc>
        <w:tc>
          <w:tcPr>
            <w:tcW w:w="6700" w:type="dxa"/>
            <w:vAlign w:val="bottom"/>
            <w:tcBorders>
              <w:right w:val="single" w:sz="8" w:color="auto"/>
            </w:tcBorders>
            <w:gridSpan w:val="11"/>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Sarbanes-Oxley Act of 2002.</w:t>
              </w:r>
            </w:hyperlink>
          </w:p>
        </w:tc>
        <w:tc>
          <w:tcPr>
            <w:tcW w:w="2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6700" w:type="dxa"/>
            <w:vAlign w:val="bottom"/>
            <w:tcBorders>
              <w:right w:val="single" w:sz="8" w:color="auto"/>
            </w:tcBorders>
            <w:gridSpan w:val="11"/>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9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88"/>
              </w:rPr>
              <w:t>The instance document does not appear</w:t>
            </w:r>
          </w:p>
        </w:tc>
        <w:tc>
          <w:tcPr>
            <w:tcW w:w="0" w:type="dxa"/>
            <w:vAlign w:val="bottom"/>
          </w:tcPr>
          <w:p>
            <w:pPr>
              <w:spacing w:after="0"/>
              <w:rPr>
                <w:sz w:val="1"/>
                <w:szCs w:val="1"/>
                <w:color w:val="auto"/>
              </w:rPr>
            </w:pPr>
          </w:p>
        </w:tc>
      </w:tr>
      <w:tr>
        <w:trPr>
          <w:trHeight w:val="67"/>
        </w:trPr>
        <w:tc>
          <w:tcPr>
            <w:tcW w:w="1240" w:type="dxa"/>
            <w:vAlign w:val="bottom"/>
            <w:tcBorders>
              <w:left w:val="single" w:sz="8" w:color="auto"/>
              <w:right w:val="single" w:sz="8" w:color="auto"/>
            </w:tcBorders>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4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tcBorders>
              <w:right w:val="single" w:sz="8" w:color="auto"/>
            </w:tcBorders>
            <w:shd w:val="clear" w:color="auto" w:fill="CCEEFF"/>
          </w:tcPr>
          <w:p>
            <w:pPr>
              <w:spacing w:after="0"/>
              <w:rPr>
                <w:sz w:val="5"/>
                <w:szCs w:val="5"/>
                <w:color w:val="auto"/>
              </w:rPr>
            </w:pPr>
          </w:p>
        </w:tc>
        <w:tc>
          <w:tcPr>
            <w:tcW w:w="292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in the Interactive Data File because its</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XBRL tags are embedded within the</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right w:val="single" w:sz="8" w:color="auto"/>
            </w:tcBorders>
            <w:shd w:val="clear" w:color="auto" w:fill="CCEEFF"/>
          </w:tcPr>
          <w:p>
            <w:pPr>
              <w:spacing w:after="0"/>
              <w:rPr>
                <w:sz w:val="20"/>
                <w:szCs w:val="20"/>
                <w:color w:val="auto"/>
              </w:rPr>
            </w:pPr>
          </w:p>
        </w:tc>
        <w:tc>
          <w:tcPr>
            <w:tcW w:w="29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540"/>
        </w:trPr>
        <w:tc>
          <w:tcPr>
            <w:tcW w:w="124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right w:val="single" w:sz="8" w:color="auto"/>
            </w:tcBorders>
            <w:shd w:val="clear" w:color="auto" w:fill="CCEEFF"/>
          </w:tcPr>
          <w:p>
            <w:pPr>
              <w:spacing w:after="0"/>
              <w:rPr>
                <w:sz w:val="24"/>
                <w:szCs w:val="24"/>
                <w:color w:val="auto"/>
              </w:rPr>
            </w:pPr>
          </w:p>
        </w:tc>
        <w:tc>
          <w:tcPr>
            <w:tcW w:w="292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101.SCH</w:t>
            </w:r>
          </w:p>
        </w:tc>
        <w:tc>
          <w:tcPr>
            <w:tcW w:w="670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6700" w:type="dxa"/>
            <w:vAlign w:val="bottom"/>
            <w:tcBorders>
              <w:bottom w:val="single" w:sz="8" w:color="CCEEFF"/>
              <w:right w:val="single" w:sz="8" w:color="auto"/>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101.LAB</w:t>
            </w:r>
          </w:p>
        </w:tc>
        <w:tc>
          <w:tcPr>
            <w:tcW w:w="6700" w:type="dxa"/>
            <w:vAlign w:val="bottom"/>
            <w:tcBorders>
              <w:top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6700" w:type="dxa"/>
            <w:vAlign w:val="bottom"/>
            <w:tcBorders>
              <w:bottom w:val="single" w:sz="8" w:color="CCEEFF"/>
              <w:right w:val="single" w:sz="8" w:color="auto"/>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101.DEF</w:t>
            </w:r>
          </w:p>
        </w:tc>
        <w:tc>
          <w:tcPr>
            <w:tcW w:w="6700" w:type="dxa"/>
            <w:vAlign w:val="bottom"/>
            <w:tcBorders>
              <w:top w:val="single" w:sz="8" w:color="auto"/>
              <w:right w:val="single" w:sz="8" w:color="auto"/>
            </w:tcBorders>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1240" w:type="dxa"/>
            <w:vAlign w:val="bottom"/>
          </w:tcPr>
          <w:p>
            <w:pPr>
              <w:spacing w:after="0"/>
              <w:rPr>
                <w:sz w:val="24"/>
                <w:szCs w:val="24"/>
                <w:color w:val="auto"/>
              </w:rPr>
            </w:pPr>
          </w:p>
        </w:tc>
        <w:tc>
          <w:tcPr>
            <w:tcW w:w="5580" w:type="dxa"/>
            <w:vAlign w:val="bottom"/>
            <w:gridSpan w:val="3"/>
          </w:tcPr>
          <w:p>
            <w:pPr>
              <w:ind w:left="408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1013" w:right="5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4340" w:val="left"/>
          <w:tab w:leader="none" w:pos="4760" w:val="left"/>
        </w:tabs>
        <w:rPr>
          <w:sz w:val="20"/>
          <w:szCs w:val="20"/>
          <w:color w:val="auto"/>
        </w:rPr>
      </w:pPr>
      <w:r>
        <w:rPr>
          <w:rFonts w:ascii="Arial" w:cs="Arial" w:eastAsia="Arial" w:hAnsi="Arial"/>
          <w:sz w:val="18"/>
          <w:szCs w:val="18"/>
          <w:color w:val="auto"/>
        </w:rPr>
        <w:t>Dated: July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31750</wp:posOffset>
            </wp:positionV>
            <wp:extent cx="3670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Karen J. Dearing, Chief Financial Officer and Secretary</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40" w:hanging="316"/>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hanging="316"/>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right="20" w:hanging="316"/>
        <w:spacing w:after="0" w:line="308" w:lineRule="auto"/>
        <w:tabs>
          <w:tab w:leader="none" w:pos="10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40" w:hanging="316"/>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20" w:hanging="316"/>
        <w:spacing w:after="0" w:line="277" w:lineRule="auto"/>
        <w:tabs>
          <w:tab w:leader="none" w:pos="10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Dated: July 25, 2019</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420"/>
          </w:cols>
          <w:pgMar w:left="240" w:top="58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6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6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060" w:hanging="323"/>
        <w:spacing w:after="0" w:line="308" w:lineRule="auto"/>
        <w:tabs>
          <w:tab w:leader="none" w:pos="10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7"/>
          <w:szCs w:val="17"/>
          <w:color w:val="auto"/>
        </w:rPr>
      </w:pPr>
    </w:p>
    <w:p>
      <w:pPr>
        <w:jc w:val="both"/>
        <w:ind w:left="1060" w:hanging="323"/>
        <w:spacing w:after="0" w:line="264"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7"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080" w:hanging="316"/>
        <w:spacing w:after="0" w:line="277" w:lineRule="auto"/>
        <w:tabs>
          <w:tab w:leader="none" w:pos="10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tabs>
          <w:tab w:leader="none" w:pos="5360" w:val="left"/>
        </w:tabs>
        <w:rPr>
          <w:sz w:val="20"/>
          <w:szCs w:val="20"/>
          <w:color w:val="auto"/>
        </w:rPr>
      </w:pPr>
      <w:r>
        <w:rPr>
          <w:rFonts w:ascii="Arial" w:cs="Arial" w:eastAsia="Arial" w:hAnsi="Arial"/>
          <w:sz w:val="18"/>
          <w:szCs w:val="18"/>
          <w:color w:val="auto"/>
        </w:rPr>
        <w:t>Dated: July 25, 2019</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662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43,646,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920" w:type="dxa"/>
            <w:vAlign w:val="bottom"/>
          </w:tcPr>
          <w:p>
            <w:pPr>
              <w:spacing w:after="0"/>
              <w:rPr>
                <w:sz w:val="17"/>
                <w:szCs w:val="17"/>
                <w:color w:val="auto"/>
              </w:rPr>
            </w:pPr>
          </w:p>
        </w:tc>
        <w:tc>
          <w:tcPr>
            <w:tcW w:w="9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 Gary A. Shiffman</w:t>
            </w:r>
          </w:p>
        </w:tc>
        <w:tc>
          <w:tcPr>
            <w:tcW w:w="2840" w:type="dxa"/>
            <w:vAlign w:val="bottom"/>
            <w:gridSpan w:val="3"/>
          </w:tcPr>
          <w:p>
            <w:pPr>
              <w:jc w:val="center"/>
              <w:ind w:left="1250"/>
              <w:spacing w:after="0"/>
              <w:rPr>
                <w:sz w:val="20"/>
                <w:szCs w:val="20"/>
                <w:color w:val="auto"/>
              </w:rPr>
            </w:pPr>
            <w:r>
              <w:rPr>
                <w:rFonts w:ascii="Arial" w:cs="Arial" w:eastAsia="Arial" w:hAnsi="Arial"/>
                <w:sz w:val="18"/>
                <w:szCs w:val="18"/>
                <w:color w:val="auto"/>
                <w:w w:val="90"/>
              </w:rPr>
              <w:t>Dated: July 25,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 Karen J. Dearing</w:t>
            </w:r>
          </w:p>
        </w:tc>
        <w:tc>
          <w:tcPr>
            <w:tcW w:w="2840" w:type="dxa"/>
            <w:vAlign w:val="bottom"/>
            <w:gridSpan w:val="3"/>
          </w:tcPr>
          <w:p>
            <w:pPr>
              <w:jc w:val="center"/>
              <w:ind w:left="1250"/>
              <w:spacing w:after="0"/>
              <w:rPr>
                <w:sz w:val="20"/>
                <w:szCs w:val="20"/>
                <w:color w:val="auto"/>
              </w:rPr>
            </w:pPr>
            <w:r>
              <w:rPr>
                <w:rFonts w:ascii="Arial" w:cs="Arial" w:eastAsia="Arial" w:hAnsi="Arial"/>
                <w:sz w:val="18"/>
                <w:szCs w:val="18"/>
                <w:color w:val="auto"/>
                <w:w w:val="90"/>
              </w:rPr>
              <w:t>Dated: July 25, 2019</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1."/>
      <w:numFmt w:val="decimal"/>
      <w:start w:val="14"/>
    </w:lvl>
  </w:abstractNum>
  <w:abstractNum w:abstractNumId="18">
    <w:nsid w:val="8EDBDAB"/>
    <w:multiLevelType w:val="hybridMultilevel"/>
    <w:lvl w:ilvl="0">
      <w:lvlJc w:val="left"/>
      <w:lvlText w:val="%1."/>
      <w:numFmt w:val="decimal"/>
      <w:start w:val="15"/>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6"/>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6" Type="http://schemas.openxmlformats.org/officeDocument/2006/relationships/hyperlink" Target="http://www.sec.gov/Archives/edgar/data/912593/000091259319000090/0000912593-19-000090-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2019-12-28T10:18:06Z</dcterms:created>
  <dcterms:modified xsi:type="dcterms:W3CDTF">2019-12-28T10:18:06Z</dcterms:modified>
</cp:coreProperties>
</file>