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jc w:val="center"/>
        <w:ind w:left="4320" w:right="240" w:hanging="4081"/>
        <w:spacing w:after="0" w:line="282" w:lineRule="auto"/>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1540" w:hanging="222"/>
        <w:spacing w:after="0"/>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PURSUANT TO SECTION 13 OR 15(D) OF THE SECURITIES EXCHANGE ACT OF 1934</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COMMUNITIES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356" w:right="339" w:bottom="1440" w:gutter="0" w:footer="0" w:header="0"/>
        </w:sectPr>
      </w:pPr>
    </w:p>
    <w:p>
      <w:pPr>
        <w:spacing w:after="0" w:line="273" w:lineRule="exact"/>
        <w:rPr>
          <w:sz w:val="24"/>
          <w:szCs w:val="24"/>
          <w:color w:val="auto"/>
        </w:rPr>
      </w:pPr>
    </w:p>
    <w:p>
      <w:pPr>
        <w:ind w:left="168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1-12616</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38-2730780</w:t>
      </w:r>
    </w:p>
    <w:p>
      <w:pPr>
        <w:spacing w:after="0" w:line="50" w:lineRule="exact"/>
        <w:rPr>
          <w:sz w:val="24"/>
          <w:szCs w:val="24"/>
          <w:color w:val="auto"/>
        </w:rPr>
      </w:pPr>
    </w:p>
    <w:p>
      <w:pPr>
        <w:sectPr>
          <w:pgSz w:w="11900" w:h="16838" w:orient="portrait"/>
          <w:cols w:equalWidth="0" w:num="3">
            <w:col w:w="4600" w:space="720"/>
            <w:col w:w="2700" w:space="720"/>
            <w:col w:w="2500"/>
          </w:cols>
          <w:pgMar w:left="320" w:top="1356" w:right="33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51" w:lineRule="exact"/>
        <w:rPr>
          <w:sz w:val="24"/>
          <w:szCs w:val="24"/>
          <w:color w:val="auto"/>
        </w:rPr>
      </w:pPr>
    </w:p>
    <w:p>
      <w:pPr>
        <w:sectPr>
          <w:pgSz w:w="11900" w:h="16838" w:orient="portrait"/>
          <w:cols w:equalWidth="0" w:num="3">
            <w:col w:w="4000" w:space="720"/>
            <w:col w:w="2420" w:space="720"/>
            <w:col w:w="3380"/>
          </w:cols>
          <w:pgMar w:left="320" w:top="1356" w:right="339" w:bottom="1440" w:gutter="0" w:footer="0" w:header="0"/>
          <w:type w:val="continuous"/>
        </w:sectPr>
      </w:pPr>
    </w:p>
    <w:p>
      <w:pPr>
        <w:ind w:left="660"/>
        <w:spacing w:after="0"/>
        <w:tabs>
          <w:tab w:leader="none" w:pos="3180" w:val="left"/>
          <w:tab w:leader="none" w:pos="4280" w:val="left"/>
        </w:tabs>
        <w:rPr>
          <w:sz w:val="20"/>
          <w:szCs w:val="20"/>
          <w:color w:val="auto"/>
        </w:rPr>
      </w:pPr>
      <w:r>
        <w:rPr>
          <w:rFonts w:ascii="Arial" w:cs="Arial" w:eastAsia="Arial" w:hAnsi="Arial"/>
          <w:sz w:val="18"/>
          <w:szCs w:val="18"/>
          <w:b w:val="1"/>
          <w:bCs w:val="1"/>
          <w:color w:val="auto"/>
        </w:rPr>
        <w:t>27777 Franklin Rd, Suite 200,</w:t>
        <w:tab/>
        <w:t>Southfield,</w:t>
      </w:r>
      <w:r>
        <w:rPr>
          <w:sz w:val="20"/>
          <w:szCs w:val="20"/>
          <w:color w:val="auto"/>
        </w:rPr>
        <w:tab/>
      </w: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48034</w:t>
      </w:r>
    </w:p>
    <w:p>
      <w:pPr>
        <w:spacing w:after="0" w:line="49" w:lineRule="exact"/>
        <w:rPr>
          <w:sz w:val="24"/>
          <w:szCs w:val="24"/>
          <w:color w:val="auto"/>
        </w:rPr>
      </w:pPr>
    </w:p>
    <w:p>
      <w:pPr>
        <w:sectPr>
          <w:pgSz w:w="11900" w:h="16838" w:orient="portrait"/>
          <w:cols w:equalWidth="0" w:num="2">
            <w:col w:w="8220" w:space="720"/>
            <w:col w:w="2300"/>
          </w:cols>
          <w:pgMar w:left="320" w:top="1356" w:right="3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35" w:lineRule="exact"/>
        <w:rPr>
          <w:sz w:val="24"/>
          <w:szCs w:val="24"/>
          <w:color w:val="auto"/>
        </w:rPr>
      </w:pPr>
    </w:p>
    <w:p>
      <w:pPr>
        <w:sectPr>
          <w:pgSz w:w="11900" w:h="16838" w:orient="portrait"/>
          <w:cols w:equalWidth="0" w:num="2">
            <w:col w:w="8060" w:space="720"/>
            <w:col w:w="2460"/>
          </w:cols>
          <w:pgMar w:left="320" w:top="1356"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(248) 208-2500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1356" w:right="33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300" w:type="dxa"/>
        <w:tblCellMar>
          <w:top w:w="0" w:type="dxa"/>
          <w:left w:w="0" w:type="dxa"/>
          <w:bottom w:w="0" w:type="dxa"/>
          <w:right w:w="0" w:type="dxa"/>
        </w:tblCellMar>
      </w:tblPr>
      <w:tr>
        <w:trPr>
          <w:trHeight w:val="230"/>
        </w:trPr>
        <w:tc>
          <w:tcPr>
            <w:tcW w:w="42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Title of each class</w:t>
            </w:r>
          </w:p>
        </w:tc>
        <w:tc>
          <w:tcPr>
            <w:tcW w:w="23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Trading Symbol(s)</w:t>
            </w:r>
          </w:p>
        </w:tc>
        <w:tc>
          <w:tcPr>
            <w:tcW w:w="40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SUI</w:t>
            </w:r>
          </w:p>
        </w:tc>
        <w:tc>
          <w:tcPr>
            <w:tcW w:w="14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356" w:right="339" w:bottom="1440" w:gutter="0" w:footer="0" w:header="0"/>
          <w:type w:val="continuous"/>
        </w:sectPr>
      </w:pPr>
    </w:p>
    <w:p>
      <w:pPr>
        <w:spacing w:after="0" w:line="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46" w:lineRule="exact"/>
        <w:rPr>
          <w:sz w:val="24"/>
          <w:szCs w:val="24"/>
          <w:color w:val="auto"/>
        </w:rPr>
      </w:pPr>
    </w:p>
    <w:p>
      <w:pPr>
        <w:sectPr>
          <w:pgSz w:w="11900" w:h="16838" w:orient="portrait"/>
          <w:cols w:equalWidth="0" w:num="5">
            <w:col w:w="1960" w:space="500"/>
            <w:col w:w="1200" w:space="620"/>
            <w:col w:w="1520" w:space="600"/>
            <w:col w:w="1960" w:space="540"/>
            <w:col w:w="2340"/>
          </w:cols>
          <w:pgMar w:left="320" w:top="1356" w:right="339" w:bottom="1440" w:gutter="0" w:footer="0" w:header="0"/>
          <w:type w:val="continuous"/>
        </w:sectPr>
      </w:pPr>
    </w:p>
    <w:p>
      <w:pPr>
        <w:ind w:left="10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1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2260" w:space="720"/>
            <w:col w:w="1260" w:space="720"/>
            <w:col w:w="1620" w:space="720"/>
            <w:col w:w="1780" w:space="720"/>
            <w:col w:w="1440"/>
          </w:cols>
          <w:pgMar w:left="320" w:top="1356"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per share, outstanding as of October 19, 2021: 115,970,843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320" w:type="dxa"/>
            <w:vAlign w:val="bottom"/>
          </w:tcPr>
          <w:p>
            <w:pPr>
              <w:ind w:left="462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00" w:type="dxa"/>
            <w:vAlign w:val="bottom"/>
          </w:tcPr>
          <w:p>
            <w:pPr>
              <w:spacing w:after="0"/>
              <w:rPr>
                <w:sz w:val="24"/>
                <w:szCs w:val="24"/>
                <w:color w:val="auto"/>
              </w:rPr>
            </w:pPr>
          </w:p>
        </w:tc>
        <w:tc>
          <w:tcPr>
            <w:tcW w:w="10320" w:type="dxa"/>
            <w:vAlign w:val="bottom"/>
          </w:tcPr>
          <w:p>
            <w:pPr>
              <w:ind w:left="332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700" w:type="dxa"/>
            <w:vAlign w:val="bottom"/>
          </w:tcPr>
          <w:p>
            <w:pPr>
              <w:spacing w:after="0"/>
              <w:rPr>
                <w:sz w:val="16"/>
                <w:szCs w:val="16"/>
                <w:color w:val="auto"/>
              </w:rPr>
            </w:pPr>
          </w:p>
        </w:tc>
        <w:tc>
          <w:tcPr>
            <w:tcW w:w="10320" w:type="dxa"/>
            <w:vAlign w:val="bottom"/>
          </w:tcPr>
          <w:p>
            <w:pPr>
              <w:ind w:left="180"/>
              <w:spacing w:after="0" w:line="190" w:lineRule="exact"/>
              <w:rPr>
                <w:sz w:val="20"/>
                <w:szCs w:val="20"/>
                <w:color w:val="auto"/>
              </w:rPr>
            </w:pPr>
            <w:r>
              <w:rPr>
                <w:rFonts w:ascii="Arial" w:cs="Arial" w:eastAsia="Arial" w:hAnsi="Arial"/>
                <w:sz w:val="18"/>
                <w:szCs w:val="18"/>
                <w:color w:val="auto"/>
              </w:rPr>
              <w:t>Consolidated Balance Sheets as of September 30, 2021 (Unaudited) and December 31, 2020</w:t>
            </w:r>
          </w:p>
        </w:tc>
        <w:tc>
          <w:tcPr>
            <w:tcW w:w="180" w:type="dxa"/>
            <w:vAlign w:val="bottom"/>
            <w:gridSpan w:val="2"/>
          </w:tcPr>
          <w:p>
            <w:pPr>
              <w:jc w:val="right"/>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Three and Nine Months Ended September 30, 2021 and 2020 (Unaudited)</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w w:val="94"/>
              </w:rPr>
              <w:t>Consolidated Statements of Comprehensive Income for the Three and Nine Months Ended September 30, 2021 and 2020 (Unaudited)</w:t>
            </w:r>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 of Equity for the Three and Nine Months Ended September 30, 2021 and 2020 (Unaudited)</w:t>
            </w:r>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Nine Months Ended September 30, 2021 and 2020 (Unaudited)</w:t>
            </w:r>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80" w:type="dxa"/>
            <w:vAlign w:val="bottom"/>
            <w:gridSpan w:val="2"/>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1032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41</w:t>
              </w:r>
            </w:hyperlink>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1032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62</w:t>
              </w:r>
            </w:hyperlink>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1032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63</w:t>
              </w:r>
            </w:hyperlink>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260" w:type="dxa"/>
            <w:vAlign w:val="bottom"/>
          </w:tcPr>
          <w:p>
            <w:pPr>
              <w:ind w:left="3420"/>
              <w:spacing w:after="0"/>
              <w:rPr>
                <w:sz w:val="20"/>
                <w:szCs w:val="20"/>
                <w:color w:val="auto"/>
              </w:rPr>
            </w:pPr>
            <w:r>
              <w:rPr>
                <w:rFonts w:ascii="Arial" w:cs="Arial" w:eastAsia="Arial" w:hAnsi="Arial"/>
                <w:sz w:val="18"/>
                <w:szCs w:val="18"/>
                <w:b w:val="1"/>
                <w:bCs w:val="1"/>
                <w:color w:val="auto"/>
              </w:rPr>
              <w:t>PART II – OTHER INFORMATION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780" w:type="dxa"/>
            <w:vAlign w:val="bottom"/>
          </w:tcPr>
          <w:p>
            <w:pPr>
              <w:ind w:left="20"/>
              <w:spacing w:after="0"/>
              <w:rPr>
                <w:sz w:val="20"/>
                <w:szCs w:val="20"/>
                <w:color w:val="auto"/>
              </w:rPr>
            </w:pPr>
            <w:r>
              <w:rPr>
                <w:rFonts w:ascii="Arial" w:cs="Arial" w:eastAsia="Arial" w:hAnsi="Arial"/>
                <w:sz w:val="18"/>
                <w:szCs w:val="18"/>
                <w:color w:val="auto"/>
              </w:rPr>
              <w:t>Item 1.</w:t>
            </w:r>
          </w:p>
        </w:tc>
        <w:tc>
          <w:tcPr>
            <w:tcW w:w="1026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64</w:t>
              </w:r>
            </w:hyperlink>
          </w:p>
        </w:tc>
        <w:tc>
          <w:tcPr>
            <w:tcW w:w="20" w:type="dxa"/>
            <w:vAlign w:val="bottom"/>
          </w:tcPr>
          <w:p>
            <w:pPr>
              <w:spacing w:after="0"/>
              <w:rPr>
                <w:sz w:val="24"/>
                <w:szCs w:val="24"/>
                <w:color w:val="auto"/>
              </w:rPr>
            </w:pPr>
          </w:p>
        </w:tc>
      </w:tr>
      <w:tr>
        <w:trPr>
          <w:trHeight w:val="209"/>
        </w:trPr>
        <w:tc>
          <w:tcPr>
            <w:tcW w:w="780" w:type="dxa"/>
            <w:vAlign w:val="bottom"/>
          </w:tcPr>
          <w:p>
            <w:pPr>
              <w:ind w:left="20"/>
              <w:spacing w:after="0"/>
              <w:rPr>
                <w:sz w:val="20"/>
                <w:szCs w:val="20"/>
                <w:color w:val="auto"/>
              </w:rPr>
            </w:pPr>
            <w:r>
              <w:rPr>
                <w:rFonts w:ascii="Arial" w:cs="Arial" w:eastAsia="Arial" w:hAnsi="Arial"/>
                <w:sz w:val="18"/>
                <w:szCs w:val="18"/>
                <w:color w:val="auto"/>
              </w:rPr>
              <w:t>Item 1A.</w:t>
            </w:r>
          </w:p>
        </w:tc>
        <w:tc>
          <w:tcPr>
            <w:tcW w:w="1026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64</w:t>
              </w:r>
            </w:hyperlink>
          </w:p>
        </w:tc>
        <w:tc>
          <w:tcPr>
            <w:tcW w:w="20" w:type="dxa"/>
            <w:vAlign w:val="bottom"/>
          </w:tcPr>
          <w:p>
            <w:pPr>
              <w:spacing w:after="0"/>
              <w:rPr>
                <w:sz w:val="18"/>
                <w:szCs w:val="18"/>
                <w:color w:val="auto"/>
              </w:rPr>
            </w:pPr>
          </w:p>
        </w:tc>
      </w:tr>
      <w:tr>
        <w:trPr>
          <w:trHeight w:val="210"/>
        </w:trPr>
        <w:tc>
          <w:tcPr>
            <w:tcW w:w="780" w:type="dxa"/>
            <w:vAlign w:val="bottom"/>
          </w:tcPr>
          <w:p>
            <w:pPr>
              <w:ind w:left="20"/>
              <w:spacing w:after="0"/>
              <w:rPr>
                <w:sz w:val="20"/>
                <w:szCs w:val="20"/>
                <w:color w:val="auto"/>
              </w:rPr>
            </w:pPr>
            <w:r>
              <w:rPr>
                <w:rFonts w:ascii="Arial" w:cs="Arial" w:eastAsia="Arial" w:hAnsi="Arial"/>
                <w:sz w:val="18"/>
                <w:szCs w:val="18"/>
                <w:color w:val="auto"/>
              </w:rPr>
              <w:t>Item 2.</w:t>
            </w:r>
          </w:p>
        </w:tc>
        <w:tc>
          <w:tcPr>
            <w:tcW w:w="1026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65</w:t>
              </w:r>
            </w:hyperlink>
          </w:p>
        </w:tc>
        <w:tc>
          <w:tcPr>
            <w:tcW w:w="20" w:type="dxa"/>
            <w:vAlign w:val="bottom"/>
          </w:tcPr>
          <w:p>
            <w:pPr>
              <w:spacing w:after="0"/>
              <w:rPr>
                <w:sz w:val="18"/>
                <w:szCs w:val="18"/>
                <w:color w:val="auto"/>
              </w:rPr>
            </w:pPr>
          </w:p>
        </w:tc>
      </w:tr>
      <w:tr>
        <w:trPr>
          <w:trHeight w:val="209"/>
        </w:trPr>
        <w:tc>
          <w:tcPr>
            <w:tcW w:w="780" w:type="dxa"/>
            <w:vAlign w:val="bottom"/>
          </w:tcPr>
          <w:p>
            <w:pPr>
              <w:ind w:left="20"/>
              <w:spacing w:after="0"/>
              <w:rPr>
                <w:sz w:val="20"/>
                <w:szCs w:val="20"/>
                <w:color w:val="auto"/>
              </w:rPr>
            </w:pPr>
            <w:r>
              <w:rPr>
                <w:rFonts w:ascii="Arial" w:cs="Arial" w:eastAsia="Arial" w:hAnsi="Arial"/>
                <w:sz w:val="18"/>
                <w:szCs w:val="18"/>
                <w:color w:val="auto"/>
              </w:rPr>
              <w:t>Item 6.</w:t>
            </w:r>
          </w:p>
        </w:tc>
        <w:tc>
          <w:tcPr>
            <w:tcW w:w="10260" w:type="dxa"/>
            <w:vAlign w:val="bottom"/>
          </w:tcPr>
          <w:p>
            <w:pPr>
              <w:ind w:left="12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7">
              <w:r>
                <w:rPr>
                  <w:rFonts w:ascii="Arial" w:cs="Arial" w:eastAsia="Arial" w:hAnsi="Arial"/>
                  <w:sz w:val="18"/>
                  <w:szCs w:val="18"/>
                  <w:color w:val="0000FF"/>
                  <w:w w:val="79"/>
                </w:rPr>
                <w:t>66</w:t>
              </w:r>
            </w:hyperlink>
          </w:p>
        </w:tc>
        <w:tc>
          <w:tcPr>
            <w:tcW w:w="20" w:type="dxa"/>
            <w:vAlign w:val="bottom"/>
          </w:tcPr>
          <w:p>
            <w:pPr>
              <w:spacing w:after="0"/>
              <w:rPr>
                <w:sz w:val="18"/>
                <w:szCs w:val="18"/>
                <w:color w:val="auto"/>
              </w:rPr>
            </w:pPr>
          </w:p>
        </w:tc>
      </w:tr>
      <w:tr>
        <w:trPr>
          <w:trHeight w:val="209"/>
        </w:trPr>
        <w:tc>
          <w:tcPr>
            <w:tcW w:w="780" w:type="dxa"/>
            <w:vAlign w:val="bottom"/>
          </w:tcPr>
          <w:p>
            <w:pPr>
              <w:spacing w:after="0"/>
              <w:rPr>
                <w:sz w:val="18"/>
                <w:szCs w:val="18"/>
                <w:color w:val="auto"/>
              </w:rPr>
            </w:pPr>
          </w:p>
        </w:tc>
        <w:tc>
          <w:tcPr>
            <w:tcW w:w="10260" w:type="dxa"/>
            <w:vAlign w:val="bottom"/>
          </w:tcPr>
          <w:p>
            <w:pPr>
              <w:ind w:left="12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67</w:t>
              </w:r>
            </w:hyperlink>
          </w:p>
        </w:tc>
        <w:tc>
          <w:tcPr>
            <w:tcW w:w="20" w:type="dxa"/>
            <w:vAlign w:val="bottom"/>
          </w:tcPr>
          <w:p>
            <w:pPr>
              <w:spacing w:after="0"/>
              <w:rPr>
                <w:sz w:val="18"/>
                <w:szCs w:val="18"/>
                <w:color w:val="auto"/>
              </w:rPr>
            </w:pPr>
          </w:p>
        </w:tc>
      </w:tr>
      <w:tr>
        <w:trPr>
          <w:trHeight w:val="1283"/>
        </w:trPr>
        <w:tc>
          <w:tcPr>
            <w:tcW w:w="7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740" w:type="dxa"/>
            <w:vAlign w:val="bottom"/>
          </w:tcPr>
          <w:p>
            <w:pPr>
              <w:ind w:left="4340"/>
              <w:spacing w:after="0"/>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5"/>
              </w:rPr>
              <w:t>(Unaudited)</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1"/>
              </w:rPr>
              <w:t>September 30, 2021</w:t>
            </w:r>
          </w:p>
        </w:tc>
        <w:tc>
          <w:tcPr>
            <w:tcW w:w="180" w:type="dxa"/>
            <w:vAlign w:val="bottom"/>
          </w:tcPr>
          <w:p>
            <w:pPr>
              <w:spacing w:after="0"/>
              <w:rPr>
                <w:sz w:val="17"/>
                <w:szCs w:val="17"/>
                <w:color w:val="auto"/>
              </w:rPr>
            </w:pPr>
          </w:p>
        </w:tc>
        <w:tc>
          <w:tcPr>
            <w:tcW w:w="1460" w:type="dxa"/>
            <w:vAlign w:val="bottom"/>
          </w:tcPr>
          <w:p>
            <w:pPr>
              <w:jc w:val="right"/>
              <w:ind w:right="104"/>
              <w:spacing w:after="0"/>
              <w:rPr>
                <w:sz w:val="20"/>
                <w:szCs w:val="20"/>
                <w:color w:val="auto"/>
              </w:rPr>
            </w:pPr>
            <w:r>
              <w:rPr>
                <w:rFonts w:ascii="Arial" w:cs="Arial" w:eastAsia="Arial" w:hAnsi="Arial"/>
                <w:sz w:val="15"/>
                <w:szCs w:val="15"/>
                <w:b w:val="1"/>
                <w:bCs w:val="1"/>
                <w:color w:val="auto"/>
                <w:w w:val="93"/>
              </w:rPr>
              <w:t>December 31, 2020</w:t>
            </w:r>
          </w:p>
        </w:tc>
        <w:tc>
          <w:tcPr>
            <w:tcW w:w="0" w:type="dxa"/>
            <w:vAlign w:val="bottom"/>
          </w:tcPr>
          <w:p>
            <w:pPr>
              <w:spacing w:after="0"/>
              <w:rPr>
                <w:sz w:val="1"/>
                <w:szCs w:val="1"/>
                <w:color w:val="auto"/>
              </w:rPr>
            </w:pPr>
          </w:p>
        </w:tc>
      </w:tr>
      <w:tr>
        <w:trPr>
          <w:trHeight w:val="198"/>
        </w:trPr>
        <w:tc>
          <w:tcPr>
            <w:tcW w:w="7740" w:type="dxa"/>
            <w:vAlign w:val="bottom"/>
          </w:tcPr>
          <w:p>
            <w:pPr>
              <w:ind w:left="6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Land</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2,457,236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2,119,364</w:t>
            </w: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Land improvements and buildings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9,469,247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8,480,597</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Rental homes and improvements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591,367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637,603</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Furniture, fixtures and equipment</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590,829</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447,039</w:t>
            </w:r>
          </w:p>
        </w:tc>
        <w:tc>
          <w:tcPr>
            <w:tcW w:w="0" w:type="dxa"/>
            <w:vAlign w:val="bottom"/>
          </w:tcPr>
          <w:p>
            <w:pPr>
              <w:spacing w:after="0"/>
              <w:rPr>
                <w:sz w:val="1"/>
                <w:szCs w:val="1"/>
                <w:color w:val="auto"/>
              </w:rPr>
            </w:pPr>
          </w:p>
        </w:tc>
      </w:tr>
      <w:tr>
        <w:trPr>
          <w:trHeight w:val="200"/>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Investment property</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13,108,679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11,684,603</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Accumulated depreciation</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(2,232,243)</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(1,968,812)</w:t>
            </w:r>
          </w:p>
        </w:tc>
        <w:tc>
          <w:tcPr>
            <w:tcW w:w="0" w:type="dxa"/>
            <w:vAlign w:val="bottom"/>
          </w:tcPr>
          <w:p>
            <w:pPr>
              <w:spacing w:after="0"/>
              <w:rPr>
                <w:sz w:val="1"/>
                <w:szCs w:val="1"/>
                <w:color w:val="auto"/>
              </w:rPr>
            </w:pPr>
          </w:p>
        </w:tc>
      </w:tr>
      <w:tr>
        <w:trPr>
          <w:trHeight w:val="133"/>
        </w:trPr>
        <w:tc>
          <w:tcPr>
            <w:tcW w:w="7740" w:type="dxa"/>
            <w:vAlign w:val="bottom"/>
            <w:shd w:val="clear" w:color="auto" w:fill="CCEEFF"/>
          </w:tcPr>
          <w:p>
            <w:pPr>
              <w:ind w:left="260"/>
              <w:spacing w:after="0" w:line="133" w:lineRule="exact"/>
              <w:rPr>
                <w:sz w:val="20"/>
                <w:szCs w:val="20"/>
                <w:color w:val="auto"/>
              </w:rPr>
            </w:pPr>
            <w:r>
              <w:rPr>
                <w:rFonts w:ascii="Arial" w:cs="Arial" w:eastAsia="Arial" w:hAnsi="Arial"/>
                <w:sz w:val="15"/>
                <w:szCs w:val="15"/>
                <w:color w:val="auto"/>
                <w:w w:val="93"/>
              </w:rPr>
              <w:t>Investment property, net (including $567,026 and $453,236 for consolidated VIEs at September 30, 2021 and December</w:t>
            </w:r>
          </w:p>
        </w:tc>
        <w:tc>
          <w:tcPr>
            <w:tcW w:w="1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10,876,436</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9,715,791</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31, 2020; see Note 7)</w:t>
            </w:r>
          </w:p>
        </w:tc>
        <w:tc>
          <w:tcPr>
            <w:tcW w:w="18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Cash, cash equivalents and restricted cash</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85,619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92,641</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Marketable securities (see Note 14)</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160,321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124,726</w:t>
            </w: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Inventory of manufactured homes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43,708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46,643</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Notes and other receivables, net</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256,924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221,650</w:t>
            </w: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461,609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428,833</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Other intangible assets, net</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297,625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305,611</w:t>
            </w:r>
          </w:p>
        </w:tc>
        <w:tc>
          <w:tcPr>
            <w:tcW w:w="0" w:type="dxa"/>
            <w:vAlign w:val="bottom"/>
          </w:tcPr>
          <w:p>
            <w:pPr>
              <w:spacing w:after="0"/>
              <w:rPr>
                <w:sz w:val="1"/>
                <w:szCs w:val="1"/>
                <w:color w:val="auto"/>
              </w:rPr>
            </w:pPr>
          </w:p>
        </w:tc>
      </w:tr>
      <w:tr>
        <w:trPr>
          <w:trHeight w:val="148"/>
        </w:trPr>
        <w:tc>
          <w:tcPr>
            <w:tcW w:w="7740" w:type="dxa"/>
            <w:vAlign w:val="bottom"/>
          </w:tcPr>
          <w:p>
            <w:pPr>
              <w:ind w:left="260"/>
              <w:spacing w:after="0" w:line="149" w:lineRule="exact"/>
              <w:rPr>
                <w:sz w:val="20"/>
                <w:szCs w:val="20"/>
                <w:color w:val="auto"/>
              </w:rPr>
            </w:pPr>
            <w:r>
              <w:rPr>
                <w:rFonts w:ascii="Arial" w:cs="Arial" w:eastAsia="Arial" w:hAnsi="Arial"/>
                <w:sz w:val="15"/>
                <w:szCs w:val="15"/>
                <w:color w:val="auto"/>
                <w:w w:val="93"/>
              </w:rPr>
              <w:t>Other assets, net (including $28,670 and $25,072 for consolidated VIEs at September 30, 2021 and December 31, 2020;</w:t>
            </w: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401,054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270,691</w:t>
            </w:r>
          </w:p>
        </w:tc>
        <w:tc>
          <w:tcPr>
            <w:tcW w:w="0" w:type="dxa"/>
            <w:vAlign w:val="bottom"/>
          </w:tcPr>
          <w:p>
            <w:pPr>
              <w:spacing w:after="0"/>
              <w:rPr>
                <w:sz w:val="1"/>
                <w:szCs w:val="1"/>
                <w:color w:val="auto"/>
              </w:rPr>
            </w:pPr>
          </w:p>
        </w:tc>
      </w:tr>
      <w:tr>
        <w:trPr>
          <w:trHeight w:val="200"/>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see Note 7</w:t>
            </w:r>
            <w:r>
              <w:rPr>
                <w:rFonts w:ascii="Arial" w:cs="Arial" w:eastAsia="Arial" w:hAnsi="Arial"/>
                <w:sz w:val="15"/>
                <w:szCs w:val="15"/>
                <w:b w:val="1"/>
                <w:bCs w:val="1"/>
                <w:color w:val="auto"/>
              </w:rPr>
              <w:t>)</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12,583,296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11,206,586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5"/>
                <w:szCs w:val="15"/>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740" w:type="dxa"/>
            <w:vAlign w:val="bottom"/>
            <w:shd w:val="clear" w:color="auto" w:fill="CCEEFF"/>
          </w:tcPr>
          <w:p>
            <w:pPr>
              <w:ind w:left="260"/>
              <w:spacing w:after="0" w:line="149" w:lineRule="exact"/>
              <w:rPr>
                <w:sz w:val="20"/>
                <w:szCs w:val="20"/>
                <w:color w:val="auto"/>
              </w:rPr>
            </w:pPr>
            <w:r>
              <w:rPr>
                <w:rFonts w:ascii="Arial" w:cs="Arial" w:eastAsia="Arial" w:hAnsi="Arial"/>
                <w:sz w:val="15"/>
                <w:szCs w:val="15"/>
                <w:color w:val="auto"/>
                <w:w w:val="93"/>
              </w:rPr>
              <w:t>Secured debt (see Note 8) (including $49,054 and $47,706 for consolidated VIEs at September 30, 2021 and December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3,403,436</w:t>
            </w:r>
          </w:p>
        </w:tc>
        <w:tc>
          <w:tcPr>
            <w:tcW w:w="2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3,489,983</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31, 2020; see Note 7)</w:t>
            </w:r>
          </w:p>
        </w:tc>
        <w:tc>
          <w:tcPr>
            <w:tcW w:w="180" w:type="dxa"/>
            <w:vAlign w:val="bottom"/>
            <w:vMerge w:val="continue"/>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740" w:type="dxa"/>
            <w:vAlign w:val="bottom"/>
          </w:tcPr>
          <w:p>
            <w:pPr>
              <w:ind w:left="260"/>
              <w:spacing w:after="0" w:line="149" w:lineRule="exact"/>
              <w:rPr>
                <w:sz w:val="20"/>
                <w:szCs w:val="20"/>
                <w:color w:val="auto"/>
              </w:rPr>
            </w:pPr>
            <w:r>
              <w:rPr>
                <w:rFonts w:ascii="Arial" w:cs="Arial" w:eastAsia="Arial" w:hAnsi="Arial"/>
                <w:sz w:val="15"/>
                <w:szCs w:val="15"/>
                <w:color w:val="auto"/>
                <w:w w:val="92"/>
              </w:rPr>
              <w:t>Unsecured debt (see Note 8) (including $35,249 and $35,249 for consolidated VIE at September 30, 2021 and December</w:t>
            </w: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1,286,001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1,267,093</w:t>
            </w:r>
          </w:p>
        </w:tc>
        <w:tc>
          <w:tcPr>
            <w:tcW w:w="0" w:type="dxa"/>
            <w:vAlign w:val="bottom"/>
          </w:tcPr>
          <w:p>
            <w:pPr>
              <w:spacing w:after="0"/>
              <w:rPr>
                <w:sz w:val="1"/>
                <w:szCs w:val="1"/>
                <w:color w:val="auto"/>
              </w:rPr>
            </w:pPr>
          </w:p>
        </w:tc>
      </w:tr>
      <w:tr>
        <w:trPr>
          <w:trHeight w:val="198"/>
        </w:trPr>
        <w:tc>
          <w:tcPr>
            <w:tcW w:w="7740" w:type="dxa"/>
            <w:vAlign w:val="bottom"/>
          </w:tcPr>
          <w:p>
            <w:pPr>
              <w:ind w:left="220"/>
              <w:spacing w:after="0"/>
              <w:rPr>
                <w:sz w:val="20"/>
                <w:szCs w:val="20"/>
                <w:color w:val="auto"/>
              </w:rPr>
            </w:pPr>
            <w:r>
              <w:rPr>
                <w:rFonts w:ascii="Arial" w:cs="Arial" w:eastAsia="Arial" w:hAnsi="Arial"/>
                <w:sz w:val="15"/>
                <w:szCs w:val="15"/>
                <w:color w:val="auto"/>
              </w:rPr>
              <w:t>31, 2020; see Note 7)</w:t>
            </w:r>
          </w:p>
        </w:tc>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Distributions payable</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98,453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86,988</w:t>
            </w: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Advanced reservation deposits and rent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223,471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187,730</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Accrued expenses and accounts payable</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232,590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148,435</w:t>
            </w:r>
          </w:p>
        </w:tc>
        <w:tc>
          <w:tcPr>
            <w:tcW w:w="0" w:type="dxa"/>
            <w:vAlign w:val="bottom"/>
          </w:tcPr>
          <w:p>
            <w:pPr>
              <w:spacing w:after="0"/>
              <w:rPr>
                <w:sz w:val="1"/>
                <w:szCs w:val="1"/>
                <w:color w:val="auto"/>
              </w:rPr>
            </w:pPr>
          </w:p>
        </w:tc>
      </w:tr>
      <w:tr>
        <w:trPr>
          <w:trHeight w:val="149"/>
        </w:trPr>
        <w:tc>
          <w:tcPr>
            <w:tcW w:w="7740" w:type="dxa"/>
            <w:vAlign w:val="bottom"/>
          </w:tcPr>
          <w:p>
            <w:pPr>
              <w:ind w:left="260"/>
              <w:spacing w:after="0" w:line="149" w:lineRule="exact"/>
              <w:rPr>
                <w:sz w:val="20"/>
                <w:szCs w:val="20"/>
                <w:color w:val="auto"/>
              </w:rPr>
            </w:pPr>
            <w:r>
              <w:rPr>
                <w:rFonts w:ascii="Arial" w:cs="Arial" w:eastAsia="Arial" w:hAnsi="Arial"/>
                <w:sz w:val="15"/>
                <w:szCs w:val="15"/>
                <w:color w:val="auto"/>
                <w:w w:val="95"/>
              </w:rPr>
              <w:t>Other liabilities (including $22,908 and $22,221 for consolidated VIEs at September 30, 2021 and December 31, 2020;</w:t>
            </w: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244,518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134,650</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see Note 7)</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40" w:type="dxa"/>
            <w:vAlign w:val="bottom"/>
            <w:shd w:val="clear" w:color="auto" w:fill="CCEEFF"/>
          </w:tcPr>
          <w:p>
            <w:pPr>
              <w:ind w:left="520"/>
              <w:spacing w:after="0"/>
              <w:rPr>
                <w:sz w:val="20"/>
                <w:szCs w:val="20"/>
                <w:color w:val="auto"/>
              </w:rPr>
            </w:pPr>
            <w:r>
              <w:rPr>
                <w:rFonts w:ascii="Arial" w:cs="Arial" w:eastAsia="Arial" w:hAnsi="Arial"/>
                <w:sz w:val="15"/>
                <w:szCs w:val="15"/>
                <w:b w:val="1"/>
                <w:bCs w:val="1"/>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5,488,469</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5,314,879</w:t>
            </w:r>
          </w:p>
        </w:tc>
        <w:tc>
          <w:tcPr>
            <w:tcW w:w="0" w:type="dxa"/>
            <w:vAlign w:val="bottom"/>
          </w:tcPr>
          <w:p>
            <w:pPr>
              <w:spacing w:after="0"/>
              <w:rPr>
                <w:sz w:val="1"/>
                <w:szCs w:val="1"/>
                <w:color w:val="auto"/>
              </w:rPr>
            </w:pPr>
          </w:p>
        </w:tc>
      </w:tr>
      <w:tr>
        <w:trPr>
          <w:trHeight w:val="178"/>
        </w:trPr>
        <w:tc>
          <w:tcPr>
            <w:tcW w:w="7740" w:type="dxa"/>
            <w:vAlign w:val="bottom"/>
          </w:tcPr>
          <w:p>
            <w:pPr>
              <w:ind w:left="260"/>
              <w:spacing w:after="0"/>
              <w:rPr>
                <w:sz w:val="20"/>
                <w:szCs w:val="20"/>
                <w:color w:val="auto"/>
              </w:rPr>
            </w:pPr>
            <w:r>
              <w:rPr>
                <w:rFonts w:ascii="Arial" w:cs="Arial" w:eastAsia="Arial" w:hAnsi="Arial"/>
                <w:sz w:val="15"/>
                <w:szCs w:val="15"/>
                <w:color w:val="auto"/>
              </w:rPr>
              <w:t>Commitments and contingencies (see Note 15)</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260"/>
              <w:spacing w:after="0" w:line="153" w:lineRule="exact"/>
              <w:rPr>
                <w:sz w:val="20"/>
                <w:szCs w:val="20"/>
                <w:color w:val="auto"/>
              </w:rPr>
            </w:pPr>
            <w:r>
              <w:rPr>
                <w:rFonts w:ascii="Arial" w:cs="Arial" w:eastAsia="Arial" w:hAnsi="Arial"/>
                <w:sz w:val="15"/>
                <w:szCs w:val="15"/>
                <w:color w:val="auto"/>
                <w:w w:val="99"/>
              </w:rPr>
              <w:t>Temporary equity (see Note 9) (including $37,064 and $32,719 for consolidated VIEs at September 30, 2021 and</w:t>
            </w:r>
          </w:p>
        </w:tc>
        <w:tc>
          <w:tcPr>
            <w:tcW w:w="1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292,394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264,379</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December 31, 2020; see Note 7)</w:t>
            </w:r>
          </w:p>
        </w:tc>
        <w:tc>
          <w:tcPr>
            <w:tcW w:w="18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40" w:type="dxa"/>
            <w:vAlign w:val="bottom"/>
          </w:tcPr>
          <w:p>
            <w:pPr>
              <w:ind w:left="60"/>
              <w:spacing w:after="0"/>
              <w:rPr>
                <w:sz w:val="20"/>
                <w:szCs w:val="20"/>
                <w:color w:val="auto"/>
              </w:rPr>
            </w:pPr>
            <w:r>
              <w:rPr>
                <w:rFonts w:ascii="Arial" w:cs="Arial" w:eastAsia="Arial" w:hAnsi="Arial"/>
                <w:sz w:val="15"/>
                <w:szCs w:val="15"/>
                <w:b w:val="1"/>
                <w:bCs w:val="1"/>
                <w:color w:val="auto"/>
              </w:rPr>
              <w:t>Stockholders' Equity</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7740" w:type="dxa"/>
            <w:vAlign w:val="bottom"/>
            <w:shd w:val="clear" w:color="auto" w:fill="CCEEFF"/>
          </w:tcPr>
          <w:p>
            <w:pPr>
              <w:ind w:left="260"/>
              <w:spacing w:after="0" w:line="151" w:lineRule="exact"/>
              <w:rPr>
                <w:sz w:val="20"/>
                <w:szCs w:val="20"/>
                <w:color w:val="auto"/>
              </w:rPr>
            </w:pPr>
            <w:r>
              <w:rPr>
                <w:rFonts w:ascii="Arial" w:cs="Arial" w:eastAsia="Arial" w:hAnsi="Arial"/>
                <w:sz w:val="15"/>
                <w:szCs w:val="15"/>
                <w:color w:val="auto"/>
                <w:w w:val="93"/>
              </w:rPr>
              <w:t>Common stock, $0.01 par value. Authorized: 180,000 shares; Issued and outstanding: 115,959 September 30, 2021 and</w:t>
            </w:r>
          </w:p>
        </w:tc>
        <w:tc>
          <w:tcPr>
            <w:tcW w:w="1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1,160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1,076</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107,626 December 31, 2020</w:t>
            </w:r>
          </w:p>
        </w:tc>
        <w:tc>
          <w:tcPr>
            <w:tcW w:w="18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Additional paid-in capital</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8,170,322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7,087,658</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Accumulated other comprehensive income</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3,178</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Distributions in excess of accumulated earnings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(1,475,634)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(1,566,636)</w:t>
            </w:r>
          </w:p>
        </w:tc>
        <w:tc>
          <w:tcPr>
            <w:tcW w:w="0" w:type="dxa"/>
            <w:vAlign w:val="bottom"/>
          </w:tcPr>
          <w:p>
            <w:pPr>
              <w:spacing w:after="0"/>
              <w:rPr>
                <w:sz w:val="1"/>
                <w:szCs w:val="1"/>
                <w:color w:val="auto"/>
              </w:rPr>
            </w:pPr>
          </w:p>
        </w:tc>
      </w:tr>
      <w:tr>
        <w:trPr>
          <w:trHeight w:val="200"/>
        </w:trPr>
        <w:tc>
          <w:tcPr>
            <w:tcW w:w="77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Sun Communities, Inc. stockholders' equity</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6,697,600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5,525,276</w:t>
            </w: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Noncontrolling interests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Common and preferred OP units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85,756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85,968</w:t>
            </w:r>
          </w:p>
        </w:tc>
        <w:tc>
          <w:tcPr>
            <w:tcW w:w="0" w:type="dxa"/>
            <w:vAlign w:val="bottom"/>
          </w:tcPr>
          <w:p>
            <w:pPr>
              <w:spacing w:after="0"/>
              <w:rPr>
                <w:sz w:val="1"/>
                <w:szCs w:val="1"/>
                <w:color w:val="auto"/>
              </w:rPr>
            </w:pPr>
          </w:p>
        </w:tc>
      </w:tr>
      <w:tr>
        <w:trPr>
          <w:trHeight w:val="149"/>
        </w:trPr>
        <w:tc>
          <w:tcPr>
            <w:tcW w:w="7740" w:type="dxa"/>
            <w:vAlign w:val="bottom"/>
          </w:tcPr>
          <w:p>
            <w:pPr>
              <w:ind w:left="400"/>
              <w:spacing w:after="0" w:line="149" w:lineRule="exact"/>
              <w:rPr>
                <w:sz w:val="20"/>
                <w:szCs w:val="20"/>
                <w:color w:val="auto"/>
              </w:rPr>
            </w:pPr>
            <w:r>
              <w:rPr>
                <w:rFonts w:ascii="Arial" w:cs="Arial" w:eastAsia="Arial" w:hAnsi="Arial"/>
                <w:sz w:val="15"/>
                <w:szCs w:val="15"/>
                <w:color w:val="auto"/>
                <w:w w:val="93"/>
              </w:rPr>
              <w:t>Consolidated entities (including $18,527 and $16,084 for consolidated VIEs at September 30, 2021 and December 31,</w:t>
            </w: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19,077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16,084</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2020; see Note 7)</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noncontrolling interests</w:t>
            </w: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104,833</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102,052</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tcPr>
          <w:p>
            <w:pPr>
              <w:ind w:left="520"/>
              <w:spacing w:after="0"/>
              <w:rPr>
                <w:sz w:val="20"/>
                <w:szCs w:val="20"/>
                <w:color w:val="auto"/>
              </w:rPr>
            </w:pPr>
            <w:r>
              <w:rPr>
                <w:rFonts w:ascii="Arial" w:cs="Arial" w:eastAsia="Arial" w:hAnsi="Arial"/>
                <w:sz w:val="15"/>
                <w:szCs w:val="15"/>
                <w:b w:val="1"/>
                <w:bCs w:val="1"/>
                <w:color w:val="auto"/>
              </w:rPr>
              <w:t>Total Stockholders' Equity</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6,802,433</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5,627,328</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b w:val="1"/>
                <w:bCs w:val="1"/>
                <w:color w:val="auto"/>
              </w:rPr>
              <w:t>Total Liabilities, Temporary Equity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12,583,296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11,206,586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80"/>
          </w:cols>
          <w:pgMar w:left="320" w:top="36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64" w:right="29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Three Months Ended</w:t>
            </w:r>
          </w:p>
        </w:tc>
        <w:tc>
          <w:tcPr>
            <w:tcW w:w="6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Nine Months Ended</w:t>
            </w:r>
          </w:p>
        </w:tc>
        <w:tc>
          <w:tcPr>
            <w:tcW w:w="720" w:type="dxa"/>
            <w:vAlign w:val="bottom"/>
            <w:tcBorders>
              <w:bottom w:val="single" w:sz="8" w:color="auto"/>
            </w:tcBorders>
          </w:tcPr>
          <w:p>
            <w:pPr>
              <w:spacing w:after="0"/>
              <w:rPr>
                <w:sz w:val="17"/>
                <w:szCs w:val="17"/>
                <w:color w:val="auto"/>
              </w:rPr>
            </w:pPr>
          </w:p>
        </w:tc>
      </w:tr>
      <w:tr>
        <w:trPr>
          <w:trHeight w:val="196"/>
        </w:trPr>
        <w:tc>
          <w:tcPr>
            <w:tcW w:w="532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September 30, 2021</w:t>
            </w:r>
          </w:p>
        </w:tc>
        <w:tc>
          <w:tcPr>
            <w:tcW w:w="140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September 30, 2020</w:t>
            </w:r>
          </w:p>
        </w:tc>
        <w:tc>
          <w:tcPr>
            <w:tcW w:w="20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Arial" w:cs="Arial" w:eastAsia="Arial" w:hAnsi="Arial"/>
                <w:sz w:val="15"/>
                <w:szCs w:val="15"/>
                <w:b w:val="1"/>
                <w:bCs w:val="1"/>
                <w:color w:val="auto"/>
                <w:w w:val="98"/>
              </w:rPr>
              <w:t>September 30, 2021</w:t>
            </w:r>
          </w:p>
        </w:tc>
        <w:tc>
          <w:tcPr>
            <w:tcW w:w="140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September 30, 2020</w:t>
            </w:r>
          </w:p>
        </w:tc>
      </w:tr>
      <w:tr>
        <w:trPr>
          <w:trHeight w:val="196"/>
        </w:trPr>
        <w:tc>
          <w:tcPr>
            <w:tcW w:w="532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4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property</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478,625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320,488</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1,215,143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829,964</w:t>
            </w: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Home sales</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81,099</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47,662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215,146</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126,779</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Service, retail, dining and entertainment</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113,039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23,859</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270,103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36,662</w:t>
            </w: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Interest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2,690</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2,624</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8,040</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7,609</w:t>
            </w: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Brokerage commissions and other, net</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8,841</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5,881</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21,740</w:t>
            </w: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13,068</w:t>
            </w:r>
          </w:p>
        </w:tc>
      </w:tr>
      <w:tr>
        <w:trPr>
          <w:trHeight w:val="192"/>
        </w:trPr>
        <w:tc>
          <w:tcPr>
            <w:tcW w:w="5320" w:type="dxa"/>
            <w:vAlign w:val="bottom"/>
            <w:tcBorders>
              <w:bottom w:val="single" w:sz="8" w:color="CCEEFF"/>
            </w:tcBorders>
          </w:tcPr>
          <w:p>
            <w:pPr>
              <w:ind w:left="360"/>
              <w:spacing w:after="0"/>
              <w:rPr>
                <w:sz w:val="20"/>
                <w:szCs w:val="20"/>
                <w:color w:val="auto"/>
              </w:rPr>
            </w:pPr>
            <w:r>
              <w:rPr>
                <w:rFonts w:ascii="Arial" w:cs="Arial" w:eastAsia="Arial" w:hAnsi="Arial"/>
                <w:sz w:val="15"/>
                <w:szCs w:val="15"/>
                <w:b w:val="1"/>
                <w:bCs w:val="1"/>
                <w:color w:val="auto"/>
              </w:rPr>
              <w:t>Total Revenues</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684,294</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400,514</w:t>
            </w:r>
          </w:p>
        </w:tc>
        <w:tc>
          <w:tcPr>
            <w:tcW w:w="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1,730,172</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1,014,082</w:t>
            </w:r>
          </w:p>
        </w:tc>
      </w:tr>
      <w:tr>
        <w:trPr>
          <w:trHeight w:val="200"/>
        </w:trPr>
        <w:tc>
          <w:tcPr>
            <w:tcW w:w="5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Expenses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Property operating and maintenance</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158,095</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98,775</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391,609</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239,413</w:t>
            </w: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estate tax</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24,751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17,442</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70,361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52,341</w:t>
            </w: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Home costs and selling</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56,567</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39,899</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156,920</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105,989</w:t>
            </w: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Service, retail, dining and entertainment</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87,106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17,615</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211,122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31,539</w:t>
            </w: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General and administrative</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43,276</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26,834</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126,606</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78,710</w:t>
            </w: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Catastrophic event-related charges, net</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3,097</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Business combination</w:t>
            </w:r>
          </w:p>
        </w:tc>
        <w:tc>
          <w:tcPr>
            <w:tcW w:w="4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1,031</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127,091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88,499</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378,068</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259,453</w:t>
            </w: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Loss on extinguishment of debt (see Note 8)</w:t>
            </w:r>
          </w:p>
        </w:tc>
        <w:tc>
          <w:tcPr>
            <w:tcW w:w="4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8,108</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5,209</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39,026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30,214</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116,224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94,058</w:t>
            </w:r>
          </w:p>
        </w:tc>
      </w:tr>
      <w:tr>
        <w:trPr>
          <w:trHeight w:val="199"/>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Interest on mandatorily redeemable preferred OP units / equity</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1,047</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1,047</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3,124</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3,130</w:t>
            </w:r>
          </w:p>
        </w:tc>
      </w:tr>
      <w:tr>
        <w:trPr>
          <w:trHeight w:val="200"/>
        </w:trPr>
        <w:tc>
          <w:tcPr>
            <w:tcW w:w="532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Total Expenses</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537,287</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320,339</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1,466,270</w:t>
            </w: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869,896</w:t>
            </w:r>
          </w:p>
        </w:tc>
      </w:tr>
      <w:tr>
        <w:trPr>
          <w:trHeight w:val="192"/>
        </w:trPr>
        <w:tc>
          <w:tcPr>
            <w:tcW w:w="5320" w:type="dxa"/>
            <w:vAlign w:val="bottom"/>
          </w:tcPr>
          <w:p>
            <w:pPr>
              <w:ind w:left="20"/>
              <w:spacing w:after="0"/>
              <w:rPr>
                <w:sz w:val="20"/>
                <w:szCs w:val="20"/>
                <w:color w:val="auto"/>
              </w:rPr>
            </w:pPr>
            <w:r>
              <w:rPr>
                <w:rFonts w:ascii="Arial" w:cs="Arial" w:eastAsia="Arial" w:hAnsi="Arial"/>
                <w:sz w:val="15"/>
                <w:szCs w:val="15"/>
                <w:b w:val="1"/>
                <w:bCs w:val="1"/>
                <w:color w:val="auto"/>
              </w:rPr>
              <w:t>Income Before Other Items</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147,007</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80,175</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263,902</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144,186</w:t>
            </w: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 (see Note 14)</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12,072</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1,492</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43,227</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(2,636)</w:t>
            </w: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Gain / (loss) on foreign currency translation</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(7,028)</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5,023</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(7,107)</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(2,496)</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dispositions of properties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108,104</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5,595</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108,104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5,595</w:t>
            </w: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Other expense, net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(9,372)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(3,511)</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(10,041)</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(4,890)</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notes receivable (see Note 4)</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(2,311)</w:t>
            </w: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Income from nonconsolidated affiliates (see Note 6)</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962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1,204</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2,927</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1,348</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remeasurement of investment in nonconsolidated affiliates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(1,505)</w:t>
            </w: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Current tax benefit / (expense) (see Note 12)</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107</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(1,418)</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(462)</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tax benefit / (expense) (see Note 12)</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(1,155)</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(1,074)</w:t>
            </w: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804</w:t>
            </w:r>
          </w:p>
        </w:tc>
      </w:tr>
      <w:tr>
        <w:trPr>
          <w:trHeight w:val="192"/>
        </w:trPr>
        <w:tc>
          <w:tcPr>
            <w:tcW w:w="5320" w:type="dxa"/>
            <w:vAlign w:val="bottom"/>
          </w:tcPr>
          <w:p>
            <w:pPr>
              <w:ind w:left="20"/>
              <w:spacing w:after="0"/>
              <w:rPr>
                <w:sz w:val="20"/>
                <w:szCs w:val="20"/>
                <w:color w:val="auto"/>
              </w:rPr>
            </w:pPr>
            <w:r>
              <w:rPr>
                <w:rFonts w:ascii="Arial" w:cs="Arial" w:eastAsia="Arial" w:hAnsi="Arial"/>
                <w:sz w:val="15"/>
                <w:szCs w:val="15"/>
                <w:b w:val="1"/>
                <w:bCs w:val="1"/>
                <w:color w:val="auto"/>
              </w:rPr>
              <w:t>Net Income</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250,161</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89,756</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398,951</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137,633</w:t>
            </w: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Less: Preferred return to preferred OP units / equity interests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1,645</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4,799</w:t>
            </w:r>
          </w:p>
        </w:tc>
      </w:tr>
      <w:tr>
        <w:trPr>
          <w:trHeight w:val="198"/>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Less: Income attributable to noncontrolling interests</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15,290</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6,907</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22,629</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8,806</w:t>
            </w:r>
          </w:p>
        </w:tc>
      </w:tr>
      <w:tr>
        <w:trPr>
          <w:trHeight w:val="22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231,770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81,204</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367,322</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124,028</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203"/>
        </w:trPr>
        <w:tc>
          <w:tcPr>
            <w:tcW w:w="5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115,136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97,542</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111,717</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95,270</w:t>
            </w:r>
          </w:p>
        </w:tc>
      </w:tr>
      <w:tr>
        <w:trPr>
          <w:trHeight w:val="199"/>
        </w:trPr>
        <w:tc>
          <w:tcPr>
            <w:tcW w:w="532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diluted</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118,072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97,549</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114,291</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95,273</w:t>
            </w:r>
          </w:p>
        </w:tc>
      </w:tr>
      <w:tr>
        <w:trPr>
          <w:trHeight w:val="206"/>
        </w:trPr>
        <w:tc>
          <w:tcPr>
            <w:tcW w:w="5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9"/>
        </w:trPr>
        <w:tc>
          <w:tcPr>
            <w:tcW w:w="5320" w:type="dxa"/>
            <w:vAlign w:val="bottom"/>
          </w:tcPr>
          <w:p>
            <w:pPr>
              <w:ind w:left="20"/>
              <w:spacing w:after="0"/>
              <w:rPr>
                <w:sz w:val="20"/>
                <w:szCs w:val="20"/>
                <w:color w:val="auto"/>
              </w:rPr>
            </w:pPr>
            <w:r>
              <w:rPr>
                <w:rFonts w:ascii="Arial" w:cs="Arial" w:eastAsia="Arial" w:hAnsi="Arial"/>
                <w:sz w:val="15"/>
                <w:szCs w:val="15"/>
                <w:color w:val="auto"/>
              </w:rPr>
              <w:t>Basic earnings per share (see Note 13)</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17"/>
                <w:szCs w:val="17"/>
                <w:color w:val="auto"/>
              </w:rPr>
            </w:pPr>
          </w:p>
        </w:tc>
        <w:tc>
          <w:tcPr>
            <w:tcW w:w="740" w:type="dxa"/>
            <w:vAlign w:val="bottom"/>
          </w:tcPr>
          <w:p>
            <w:pPr>
              <w:jc w:val="right"/>
              <w:ind w:right="564"/>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0.83</w:t>
            </w:r>
          </w:p>
        </w:tc>
        <w:tc>
          <w:tcPr>
            <w:tcW w:w="200" w:type="dxa"/>
            <w:vAlign w:val="bottom"/>
          </w:tcPr>
          <w:p>
            <w:pPr>
              <w:spacing w:after="0"/>
              <w:rPr>
                <w:sz w:val="17"/>
                <w:szCs w:val="17"/>
                <w:color w:val="auto"/>
              </w:rPr>
            </w:pPr>
          </w:p>
        </w:tc>
        <w:tc>
          <w:tcPr>
            <w:tcW w:w="400" w:type="dxa"/>
            <w:vAlign w:val="bottom"/>
          </w:tcPr>
          <w:p>
            <w:pPr>
              <w:jc w:val="right"/>
              <w:ind w:right="22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3.27</w:t>
            </w:r>
          </w:p>
        </w:tc>
        <w:tc>
          <w:tcPr>
            <w:tcW w:w="80" w:type="dxa"/>
            <w:vAlign w:val="bottom"/>
          </w:tcPr>
          <w:p>
            <w:pPr>
              <w:spacing w:after="0"/>
              <w:rPr>
                <w:sz w:val="17"/>
                <w:szCs w:val="17"/>
                <w:color w:val="auto"/>
              </w:rPr>
            </w:pPr>
          </w:p>
        </w:tc>
        <w:tc>
          <w:tcPr>
            <w:tcW w:w="680" w:type="dxa"/>
            <w:vAlign w:val="bottom"/>
          </w:tcPr>
          <w:p>
            <w:pPr>
              <w:jc w:val="right"/>
              <w:ind w:right="50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1.29</w:t>
            </w:r>
          </w:p>
        </w:tc>
      </w:tr>
      <w:tr>
        <w:trPr>
          <w:trHeight w:val="206"/>
        </w:trPr>
        <w:tc>
          <w:tcPr>
            <w:tcW w:w="5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 earnings per share (see Note 13)</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0.83</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52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2540" w:type="dxa"/>
            <w:vAlign w:val="bottom"/>
            <w:gridSpan w:val="4"/>
          </w:tcPr>
          <w:p>
            <w:pPr>
              <w:jc w:val="right"/>
              <w:ind w:right="604"/>
              <w:spacing w:after="0"/>
              <w:rPr>
                <w:sz w:val="20"/>
                <w:szCs w:val="20"/>
                <w:color w:val="auto"/>
              </w:rPr>
            </w:pPr>
            <w:r>
              <w:rPr>
                <w:rFonts w:ascii="Arial" w:cs="Arial" w:eastAsia="Arial" w:hAnsi="Arial"/>
                <w:sz w:val="15"/>
                <w:szCs w:val="15"/>
                <w:b w:val="1"/>
                <w:bCs w:val="1"/>
                <w:color w:val="auto"/>
              </w:rPr>
              <w:t>Nine Months Ended</w:t>
            </w:r>
          </w:p>
        </w:tc>
      </w:tr>
      <w:tr>
        <w:trPr>
          <w:trHeight w:val="146"/>
        </w:trPr>
        <w:tc>
          <w:tcPr>
            <w:tcW w:w="5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60"/>
              <w:spacing w:after="0" w:line="146"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04"/>
              <w:spacing w:after="0" w:line="146" w:lineRule="exact"/>
              <w:rPr>
                <w:sz w:val="20"/>
                <w:szCs w:val="20"/>
                <w:color w:val="auto"/>
              </w:rPr>
            </w:pPr>
            <w:r>
              <w:rPr>
                <w:rFonts w:ascii="Arial" w:cs="Arial" w:eastAsia="Arial" w:hAnsi="Arial"/>
                <w:sz w:val="15"/>
                <w:szCs w:val="15"/>
                <w:b w:val="1"/>
                <w:bCs w:val="1"/>
                <w:color w:val="auto"/>
                <w:w w:val="93"/>
              </w:rPr>
              <w:t>September 30,</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40"/>
              <w:spacing w:after="0" w:line="146"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04"/>
              <w:spacing w:after="0" w:line="146" w:lineRule="exact"/>
              <w:rPr>
                <w:sz w:val="20"/>
                <w:szCs w:val="20"/>
                <w:color w:val="auto"/>
              </w:rPr>
            </w:pPr>
            <w:r>
              <w:rPr>
                <w:rFonts w:ascii="Arial" w:cs="Arial" w:eastAsia="Arial" w:hAnsi="Arial"/>
                <w:sz w:val="15"/>
                <w:szCs w:val="15"/>
                <w:b w:val="1"/>
                <w:bCs w:val="1"/>
                <w:color w:val="auto"/>
                <w:w w:val="93"/>
              </w:rPr>
              <w:t>September 30,</w:t>
            </w:r>
          </w:p>
        </w:tc>
      </w:tr>
      <w:tr>
        <w:trPr>
          <w:trHeight w:val="200"/>
        </w:trPr>
        <w:tc>
          <w:tcPr>
            <w:tcW w:w="5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2020</w:t>
            </w:r>
          </w:p>
        </w:tc>
      </w:tr>
      <w:tr>
        <w:trPr>
          <w:trHeight w:val="198"/>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250,161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89,756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398,951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137,633</w:t>
            </w:r>
          </w:p>
        </w:tc>
      </w:tr>
      <w:tr>
        <w:trPr>
          <w:trHeight w:val="198"/>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Foreign currency translation gain / (loss) adjustment</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(1,282)</w:t>
            </w:r>
          </w:p>
        </w:tc>
      </w:tr>
      <w:tr>
        <w:trPr>
          <w:trHeight w:val="200"/>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246,555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91,902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397,460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136,351</w:t>
            </w:r>
          </w:p>
        </w:tc>
      </w:tr>
      <w:tr>
        <w:trPr>
          <w:trHeight w:val="198"/>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Less: Comprehensive income attributable to noncontrolling interests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(15,129)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(22,564)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(8,419)</w:t>
            </w:r>
          </w:p>
        </w:tc>
      </w:tr>
      <w:tr>
        <w:trPr>
          <w:trHeight w:val="22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Income attributable to Sun Communities,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231,426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85,098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374,896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127,932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w w:val="93"/>
              </w:rPr>
              <w:t>Additional</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Distributions in</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5"/>
                <w:szCs w:val="15"/>
                <w:color w:val="auto"/>
              </w:rPr>
            </w:pPr>
          </w:p>
        </w:tc>
        <w:tc>
          <w:tcPr>
            <w:tcW w:w="8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Temporary</w:t>
            </w:r>
          </w:p>
        </w:tc>
        <w:tc>
          <w:tcPr>
            <w:tcW w:w="100" w:type="dxa"/>
            <w:vAlign w:val="bottom"/>
          </w:tcPr>
          <w:p>
            <w:pPr>
              <w:spacing w:after="0"/>
              <w:rPr>
                <w:sz w:val="11"/>
                <w:szCs w:val="11"/>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85"/>
              </w:rPr>
              <w:t>Excess of</w:t>
            </w: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64"/>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96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1140" w:type="dxa"/>
            <w:vAlign w:val="bottom"/>
          </w:tcPr>
          <w:p>
            <w:pPr>
              <w:jc w:val="right"/>
              <w:ind w:right="64"/>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120" w:type="dxa"/>
            <w:vAlign w:val="bottom"/>
          </w:tcPr>
          <w:p>
            <w:pPr>
              <w:spacing w:after="0"/>
              <w:rPr>
                <w:sz w:val="11"/>
                <w:szCs w:val="11"/>
                <w:color w:val="auto"/>
              </w:rPr>
            </w:pPr>
          </w:p>
        </w:tc>
        <w:tc>
          <w:tcPr>
            <w:tcW w:w="80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680" w:type="dxa"/>
            <w:vAlign w:val="bottom"/>
          </w:tcPr>
          <w:p>
            <w:pPr>
              <w:jc w:val="right"/>
              <w:ind w:right="124"/>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800" w:type="dxa"/>
            <w:vAlign w:val="bottom"/>
          </w:tcPr>
          <w:p>
            <w:pPr>
              <w:jc w:val="right"/>
              <w:ind w:right="164"/>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96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140" w:type="dxa"/>
            <w:vAlign w:val="bottom"/>
          </w:tcPr>
          <w:p>
            <w:pPr>
              <w:jc w:val="right"/>
              <w:ind w:right="324"/>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80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760" w:type="dxa"/>
            <w:vAlign w:val="bottom"/>
          </w:tcPr>
          <w:p>
            <w:pPr>
              <w:jc w:val="right"/>
              <w:ind w:right="18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264,379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7,087,658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(1,566,636)</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3,178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102,052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5,627,328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5,891,707</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5"/>
                <w:szCs w:val="15"/>
                <w:color w:val="auto"/>
              </w:rPr>
              <w:t>Issuance of common stock and common OP</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42</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522,222</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522,264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522,264</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00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Share-based compensation - amortization and</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7,118</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7,180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7,180</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855</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895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895</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 (loss)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27,647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29,509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27,941</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(92,823)</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(3,260)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(96,083)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(97,887)</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w:t>
            </w:r>
          </w:p>
        </w:tc>
        <w:tc>
          <w:tcPr>
            <w:tcW w:w="0" w:type="dxa"/>
            <w:vAlign w:val="bottom"/>
          </w:tcPr>
          <w:p>
            <w:pPr>
              <w:spacing w:after="0"/>
              <w:rPr>
                <w:sz w:val="1"/>
                <w:szCs w:val="1"/>
                <w:color w:val="auto"/>
              </w:rPr>
            </w:pP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b w:val="1"/>
                <w:bCs w:val="1"/>
                <w:color w:val="auto"/>
              </w:rPr>
              <w:t>Balance at March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261,059</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7,618,128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(1,631,044)</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4,033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99,403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6,091,638</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6,352,697</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Issuance of common stock and common OP</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537,557</w:t>
            </w: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537,597</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537,597</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(297)</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5"/>
                <w:szCs w:val="15"/>
                <w:color w:val="auto"/>
                <w:w w:val="96"/>
              </w:rPr>
              <w:t>Share-based compensation - amortization and</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7,099</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7,173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7,173</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Series J preferred OP units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24,000</w:t>
            </w:r>
          </w:p>
        </w:tc>
        <w:tc>
          <w:tcPr>
            <w:tcW w:w="0" w:type="dxa"/>
            <w:vAlign w:val="bottom"/>
          </w:tcPr>
          <w:p>
            <w:pPr>
              <w:spacing w:after="0"/>
              <w:rPr>
                <w:sz w:val="1"/>
                <w:szCs w:val="1"/>
                <w:color w:val="auto"/>
              </w:rPr>
            </w:pPr>
          </w:p>
        </w:tc>
      </w:tr>
      <w:tr>
        <w:trPr>
          <w:trHeight w:val="199"/>
        </w:trPr>
        <w:tc>
          <w:tcPr>
            <w:tcW w:w="3000" w:type="dxa"/>
            <w:vAlign w:val="bottom"/>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1,164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56</w:t>
            </w: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1,220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1,220</w:t>
            </w:r>
          </w:p>
        </w:tc>
        <w:tc>
          <w:tcPr>
            <w:tcW w:w="0" w:type="dxa"/>
            <w:vAlign w:val="bottom"/>
          </w:tcPr>
          <w:p>
            <w:pPr>
              <w:spacing w:after="0"/>
              <w:rPr>
                <w:sz w:val="1"/>
                <w:szCs w:val="1"/>
                <w:color w:val="auto"/>
              </w:rPr>
            </w:pPr>
          </w:p>
        </w:tc>
      </w:tr>
      <w:tr>
        <w:trPr>
          <w:trHeight w:val="206"/>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113,804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118,401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120,849</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(96,188)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(3,143)</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(99,331)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(101,288)</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w:t>
            </w:r>
          </w:p>
        </w:tc>
        <w:tc>
          <w:tcPr>
            <w:tcW w:w="0" w:type="dxa"/>
            <w:vAlign w:val="bottom"/>
          </w:tcPr>
          <w:p>
            <w:pPr>
              <w:spacing w:after="0"/>
              <w:rPr>
                <w:sz w:val="1"/>
                <w:szCs w:val="1"/>
                <w:color w:val="auto"/>
              </w:rPr>
            </w:pP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b w:val="1"/>
                <w:bCs w:val="1"/>
                <w:color w:val="auto"/>
              </w:rPr>
              <w:t>Balance at June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285,603</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1,159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8,163,095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(1,614,243)</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5,197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100,616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6,655,824</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6,941,427</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Issuance of common stock and common OP</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(813)</w:t>
            </w: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(813)</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(813)</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1,336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(1,337)</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interest in consolidated entities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3"/>
        </w:trPr>
        <w:tc>
          <w:tcPr>
            <w:tcW w:w="300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Share-based compensation - amortization and</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6,704</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6,781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6,781</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(3,445)</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(3,606)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(3,606)</w:t>
            </w:r>
          </w:p>
        </w:tc>
        <w:tc>
          <w:tcPr>
            <w:tcW w:w="0" w:type="dxa"/>
            <w:vAlign w:val="bottom"/>
          </w:tcPr>
          <w:p>
            <w:pPr>
              <w:spacing w:after="0"/>
              <w:rPr>
                <w:sz w:val="1"/>
                <w:szCs w:val="1"/>
                <w:color w:val="auto"/>
              </w:rPr>
            </w:pPr>
          </w:p>
        </w:tc>
      </w:tr>
      <w:tr>
        <w:trPr>
          <w:trHeight w:val="206"/>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234,871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8,267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243,138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250,161</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(96,246)</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(3,101)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(99,347)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(101,385)</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b w:val="1"/>
                <w:bCs w:val="1"/>
                <w:color w:val="auto"/>
              </w:rPr>
              <w:t>Balance at September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292,394</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1,160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8,170,322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(1,475,634)</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1,752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104,833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6,802,433</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7,094,827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w w:val="93"/>
              </w:rPr>
              <w:t>Additional</w:t>
            </w:r>
          </w:p>
        </w:tc>
        <w:tc>
          <w:tcPr>
            <w:tcW w:w="1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Distributions in</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1"/>
                <w:szCs w:val="11"/>
                <w:color w:val="auto"/>
              </w:rPr>
            </w:pPr>
          </w:p>
        </w:tc>
        <w:tc>
          <w:tcPr>
            <w:tcW w:w="8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Temporary</w:t>
            </w:r>
          </w:p>
        </w:tc>
        <w:tc>
          <w:tcPr>
            <w:tcW w:w="100" w:type="dxa"/>
            <w:vAlign w:val="bottom"/>
          </w:tcPr>
          <w:p>
            <w:pPr>
              <w:spacing w:after="0"/>
              <w:rPr>
                <w:sz w:val="11"/>
                <w:szCs w:val="11"/>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85"/>
              </w:rPr>
              <w:t>Excess of</w:t>
            </w: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64"/>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96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1140" w:type="dxa"/>
            <w:vAlign w:val="bottom"/>
          </w:tcPr>
          <w:p>
            <w:pPr>
              <w:jc w:val="right"/>
              <w:ind w:right="64"/>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120" w:type="dxa"/>
            <w:vAlign w:val="bottom"/>
          </w:tcPr>
          <w:p>
            <w:pPr>
              <w:spacing w:after="0"/>
              <w:rPr>
                <w:sz w:val="11"/>
                <w:szCs w:val="11"/>
                <w:color w:val="auto"/>
              </w:rPr>
            </w:pPr>
          </w:p>
        </w:tc>
        <w:tc>
          <w:tcPr>
            <w:tcW w:w="80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920" w:type="dxa"/>
            <w:vAlign w:val="bottom"/>
            <w:gridSpan w:val="2"/>
            <w:vMerge w:val="restart"/>
          </w:tcPr>
          <w:p>
            <w:pPr>
              <w:jc w:val="right"/>
              <w:ind w:right="4"/>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680" w:type="dxa"/>
            <w:vAlign w:val="bottom"/>
          </w:tcPr>
          <w:p>
            <w:pPr>
              <w:jc w:val="right"/>
              <w:ind w:right="124"/>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800" w:type="dxa"/>
            <w:vAlign w:val="bottom"/>
          </w:tcPr>
          <w:p>
            <w:pPr>
              <w:jc w:val="right"/>
              <w:ind w:right="164"/>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96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140" w:type="dxa"/>
            <w:vAlign w:val="bottom"/>
          </w:tcPr>
          <w:p>
            <w:pPr>
              <w:jc w:val="right"/>
              <w:ind w:right="404"/>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80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78,004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5,213,264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(1,393,141)</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56,228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3,875,952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3,953,956</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5"/>
                <w:szCs w:val="15"/>
                <w:color w:val="auto"/>
              </w:rPr>
              <w:t>Issuance of common stock and common OP</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(7,141)</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(7,140)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(7,140)</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(85)</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53"/>
        </w:trPr>
        <w:tc>
          <w:tcPr>
            <w:tcW w:w="300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Share-based compensation - amortization and</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4,928</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5,021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5,021</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Issuance of Series E preferred OP units</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8,819</w:t>
            </w: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9,000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9,000</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5"/>
                <w:szCs w:val="15"/>
                <w:color w:val="auto"/>
                <w:w w:val="94"/>
              </w:rPr>
              <w:t>Remeasurement of notes receivable and equity</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1,953</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1,953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1,953</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method investment</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 (loss)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(14,514)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(14,283)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(15,478)</w:t>
            </w:r>
          </w:p>
        </w:tc>
        <w:tc>
          <w:tcPr>
            <w:tcW w:w="0" w:type="dxa"/>
            <w:vAlign w:val="bottom"/>
          </w:tcPr>
          <w:p>
            <w:pPr>
              <w:spacing w:after="0"/>
              <w:rPr>
                <w:sz w:val="1"/>
                <w:szCs w:val="1"/>
                <w:color w:val="auto"/>
              </w:rPr>
            </w:pPr>
          </w:p>
        </w:tc>
      </w:tr>
      <w:tr>
        <w:trPr>
          <w:trHeight w:val="198"/>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(73,730)</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(2,918)</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(76,648)</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(77,105)</w:t>
            </w:r>
          </w:p>
        </w:tc>
        <w:tc>
          <w:tcPr>
            <w:tcW w:w="0" w:type="dxa"/>
            <w:vAlign w:val="bottom"/>
          </w:tcPr>
          <w:p>
            <w:pPr>
              <w:spacing w:after="0"/>
              <w:rPr>
                <w:sz w:val="1"/>
                <w:szCs w:val="1"/>
                <w:color w:val="auto"/>
              </w:rPr>
            </w:pPr>
          </w:p>
        </w:tc>
      </w:tr>
      <w:tr>
        <w:trPr>
          <w:trHeight w:val="225"/>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76,450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5,211,678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(1,479,424)</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61,608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3,786,470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3,862,920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line="136" w:lineRule="exact"/>
              <w:rPr>
                <w:sz w:val="20"/>
                <w:szCs w:val="20"/>
                <w:color w:val="auto"/>
              </w:rPr>
            </w:pPr>
            <w:r>
              <w:rPr>
                <w:rFonts w:ascii="Arial" w:cs="Arial" w:eastAsia="Arial" w:hAnsi="Arial"/>
                <w:sz w:val="15"/>
                <w:szCs w:val="15"/>
                <w:color w:val="auto"/>
              </w:rPr>
              <w:t>Issuance of common stock and common OP</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49</w:t>
            </w:r>
          </w:p>
        </w:tc>
        <w:tc>
          <w:tcPr>
            <w:tcW w:w="14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628,506</w:t>
            </w:r>
          </w:p>
        </w:tc>
        <w:tc>
          <w:tcPr>
            <w:tcW w:w="12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8"/>
                <w:szCs w:val="8"/>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10,114</w:t>
            </w:r>
          </w:p>
        </w:tc>
        <w:tc>
          <w:tcPr>
            <w:tcW w:w="120" w:type="dxa"/>
            <w:vAlign w:val="bottom"/>
          </w:tcPr>
          <w:p>
            <w:pPr>
              <w:spacing w:after="0"/>
              <w:rPr>
                <w:sz w:val="8"/>
                <w:szCs w:val="8"/>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638,669</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638,669</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(708)</w:t>
            </w:r>
          </w:p>
        </w:tc>
        <w:tc>
          <w:tcPr>
            <w:tcW w:w="0" w:type="dxa"/>
            <w:vAlign w:val="bottom"/>
          </w:tcPr>
          <w:p>
            <w:pPr>
              <w:spacing w:after="0"/>
              <w:rPr>
                <w:sz w:val="1"/>
                <w:szCs w:val="1"/>
                <w:color w:val="auto"/>
              </w:rPr>
            </w:pPr>
          </w:p>
        </w:tc>
      </w:tr>
      <w:tr>
        <w:trPr>
          <w:trHeight w:val="153"/>
        </w:trPr>
        <w:tc>
          <w:tcPr>
            <w:tcW w:w="300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Share-based compensation - amortization and</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7,284</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7,376</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7,376</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Issuance of Series F preferred OP units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8,965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8,965</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3,872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3,872</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Net income / (loss)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60,492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3,163</w:t>
            </w: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63,655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63,355</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(77,635)</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(2,971)</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(80,606)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(81,098)</w:t>
            </w:r>
          </w:p>
        </w:tc>
        <w:tc>
          <w:tcPr>
            <w:tcW w:w="0" w:type="dxa"/>
            <w:vAlign w:val="bottom"/>
          </w:tcPr>
          <w:p>
            <w:pPr>
              <w:spacing w:after="0"/>
              <w:rPr>
                <w:sz w:val="1"/>
                <w:szCs w:val="1"/>
                <w:color w:val="auto"/>
              </w:rPr>
            </w:pP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b w:val="1"/>
                <w:bCs w:val="1"/>
                <w:color w:val="auto"/>
              </w:rPr>
              <w:t>Balance at June 30,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83,982</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5,847,598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(1,496,542)</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4,419,369</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4,503,351</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Issuance of common stock and common OP</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(1,622)</w:t>
            </w: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(1,622)</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(1,622)</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(216)</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interest consolidated entities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5"/>
                <w:szCs w:val="15"/>
                <w:color w:val="auto"/>
                <w:w w:val="96"/>
              </w:rPr>
              <w:t>Share-based compensation - amortization and</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5,188</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5,251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5,251</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Series G preferred OP units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26,071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26,071</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2,249</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(103)</w:t>
            </w: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2,146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2,146</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82,849</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86,798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89,756</w:t>
            </w:r>
          </w:p>
        </w:tc>
        <w:tc>
          <w:tcPr>
            <w:tcW w:w="0" w:type="dxa"/>
            <w:vAlign w:val="bottom"/>
          </w:tcPr>
          <w:p>
            <w:pPr>
              <w:spacing w:after="0"/>
              <w:rPr>
                <w:sz w:val="1"/>
                <w:szCs w:val="1"/>
                <w:color w:val="auto"/>
              </w:rPr>
            </w:pPr>
          </w:p>
        </w:tc>
      </w:tr>
      <w:tr>
        <w:trPr>
          <w:trHeight w:val="198"/>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(77,641)</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(2,988)</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(80,629)</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(81,158)</w:t>
            </w:r>
          </w:p>
        </w:tc>
        <w:tc>
          <w:tcPr>
            <w:tcW w:w="0" w:type="dxa"/>
            <w:vAlign w:val="bottom"/>
          </w:tcPr>
          <w:p>
            <w:pPr>
              <w:spacing w:after="0"/>
              <w:rPr>
                <w:sz w:val="1"/>
                <w:szCs w:val="1"/>
                <w:color w:val="auto"/>
              </w:rPr>
            </w:pPr>
          </w:p>
        </w:tc>
      </w:tr>
      <w:tr>
        <w:trPr>
          <w:trHeight w:val="225"/>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September 30,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112,549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5,851,380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(1,491,338)</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72,447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4,431,246</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4,543,795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984"/>
              <w:spacing w:after="0"/>
              <w:rPr>
                <w:sz w:val="20"/>
                <w:szCs w:val="20"/>
                <w:color w:val="auto"/>
              </w:rPr>
            </w:pPr>
            <w:r>
              <w:rPr>
                <w:rFonts w:ascii="Arial" w:cs="Arial" w:eastAsia="Arial" w:hAnsi="Arial"/>
                <w:sz w:val="15"/>
                <w:szCs w:val="15"/>
                <w:b w:val="1"/>
                <w:bCs w:val="1"/>
                <w:color w:val="auto"/>
              </w:rPr>
              <w:t>Nine Months Ended</w:t>
            </w:r>
          </w:p>
        </w:tc>
      </w:tr>
      <w:tr>
        <w:trPr>
          <w:trHeight w:val="196"/>
        </w:trPr>
        <w:tc>
          <w:tcPr>
            <w:tcW w:w="7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Pr>
          <w:p>
            <w:pPr>
              <w:spacing w:after="0"/>
              <w:rPr>
                <w:sz w:val="17"/>
                <w:szCs w:val="17"/>
                <w:color w:val="auto"/>
              </w:rPr>
            </w:pPr>
          </w:p>
        </w:tc>
        <w:tc>
          <w:tcPr>
            <w:tcW w:w="1480" w:type="dxa"/>
            <w:vAlign w:val="bottom"/>
          </w:tcPr>
          <w:p>
            <w:pPr>
              <w:jc w:val="right"/>
              <w:ind w:right="84"/>
              <w:spacing w:after="0"/>
              <w:rPr>
                <w:sz w:val="20"/>
                <w:szCs w:val="20"/>
                <w:color w:val="auto"/>
              </w:rPr>
            </w:pPr>
            <w:r>
              <w:rPr>
                <w:rFonts w:ascii="Arial" w:cs="Arial" w:eastAsia="Arial" w:hAnsi="Arial"/>
                <w:sz w:val="15"/>
                <w:szCs w:val="15"/>
                <w:b w:val="1"/>
                <w:bCs w:val="1"/>
                <w:color w:val="auto"/>
                <w:w w:val="92"/>
              </w:rPr>
              <w:t>September 30, 2020</w:t>
            </w:r>
          </w:p>
        </w:tc>
      </w:tr>
      <w:tr>
        <w:trPr>
          <w:trHeight w:val="196"/>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06"/>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Net Cash Provided By Operating Activities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656,010</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464,458</w:t>
            </w:r>
          </w:p>
        </w:tc>
      </w:tr>
      <w:tr>
        <w:trPr>
          <w:trHeight w:val="192"/>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Investment in properties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(476,536)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(401,976)</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Acquisitions of properties, net of cash acquired</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(1,099,753)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(256,359)</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disposition of assets and depreciated homes, net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80,765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37,389</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Proceeds from disposition of properties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162,077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12,612</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Issuance of notes and other receivables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(17,114)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(35,188)</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Repayments of notes and other receivables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4,091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2,713</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Investments in nonconsolidated affiliates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(27,398)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(33,390)</w:t>
            </w:r>
          </w:p>
        </w:tc>
      </w:tr>
      <w:tr>
        <w:trPr>
          <w:trHeight w:val="198"/>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Distributions from nonconsolidated affiliates</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10,716</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8,491</w:t>
            </w:r>
          </w:p>
        </w:tc>
      </w:tr>
      <w:tr>
        <w:trPr>
          <w:trHeight w:val="200"/>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Net Cash Used For Investing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(1,363,152)</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(665,708)</w:t>
            </w:r>
          </w:p>
        </w:tc>
      </w:tr>
      <w:tr>
        <w:trPr>
          <w:trHeight w:val="192"/>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Issuance of common stock, OP units and preferred OP units, net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1,059,048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619,793</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Borrowings on lines of credit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2,405,240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1,221,980</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on lines of credit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(3,014,367)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(1,318,986)</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Proceeds from issuance of debt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598,990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230,000</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Contributions from noncontrolling interest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Payments on debt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(49,862)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(229,742)</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Fees paid in connection with extinguishment of debt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(6,226)</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Distributions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(289,112)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(231,500)</w:t>
            </w:r>
          </w:p>
        </w:tc>
      </w:tr>
      <w:tr>
        <w:trPr>
          <w:trHeight w:val="206"/>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for deferred financing costs</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(10,961)</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(3,322)</w:t>
            </w:r>
          </w:p>
        </w:tc>
      </w:tr>
      <w:tr>
        <w:trPr>
          <w:trHeight w:val="192"/>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b w:val="1"/>
                <w:bCs w:val="1"/>
                <w:color w:val="auto"/>
              </w:rPr>
              <w:t>Net Cash Provided By Financing Activities</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700,389</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281,997</w:t>
            </w:r>
          </w:p>
        </w:tc>
      </w:tr>
      <w:tr>
        <w:trPr>
          <w:trHeight w:val="200"/>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r>
      <w:tr>
        <w:trPr>
          <w:trHeight w:val="192"/>
        </w:trPr>
        <w:tc>
          <w:tcPr>
            <w:tcW w:w="7800" w:type="dxa"/>
            <w:vAlign w:val="bottom"/>
          </w:tcPr>
          <w:p>
            <w:pPr>
              <w:ind w:left="20"/>
              <w:spacing w:after="0"/>
              <w:rPr>
                <w:sz w:val="20"/>
                <w:szCs w:val="20"/>
                <w:color w:val="auto"/>
              </w:rPr>
            </w:pPr>
            <w:r>
              <w:rPr>
                <w:rFonts w:ascii="Arial" w:cs="Arial" w:eastAsia="Arial" w:hAnsi="Arial"/>
                <w:sz w:val="15"/>
                <w:szCs w:val="15"/>
                <w:color w:val="auto"/>
              </w:rPr>
              <w:t>Net change in cash, cash equivalents and restricted cash</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(7,022)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80,699</w:t>
            </w:r>
          </w:p>
        </w:tc>
      </w:tr>
      <w:tr>
        <w:trPr>
          <w:trHeight w:val="203"/>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92,641</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34,830</w:t>
            </w:r>
          </w:p>
        </w:tc>
      </w:tr>
      <w:tr>
        <w:trPr>
          <w:trHeight w:val="200"/>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Cash, Cash Equivalents and Restricted Cash,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85,619</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115,529</w:t>
            </w:r>
          </w:p>
        </w:tc>
      </w:tr>
      <w:tr>
        <w:trPr>
          <w:trHeight w:val="20"/>
        </w:trPr>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984"/>
              <w:spacing w:after="0"/>
              <w:rPr>
                <w:sz w:val="20"/>
                <w:szCs w:val="20"/>
                <w:color w:val="auto"/>
              </w:rPr>
            </w:pPr>
            <w:r>
              <w:rPr>
                <w:rFonts w:ascii="Arial" w:cs="Arial" w:eastAsia="Arial" w:hAnsi="Arial"/>
                <w:sz w:val="15"/>
                <w:szCs w:val="15"/>
                <w:b w:val="1"/>
                <w:bCs w:val="1"/>
                <w:color w:val="auto"/>
              </w:rPr>
              <w:t>Nine Months Ended</w:t>
            </w:r>
          </w:p>
        </w:tc>
      </w:tr>
      <w:tr>
        <w:trPr>
          <w:trHeight w:val="196"/>
        </w:trPr>
        <w:tc>
          <w:tcPr>
            <w:tcW w:w="7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Pr>
          <w:p>
            <w:pPr>
              <w:spacing w:after="0"/>
              <w:rPr>
                <w:sz w:val="17"/>
                <w:szCs w:val="17"/>
                <w:color w:val="auto"/>
              </w:rPr>
            </w:pPr>
          </w:p>
        </w:tc>
        <w:tc>
          <w:tcPr>
            <w:tcW w:w="1480" w:type="dxa"/>
            <w:vAlign w:val="bottom"/>
          </w:tcPr>
          <w:p>
            <w:pPr>
              <w:jc w:val="right"/>
              <w:ind w:right="84"/>
              <w:spacing w:after="0"/>
              <w:rPr>
                <w:sz w:val="20"/>
                <w:szCs w:val="20"/>
                <w:color w:val="auto"/>
              </w:rPr>
            </w:pPr>
            <w:r>
              <w:rPr>
                <w:rFonts w:ascii="Arial" w:cs="Arial" w:eastAsia="Arial" w:hAnsi="Arial"/>
                <w:sz w:val="15"/>
                <w:szCs w:val="15"/>
                <w:b w:val="1"/>
                <w:bCs w:val="1"/>
                <w:color w:val="auto"/>
                <w:w w:val="92"/>
              </w:rPr>
              <w:t>September 30, 2020</w:t>
            </w:r>
          </w:p>
        </w:tc>
      </w:tr>
      <w:tr>
        <w:trPr>
          <w:trHeight w:val="196"/>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Supplemental Information</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interest (net of capitalized interest of $3,471 and $7,169 respectively)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113,313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100,047</w:t>
            </w: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Cash paid for interest on mandatorily redeemable debt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3,124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3,130</w:t>
            </w: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w:t>
            </w:r>
          </w:p>
        </w:tc>
      </w:tr>
      <w:tr>
        <w:trPr>
          <w:trHeight w:val="200"/>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distributions declared and outstanding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11,438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7,861</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Conversion of common and preferred OP units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2,784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793</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Asset held for sale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Contingent consideration liability related to prior acquisitions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15,332</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Noncash investing and financing activities at the date of acquisition</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9"/>
        </w:trPr>
        <w:tc>
          <w:tcPr>
            <w:tcW w:w="7800" w:type="dxa"/>
            <w:vAlign w:val="bottom"/>
          </w:tcPr>
          <w:p>
            <w:pPr>
              <w:ind w:left="220"/>
              <w:spacing w:after="0"/>
              <w:rPr>
                <w:sz w:val="20"/>
                <w:szCs w:val="20"/>
                <w:color w:val="auto"/>
              </w:rPr>
            </w:pPr>
            <w:r>
              <w:rPr>
                <w:rFonts w:ascii="Arial" w:cs="Arial" w:eastAsia="Arial" w:hAnsi="Arial"/>
                <w:sz w:val="15"/>
                <w:szCs w:val="15"/>
                <w:color w:val="auto"/>
              </w:rPr>
              <w:t>Acquisitions - Common stock and OP units issued</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10,114</w:t>
            </w:r>
          </w:p>
        </w:tc>
      </w:tr>
      <w:tr>
        <w:trPr>
          <w:trHeight w:val="206"/>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Series E preferred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9,000</w:t>
            </w:r>
          </w:p>
        </w:tc>
      </w:tr>
      <w:tr>
        <w:trPr>
          <w:trHeight w:val="199"/>
        </w:trPr>
        <w:tc>
          <w:tcPr>
            <w:tcW w:w="7800" w:type="dxa"/>
            <w:vAlign w:val="bottom"/>
          </w:tcPr>
          <w:p>
            <w:pPr>
              <w:ind w:left="220"/>
              <w:spacing w:after="0"/>
              <w:rPr>
                <w:sz w:val="20"/>
                <w:szCs w:val="20"/>
                <w:color w:val="auto"/>
              </w:rPr>
            </w:pPr>
            <w:r>
              <w:rPr>
                <w:rFonts w:ascii="Arial" w:cs="Arial" w:eastAsia="Arial" w:hAnsi="Arial"/>
                <w:sz w:val="15"/>
                <w:szCs w:val="15"/>
                <w:color w:val="auto"/>
              </w:rPr>
              <w:t>Acquisitions - Series F preferred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9,000</w:t>
            </w:r>
          </w:p>
        </w:tc>
      </w:tr>
      <w:tr>
        <w:trPr>
          <w:trHeight w:val="206"/>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Series G preferred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26,071</w:t>
            </w:r>
          </w:p>
        </w:tc>
      </w:tr>
      <w:tr>
        <w:trPr>
          <w:trHeight w:val="195"/>
        </w:trPr>
        <w:tc>
          <w:tcPr>
            <w:tcW w:w="7800" w:type="dxa"/>
            <w:vAlign w:val="bottom"/>
          </w:tcPr>
          <w:p>
            <w:pPr>
              <w:ind w:left="220"/>
              <w:spacing w:after="0"/>
              <w:rPr>
                <w:sz w:val="20"/>
                <w:szCs w:val="20"/>
                <w:color w:val="auto"/>
              </w:rPr>
            </w:pPr>
            <w:r>
              <w:rPr>
                <w:rFonts w:ascii="Arial" w:cs="Arial" w:eastAsia="Arial" w:hAnsi="Arial"/>
                <w:sz w:val="15"/>
                <w:szCs w:val="15"/>
                <w:color w:val="auto"/>
              </w:rPr>
              <w:t>Acquisitions - Series J preferred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24,000</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0"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Sun Communities, Inc., a Maryland corporation, and all wholly-owned or majority-owned and controlled subsidiaries, including Sun Communities Operating Limited Partnership (the "Operating Partnership"), Sun Home Services, Inc. ("SHS") and Safe Harbor Marinas, LLC ("Safe Harbor") are referred to herein as the "Company," "us," "we," and "our."</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intercompany transactions have been eliminated in consolidation.</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1, 2021, we changed our organizational structure from a two-segment to a three-segment structure as a result of the recent acquisition of Safe Harbor and its internal organization. The new structure reflects how the chief operating decision maker manages the business, makes operating decisions, allocates resources and evaluates operating performance. Beginning with the three months ended March 31, 2021, we report our financial results consistent with our newly realigned operating segments. All prior period amounts are recast to conform to the way we internally manage our business and monitor segment performance. Certain reclassifications have been made to the prior period financial statements and related notes in order to conform to the current period presentation. The most significant changes were the combining of rental home revenue with real property revenue, the combining of rental home operating and maintenance expenses with property operating expenses, and the combining of home selling expenses with cost of home sales. Vacation rental home rent has been reclassified from ancillary income into real property. In addition, ancillary revenues and expenses have been renamed service, retail, dining &amp; entertainment. There was no impact to prior period net income, stockholders equity or cash flows for any of the reclassifications.</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2020 as filed with the SEC on February 18, 2021 (our "2020 Annual Report"). These statements have been prepared on a basis that is substantially consistent with the accounting principles applied in our 2020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three reportable segments are: (i) Manufactured home ("MH") communities, (ii) Recreational vehicle ("RV") resorts and (iii) Marinas.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revenue by major source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200"/>
              <w:spacing w:after="0" w:line="200" w:lineRule="exact"/>
              <w:rPr>
                <w:sz w:val="20"/>
                <w:szCs w:val="20"/>
                <w:color w:val="auto"/>
              </w:rPr>
            </w:pPr>
            <w:r>
              <w:rPr>
                <w:rFonts w:ascii="Arial" w:cs="Arial" w:eastAsia="Arial" w:hAnsi="Arial"/>
                <w:sz w:val="15"/>
                <w:szCs w:val="15"/>
                <w:b w:val="1"/>
                <w:bCs w:val="1"/>
                <w:color w:val="auto"/>
                <w:w w:val="93"/>
              </w:rPr>
              <w:t>September 30, 2020</w:t>
            </w:r>
            <w:r>
              <w:rPr>
                <w:rFonts w:ascii="Arial" w:cs="Arial" w:eastAsia="Arial" w:hAnsi="Arial"/>
                <w:sz w:val="19"/>
                <w:szCs w:val="19"/>
                <w:b w:val="1"/>
                <w:bCs w:val="1"/>
                <w:color w:val="auto"/>
                <w:w w:val="93"/>
                <w:vertAlign w:val="superscript"/>
              </w:rPr>
              <w:t>(1)</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6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1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Marina</w:t>
            </w:r>
          </w:p>
        </w:tc>
        <w:tc>
          <w:tcPr>
            <w:tcW w:w="120" w:type="dxa"/>
            <w:vAlign w:val="bottom"/>
          </w:tcPr>
          <w:p>
            <w:pPr>
              <w:spacing w:after="0"/>
              <w:rPr>
                <w:sz w:val="16"/>
                <w:szCs w:val="16"/>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Consolidated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6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780" w:type="dxa"/>
            <w:vAlign w:val="bottom"/>
          </w:tcPr>
          <w:p>
            <w:pPr>
              <w:ind w:left="280"/>
              <w:spacing w:after="0"/>
              <w:rPr>
                <w:sz w:val="20"/>
                <w:szCs w:val="20"/>
                <w:color w:val="auto"/>
              </w:rPr>
            </w:pPr>
            <w:r>
              <w:rPr>
                <w:rFonts w:ascii="Arial" w:cs="Arial" w:eastAsia="Arial" w:hAnsi="Arial"/>
                <w:sz w:val="15"/>
                <w:szCs w:val="15"/>
                <w:b w:val="1"/>
                <w:bCs w:val="1"/>
                <w:color w:val="auto"/>
                <w:w w:val="99"/>
              </w:rPr>
              <w:t>Marina</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3"/>
        </w:trPr>
        <w:tc>
          <w:tcPr>
            <w:tcW w:w="182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property</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203,648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185,765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89,212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478,625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188,177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132,311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320,488</w:t>
            </w: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5"/>
                <w:szCs w:val="15"/>
                <w:color w:val="auto"/>
              </w:rPr>
              <w:t>Home sales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70,323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10,776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81,099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39,941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7,721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tcPr>
          <w:p>
            <w:pPr>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47,662</w:t>
            </w: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rPr>
              <w:t>Service, retail, dining</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1,626</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37,303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74,110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113,039</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1,251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22,608</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23,859</w:t>
            </w: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and entertainment</w:t>
            </w:r>
          </w:p>
        </w:tc>
        <w:tc>
          <w:tcPr>
            <w:tcW w:w="2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5"/>
                <w:szCs w:val="15"/>
                <w:color w:val="auto"/>
              </w:rPr>
              <w:t>Interest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2,184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470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tcPr>
          <w:p>
            <w:pPr>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2,624</w:t>
            </w: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8"/>
              </w:rPr>
              <w:t>Brokerage commissions</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3,636</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4,846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359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8,841</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2,920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2,961</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N/A</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5,881</w:t>
            </w:r>
          </w:p>
        </w:tc>
        <w:tc>
          <w:tcPr>
            <w:tcW w:w="0" w:type="dxa"/>
            <w:vAlign w:val="bottom"/>
          </w:tcPr>
          <w:p>
            <w:pPr>
              <w:spacing w:after="0"/>
              <w:rPr>
                <w:sz w:val="1"/>
                <w:szCs w:val="1"/>
                <w:color w:val="auto"/>
              </w:rPr>
            </w:pPr>
          </w:p>
        </w:tc>
      </w:tr>
      <w:tr>
        <w:trPr>
          <w:trHeight w:val="198"/>
        </w:trPr>
        <w:tc>
          <w:tcPr>
            <w:tcW w:w="1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and other, net</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20" w:type="dxa"/>
            <w:vAlign w:val="bottom"/>
          </w:tcPr>
          <w:p>
            <w:pPr>
              <w:ind w:left="400"/>
              <w:spacing w:after="0"/>
              <w:rPr>
                <w:sz w:val="20"/>
                <w:szCs w:val="20"/>
                <w:color w:val="auto"/>
              </w:rPr>
            </w:pPr>
            <w:r>
              <w:rPr>
                <w:rFonts w:ascii="Arial" w:cs="Arial" w:eastAsia="Arial" w:hAnsi="Arial"/>
                <w:sz w:val="15"/>
                <w:szCs w:val="15"/>
                <w:b w:val="1"/>
                <w:bCs w:val="1"/>
                <w:color w:val="auto"/>
              </w:rPr>
              <w:t>Total Revenues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281,417</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239,188</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163,689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684,294</w:t>
            </w:r>
          </w:p>
        </w:tc>
        <w:tc>
          <w:tcPr>
            <w:tcW w:w="2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234,443</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166,071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tcPr>
          <w:p>
            <w:pPr>
              <w:spacing w:after="0"/>
              <w:rPr>
                <w:sz w:val="20"/>
                <w:szCs w:val="20"/>
                <w:color w:val="auto"/>
              </w:rPr>
            </w:pPr>
            <w:r>
              <w:rPr>
                <w:rFonts w:ascii="Arial" w:cs="Arial" w:eastAsia="Arial" w:hAnsi="Arial"/>
                <w:sz w:val="15"/>
                <w:szCs w:val="15"/>
                <w:color w:val="auto"/>
              </w:rPr>
              <w:t>N/A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400,514</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Recast to reflect segment changes.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1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50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240"/>
              <w:spacing w:after="0"/>
              <w:rPr>
                <w:sz w:val="20"/>
                <w:szCs w:val="20"/>
                <w:color w:val="auto"/>
              </w:rPr>
            </w:pPr>
            <w:r>
              <w:rPr>
                <w:rFonts w:ascii="Arial" w:cs="Arial" w:eastAsia="Arial" w:hAnsi="Arial"/>
                <w:sz w:val="15"/>
                <w:szCs w:val="15"/>
                <w:b w:val="1"/>
                <w:bCs w:val="1"/>
                <w:color w:val="auto"/>
              </w:rPr>
              <w:t>September 30, 2021</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180"/>
              <w:spacing w:after="0" w:line="200" w:lineRule="exact"/>
              <w:rPr>
                <w:sz w:val="20"/>
                <w:szCs w:val="20"/>
                <w:color w:val="auto"/>
              </w:rPr>
            </w:pPr>
            <w:r>
              <w:rPr>
                <w:rFonts w:ascii="Arial" w:cs="Arial" w:eastAsia="Arial" w:hAnsi="Arial"/>
                <w:sz w:val="15"/>
                <w:szCs w:val="15"/>
                <w:b w:val="1"/>
                <w:bCs w:val="1"/>
                <w:color w:val="auto"/>
                <w:w w:val="93"/>
              </w:rPr>
              <w:t>September 30, 2020</w:t>
            </w:r>
            <w:r>
              <w:rPr>
                <w:rFonts w:ascii="Arial" w:cs="Arial" w:eastAsia="Arial" w:hAnsi="Arial"/>
                <w:sz w:val="19"/>
                <w:szCs w:val="19"/>
                <w:b w:val="1"/>
                <w:bCs w:val="1"/>
                <w:color w:val="auto"/>
                <w:w w:val="93"/>
                <w:vertAlign w:val="superscript"/>
              </w:rPr>
              <w:t>(1)</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6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1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Marina</w:t>
            </w:r>
          </w:p>
        </w:tc>
        <w:tc>
          <w:tcPr>
            <w:tcW w:w="100" w:type="dxa"/>
            <w:vAlign w:val="bottom"/>
          </w:tcPr>
          <w:p>
            <w:pPr>
              <w:spacing w:after="0"/>
              <w:rPr>
                <w:sz w:val="16"/>
                <w:szCs w:val="16"/>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b w:val="1"/>
                <w:bCs w:val="1"/>
                <w:color w:val="auto"/>
                <w:w w:val="90"/>
              </w:rPr>
              <w:t>Consolidated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6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760" w:type="dxa"/>
            <w:vAlign w:val="bottom"/>
          </w:tcPr>
          <w:p>
            <w:pPr>
              <w:ind w:left="280"/>
              <w:spacing w:after="0"/>
              <w:rPr>
                <w:sz w:val="20"/>
                <w:szCs w:val="20"/>
                <w:color w:val="auto"/>
              </w:rPr>
            </w:pPr>
            <w:r>
              <w:rPr>
                <w:rFonts w:ascii="Arial" w:cs="Arial" w:eastAsia="Arial" w:hAnsi="Arial"/>
                <w:sz w:val="15"/>
                <w:szCs w:val="15"/>
                <w:b w:val="1"/>
                <w:bCs w:val="1"/>
                <w:color w:val="auto"/>
                <w:w w:val="95"/>
              </w:rPr>
              <w:t>Marina</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8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3"/>
        </w:trPr>
        <w:tc>
          <w:tcPr>
            <w:tcW w:w="184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property</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602,370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398,833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213,940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1,215,143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553,216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276,748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829,964</w:t>
            </w:r>
          </w:p>
        </w:tc>
        <w:tc>
          <w:tcPr>
            <w:tcW w:w="0" w:type="dxa"/>
            <w:vAlign w:val="bottom"/>
          </w:tcPr>
          <w:p>
            <w:pPr>
              <w:spacing w:after="0"/>
              <w:rPr>
                <w:sz w:val="1"/>
                <w:szCs w:val="1"/>
                <w:color w:val="auto"/>
              </w:rPr>
            </w:pPr>
          </w:p>
        </w:tc>
      </w:tr>
      <w:tr>
        <w:trPr>
          <w:trHeight w:val="198"/>
        </w:trPr>
        <w:tc>
          <w:tcPr>
            <w:tcW w:w="1840" w:type="dxa"/>
            <w:vAlign w:val="bottom"/>
          </w:tcPr>
          <w:p>
            <w:pPr>
              <w:ind w:left="220"/>
              <w:spacing w:after="0"/>
              <w:rPr>
                <w:sz w:val="20"/>
                <w:szCs w:val="20"/>
                <w:color w:val="auto"/>
              </w:rPr>
            </w:pPr>
            <w:r>
              <w:rPr>
                <w:rFonts w:ascii="Arial" w:cs="Arial" w:eastAsia="Arial" w:hAnsi="Arial"/>
                <w:sz w:val="15"/>
                <w:szCs w:val="15"/>
                <w:color w:val="auto"/>
              </w:rPr>
              <w:t>Home sales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185,576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29,570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215,146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110,797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15,982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126,779</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4"/>
              </w:rPr>
              <w:t>Service, retail, dining and</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5,340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64,061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200,702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270,103</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4,377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32,285</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36,662</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entertainment</w:t>
            </w: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40" w:type="dxa"/>
            <w:vAlign w:val="bottom"/>
          </w:tcPr>
          <w:p>
            <w:pPr>
              <w:ind w:left="220"/>
              <w:spacing w:after="0"/>
              <w:rPr>
                <w:sz w:val="20"/>
                <w:szCs w:val="20"/>
                <w:color w:val="auto"/>
              </w:rPr>
            </w:pPr>
            <w:r>
              <w:rPr>
                <w:rFonts w:ascii="Arial" w:cs="Arial" w:eastAsia="Arial" w:hAnsi="Arial"/>
                <w:sz w:val="15"/>
                <w:szCs w:val="15"/>
                <w:color w:val="auto"/>
              </w:rPr>
              <w:t>Interest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6,353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1,656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8,040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6,293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1,316</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7,609</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9"/>
              </w:rPr>
              <w:t>Brokerage commissions</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9,782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11,053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21,740</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6,630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6,438</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13,068</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and other, net</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40" w:type="dxa"/>
            <w:vAlign w:val="bottom"/>
          </w:tcPr>
          <w:p>
            <w:pPr>
              <w:ind w:left="400"/>
              <w:spacing w:after="0"/>
              <w:rPr>
                <w:sz w:val="20"/>
                <w:szCs w:val="20"/>
                <w:color w:val="auto"/>
              </w:rPr>
            </w:pPr>
            <w:r>
              <w:rPr>
                <w:rFonts w:ascii="Arial" w:cs="Arial" w:eastAsia="Arial" w:hAnsi="Arial"/>
                <w:sz w:val="15"/>
                <w:szCs w:val="15"/>
                <w:b w:val="1"/>
                <w:bCs w:val="1"/>
                <w:color w:val="auto"/>
              </w:rPr>
              <w:t>Total Revenues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809,421</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505,173</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415,578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1,730,172</w:t>
            </w:r>
          </w:p>
        </w:tc>
        <w:tc>
          <w:tcPr>
            <w:tcW w:w="24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681,313</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332,769</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1,014,082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hanging="152"/>
        <w:spacing w:after="0"/>
        <w:tabs>
          <w:tab w:leader="none" w:pos="160" w:val="left"/>
        </w:tabs>
        <w:numPr>
          <w:ilvl w:val="0"/>
          <w:numId w:val="5"/>
        </w:numPr>
        <w:rPr>
          <w:rFonts w:ascii="Arial" w:cs="Arial" w:eastAsia="Arial" w:hAnsi="Arial"/>
          <w:sz w:val="9"/>
          <w:szCs w:val="9"/>
          <w:color w:val="auto"/>
        </w:rPr>
      </w:pPr>
      <w:r>
        <w:rPr>
          <w:rFonts w:ascii="Arial" w:cs="Arial" w:eastAsia="Arial" w:hAnsi="Arial"/>
          <w:sz w:val="14"/>
          <w:szCs w:val="14"/>
          <w:color w:val="auto"/>
        </w:rPr>
        <w:t>Recast to reflect segment changes.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consists of real property revenue at our MH, RV and Marina properties, revenue from Home sales, Service, retail, dining and entertainment revenue, Interest income, and Brokerage commissions and other revenue.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revenue is derived from site and home leases, and wet slip and dry storage space leases that are accounted for pursuant to ASC 842, "</w:t>
      </w:r>
      <w:r>
        <w:rPr>
          <w:rFonts w:ascii="Arial" w:cs="Arial" w:eastAsia="Arial" w:hAnsi="Arial"/>
          <w:sz w:val="18"/>
          <w:szCs w:val="18"/>
          <w:i w:val="1"/>
          <w:iCs w:val="1"/>
          <w:color w:val="auto"/>
        </w:rPr>
        <w:t>Leases</w:t>
      </w:r>
      <w:r>
        <w:rPr>
          <w:rFonts w:ascii="Arial" w:cs="Arial" w:eastAsia="Arial" w:hAnsi="Arial"/>
          <w:sz w:val="18"/>
          <w:szCs w:val="18"/>
          <w:color w:val="auto"/>
        </w:rPr>
        <w:t>." We account for all revenue from contracts with customers following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except for those that are within the scope of other topics in the FASB ASC. For additional information, refer to Note 1, "Significant Accounting Policies," in our 2020 Annual Report.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Acquisitions and Dispositions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Acquisitions and dispositions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we acquired the following MH communities, RV resorts and marinas: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20" w:type="dxa"/>
            <w:vAlign w:val="bottom"/>
            <w:vMerge w:val="restart"/>
          </w:tcPr>
          <w:p>
            <w:pPr>
              <w:ind w:left="860"/>
              <w:spacing w:after="0"/>
              <w:rPr>
                <w:sz w:val="20"/>
                <w:szCs w:val="20"/>
                <w:color w:val="auto"/>
              </w:rPr>
            </w:pPr>
            <w:r>
              <w:rPr>
                <w:rFonts w:ascii="Arial" w:cs="Arial" w:eastAsia="Arial" w:hAnsi="Arial"/>
                <w:sz w:val="15"/>
                <w:szCs w:val="15"/>
                <w:b w:val="1"/>
                <w:bCs w:val="1"/>
                <w:color w:val="auto"/>
              </w:rPr>
              <w:t>Community Name</w:t>
            </w:r>
          </w:p>
        </w:tc>
        <w:tc>
          <w:tcPr>
            <w:tcW w:w="100" w:type="dxa"/>
            <w:vAlign w:val="bottom"/>
            <w:vMerge w:val="restart"/>
          </w:tcPr>
          <w:p>
            <w:pPr>
              <w:spacing w:after="0"/>
              <w:rPr>
                <w:sz w:val="14"/>
                <w:szCs w:val="14"/>
                <w:color w:val="auto"/>
              </w:rPr>
            </w:pPr>
          </w:p>
        </w:tc>
        <w:tc>
          <w:tcPr>
            <w:tcW w:w="1960" w:type="dxa"/>
            <w:vAlign w:val="bottom"/>
            <w:vMerge w:val="restart"/>
          </w:tcPr>
          <w:p>
            <w:pPr>
              <w:ind w:left="820"/>
              <w:spacing w:after="0"/>
              <w:rPr>
                <w:sz w:val="20"/>
                <w:szCs w:val="20"/>
                <w:color w:val="auto"/>
              </w:rPr>
            </w:pPr>
            <w:r>
              <w:rPr>
                <w:rFonts w:ascii="Arial" w:cs="Arial" w:eastAsia="Arial" w:hAnsi="Arial"/>
                <w:sz w:val="15"/>
                <w:szCs w:val="15"/>
                <w:b w:val="1"/>
                <w:bCs w:val="1"/>
                <w:color w:val="auto"/>
              </w:rPr>
              <w:t>Type</w:t>
            </w:r>
          </w:p>
        </w:tc>
        <w:tc>
          <w:tcPr>
            <w:tcW w:w="120" w:type="dxa"/>
            <w:vAlign w:val="bottom"/>
            <w:vMerge w:val="restart"/>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5"/>
                <w:szCs w:val="15"/>
                <w:b w:val="1"/>
                <w:bCs w:val="1"/>
                <w:color w:val="auto"/>
              </w:rPr>
              <w:t>Sites, Wet Slips and</w:t>
            </w:r>
          </w:p>
        </w:tc>
        <w:tc>
          <w:tcPr>
            <w:tcW w:w="15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8"/>
              </w:rPr>
              <w:t>Development Sites</w:t>
            </w:r>
          </w:p>
        </w:tc>
        <w:tc>
          <w:tcPr>
            <w:tcW w:w="100" w:type="dxa"/>
            <w:vAlign w:val="bottom"/>
          </w:tcPr>
          <w:p>
            <w:pPr>
              <w:spacing w:after="0"/>
              <w:rPr>
                <w:sz w:val="14"/>
                <w:szCs w:val="14"/>
                <w:color w:val="auto"/>
              </w:rPr>
            </w:pPr>
          </w:p>
        </w:tc>
        <w:tc>
          <w:tcPr>
            <w:tcW w:w="13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State / Province</w:t>
            </w:r>
          </w:p>
        </w:tc>
        <w:tc>
          <w:tcPr>
            <w:tcW w:w="100" w:type="dxa"/>
            <w:vAlign w:val="bottom"/>
            <w:vMerge w:val="restart"/>
          </w:tcPr>
          <w:p>
            <w:pPr>
              <w:spacing w:after="0"/>
              <w:rPr>
                <w:sz w:val="14"/>
                <w:szCs w:val="14"/>
                <w:color w:val="auto"/>
              </w:rPr>
            </w:pPr>
          </w:p>
        </w:tc>
        <w:tc>
          <w:tcPr>
            <w:tcW w:w="138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Month Acquired</w:t>
            </w:r>
          </w:p>
        </w:tc>
        <w:tc>
          <w:tcPr>
            <w:tcW w:w="0" w:type="dxa"/>
            <w:vAlign w:val="bottom"/>
          </w:tcPr>
          <w:p>
            <w:pPr>
              <w:spacing w:after="0"/>
              <w:rPr>
                <w:sz w:val="1"/>
                <w:szCs w:val="1"/>
                <w:color w:val="auto"/>
              </w:rPr>
            </w:pPr>
          </w:p>
        </w:tc>
      </w:tr>
      <w:tr>
        <w:trPr>
          <w:trHeight w:val="200"/>
        </w:trPr>
        <w:tc>
          <w:tcPr>
            <w:tcW w:w="2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9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Dry Storage Spaces</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Sun Outdoors Association Island</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NY</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c>
          <w:tcPr>
            <w:tcW w:w="0" w:type="dxa"/>
            <w:vAlign w:val="bottom"/>
          </w:tcPr>
          <w:p>
            <w:pPr>
              <w:spacing w:after="0"/>
              <w:rPr>
                <w:sz w:val="1"/>
                <w:szCs w:val="1"/>
                <w:color w:val="auto"/>
              </w:rPr>
            </w:pPr>
          </w:p>
        </w:tc>
      </w:tr>
      <w:tr>
        <w:trPr>
          <w:trHeight w:val="198"/>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Blue Water Beach Resort</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177</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UT</w:t>
            </w:r>
          </w:p>
        </w:tc>
        <w:tc>
          <w:tcPr>
            <w:tcW w:w="1380" w:type="dxa"/>
            <w:vAlign w:val="bottom"/>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7"/>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Tranquility MHC</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3"/>
        </w:trPr>
        <w:tc>
          <w:tcPr>
            <w:tcW w:w="302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Islamorada and Angler House</w:t>
            </w:r>
            <w:r>
              <w:rPr>
                <w:rFonts w:ascii="Arial" w:cs="Arial" w:eastAsia="Arial" w:hAnsi="Arial"/>
                <w:sz w:val="19"/>
                <w:szCs w:val="19"/>
                <w:color w:val="auto"/>
                <w:vertAlign w:val="superscript"/>
              </w:rPr>
              <w:t>(1)</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251</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FL</w:t>
            </w:r>
          </w:p>
        </w:tc>
        <w:tc>
          <w:tcPr>
            <w:tcW w:w="1380" w:type="dxa"/>
            <w:vAlign w:val="bottom"/>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Prime Martha's Vineyard</w:t>
            </w:r>
            <w:r>
              <w:rPr>
                <w:rFonts w:ascii="Arial" w:cs="Arial" w:eastAsia="Arial" w:hAnsi="Arial"/>
                <w:sz w:val="19"/>
                <w:szCs w:val="19"/>
                <w:color w:val="auto"/>
                <w:vertAlign w:val="superscript"/>
              </w:rPr>
              <w:t>(1)</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198"/>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Pleasant Beach Campground</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102</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ON, Canada</w:t>
            </w:r>
          </w:p>
        </w:tc>
        <w:tc>
          <w:tcPr>
            <w:tcW w:w="1380" w:type="dxa"/>
            <w:vAlign w:val="bottom"/>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207"/>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Cherrystone Family Camping Resort</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198"/>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Beachwood Resort</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672</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WA</w:t>
            </w:r>
          </w:p>
        </w:tc>
        <w:tc>
          <w:tcPr>
            <w:tcW w:w="1380" w:type="dxa"/>
            <w:vAlign w:val="bottom"/>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207"/>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ThemeWorld RV Resort</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April</w:t>
            </w:r>
          </w:p>
        </w:tc>
        <w:tc>
          <w:tcPr>
            <w:tcW w:w="0" w:type="dxa"/>
            <w:vAlign w:val="bottom"/>
          </w:tcPr>
          <w:p>
            <w:pPr>
              <w:spacing w:after="0"/>
              <w:rPr>
                <w:sz w:val="1"/>
                <w:szCs w:val="1"/>
                <w:color w:val="auto"/>
              </w:rPr>
            </w:pPr>
          </w:p>
        </w:tc>
      </w:tr>
      <w:tr>
        <w:trPr>
          <w:trHeight w:val="203"/>
        </w:trPr>
        <w:tc>
          <w:tcPr>
            <w:tcW w:w="302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Sylvan Glen Estates</w:t>
            </w:r>
            <w:r>
              <w:rPr>
                <w:rFonts w:ascii="Arial" w:cs="Arial" w:eastAsia="Arial" w:hAnsi="Arial"/>
                <w:sz w:val="19"/>
                <w:szCs w:val="19"/>
                <w:color w:val="auto"/>
                <w:vertAlign w:val="superscript"/>
              </w:rPr>
              <w:t>(2)</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476</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MI</w:t>
            </w:r>
          </w:p>
        </w:tc>
        <w:tc>
          <w:tcPr>
            <w:tcW w:w="1380" w:type="dxa"/>
            <w:vAlign w:val="bottom"/>
          </w:tcPr>
          <w:p>
            <w:pPr>
              <w:ind w:left="20"/>
              <w:spacing w:after="0"/>
              <w:rPr>
                <w:sz w:val="20"/>
                <w:szCs w:val="20"/>
                <w:color w:val="auto"/>
              </w:rPr>
            </w:pPr>
            <w:r>
              <w:rPr>
                <w:rFonts w:ascii="Arial" w:cs="Arial" w:eastAsia="Arial" w:hAnsi="Arial"/>
                <w:sz w:val="15"/>
                <w:szCs w:val="15"/>
                <w:color w:val="auto"/>
              </w:rPr>
              <w:t>April</w:t>
            </w: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Shelter Island Boatyard</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c>
          <w:tcPr>
            <w:tcW w:w="0" w:type="dxa"/>
            <w:vAlign w:val="bottom"/>
          </w:tcPr>
          <w:p>
            <w:pPr>
              <w:spacing w:after="0"/>
              <w:rPr>
                <w:sz w:val="1"/>
                <w:szCs w:val="1"/>
                <w:color w:val="auto"/>
              </w:rPr>
            </w:pPr>
          </w:p>
        </w:tc>
      </w:tr>
      <w:tr>
        <w:trPr>
          <w:trHeight w:val="198"/>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Lauderdale Marine Center</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202</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FL</w:t>
            </w:r>
          </w:p>
        </w:tc>
        <w:tc>
          <w:tcPr>
            <w:tcW w:w="1380" w:type="dxa"/>
            <w:vAlign w:val="bottom"/>
          </w:tcPr>
          <w:p>
            <w:pPr>
              <w:ind w:left="20"/>
              <w:spacing w:after="0"/>
              <w:rPr>
                <w:sz w:val="20"/>
                <w:szCs w:val="20"/>
                <w:color w:val="auto"/>
              </w:rPr>
            </w:pPr>
            <w:r>
              <w:rPr>
                <w:rFonts w:ascii="Arial" w:cs="Arial" w:eastAsia="Arial" w:hAnsi="Arial"/>
                <w:sz w:val="15"/>
                <w:szCs w:val="15"/>
                <w:color w:val="auto"/>
              </w:rPr>
              <w:t>May</w:t>
            </w:r>
          </w:p>
        </w:tc>
        <w:tc>
          <w:tcPr>
            <w:tcW w:w="0" w:type="dxa"/>
            <w:vAlign w:val="bottom"/>
          </w:tcPr>
          <w:p>
            <w:pPr>
              <w:spacing w:after="0"/>
              <w:rPr>
                <w:sz w:val="1"/>
                <w:szCs w:val="1"/>
                <w:color w:val="auto"/>
              </w:rPr>
            </w:pPr>
          </w:p>
        </w:tc>
      </w:tr>
      <w:tr>
        <w:trPr>
          <w:trHeight w:val="207"/>
        </w:trPr>
        <w:tc>
          <w:tcPr>
            <w:tcW w:w="302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Apponaug Harbor</w:t>
            </w:r>
            <w:r>
              <w:rPr>
                <w:rFonts w:ascii="Arial" w:cs="Arial" w:eastAsia="Arial" w:hAnsi="Arial"/>
                <w:sz w:val="19"/>
                <w:szCs w:val="19"/>
                <w:color w:val="auto"/>
                <w:vertAlign w:val="superscript"/>
              </w:rPr>
              <w:t>(3)</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RI</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w:t>
            </w:r>
          </w:p>
        </w:tc>
        <w:tc>
          <w:tcPr>
            <w:tcW w:w="0" w:type="dxa"/>
            <w:vAlign w:val="bottom"/>
          </w:tcPr>
          <w:p>
            <w:pPr>
              <w:spacing w:after="0"/>
              <w:rPr>
                <w:sz w:val="1"/>
                <w:szCs w:val="1"/>
                <w:color w:val="auto"/>
              </w:rPr>
            </w:pPr>
          </w:p>
        </w:tc>
      </w:tr>
      <w:tr>
        <w:trPr>
          <w:trHeight w:val="203"/>
        </w:trPr>
        <w:tc>
          <w:tcPr>
            <w:tcW w:w="302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Cabrillo Isle</w:t>
            </w:r>
            <w:r>
              <w:rPr>
                <w:rFonts w:ascii="Arial" w:cs="Arial" w:eastAsia="Arial" w:hAnsi="Arial"/>
                <w:sz w:val="19"/>
                <w:szCs w:val="19"/>
                <w:color w:val="auto"/>
                <w:vertAlign w:val="superscript"/>
              </w:rPr>
              <w:t>(4)</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Marina: business combination</w:t>
            </w:r>
          </w:p>
        </w:tc>
        <w:tc>
          <w:tcPr>
            <w:tcW w:w="1640" w:type="dxa"/>
            <w:vAlign w:val="bottom"/>
          </w:tcPr>
          <w:p>
            <w:pPr>
              <w:jc w:val="right"/>
              <w:spacing w:after="0"/>
              <w:rPr>
                <w:sz w:val="20"/>
                <w:szCs w:val="20"/>
                <w:color w:val="auto"/>
              </w:rPr>
            </w:pPr>
            <w:r>
              <w:rPr>
                <w:rFonts w:ascii="Arial" w:cs="Arial" w:eastAsia="Arial" w:hAnsi="Arial"/>
                <w:sz w:val="15"/>
                <w:szCs w:val="15"/>
                <w:color w:val="auto"/>
              </w:rPr>
              <w:t>483</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380" w:type="dxa"/>
            <w:vAlign w:val="bottom"/>
          </w:tcPr>
          <w:p>
            <w:pPr>
              <w:ind w:left="20"/>
              <w:spacing w:after="0"/>
              <w:rPr>
                <w:sz w:val="20"/>
                <w:szCs w:val="20"/>
                <w:color w:val="auto"/>
              </w:rPr>
            </w:pPr>
            <w:r>
              <w:rPr>
                <w:rFonts w:ascii="Arial" w:cs="Arial" w:eastAsia="Arial" w:hAnsi="Arial"/>
                <w:sz w:val="15"/>
                <w:szCs w:val="15"/>
                <w:color w:val="auto"/>
              </w:rPr>
              <w:t>June</w:t>
            </w: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Marathon Marina</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w:t>
            </w:r>
          </w:p>
        </w:tc>
        <w:tc>
          <w:tcPr>
            <w:tcW w:w="0" w:type="dxa"/>
            <w:vAlign w:val="bottom"/>
          </w:tcPr>
          <w:p>
            <w:pPr>
              <w:spacing w:after="0"/>
              <w:rPr>
                <w:sz w:val="1"/>
                <w:szCs w:val="1"/>
                <w:color w:val="auto"/>
              </w:rPr>
            </w:pPr>
          </w:p>
        </w:tc>
      </w:tr>
      <w:tr>
        <w:trPr>
          <w:trHeight w:val="198"/>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Allen Harbor</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165</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RI</w:t>
            </w:r>
          </w:p>
        </w:tc>
        <w:tc>
          <w:tcPr>
            <w:tcW w:w="1380" w:type="dxa"/>
            <w:vAlign w:val="bottom"/>
          </w:tcPr>
          <w:p>
            <w:pPr>
              <w:ind w:left="20"/>
              <w:spacing w:after="0"/>
              <w:rPr>
                <w:sz w:val="20"/>
                <w:szCs w:val="20"/>
                <w:color w:val="auto"/>
              </w:rPr>
            </w:pPr>
            <w:r>
              <w:rPr>
                <w:rFonts w:ascii="Arial" w:cs="Arial" w:eastAsia="Arial" w:hAnsi="Arial"/>
                <w:sz w:val="15"/>
                <w:szCs w:val="15"/>
                <w:color w:val="auto"/>
              </w:rPr>
              <w:t>July</w:t>
            </w:r>
          </w:p>
        </w:tc>
        <w:tc>
          <w:tcPr>
            <w:tcW w:w="0" w:type="dxa"/>
            <w:vAlign w:val="bottom"/>
          </w:tcPr>
          <w:p>
            <w:pPr>
              <w:spacing w:after="0"/>
              <w:rPr>
                <w:sz w:val="1"/>
                <w:szCs w:val="1"/>
                <w:color w:val="auto"/>
              </w:rPr>
            </w:pPr>
          </w:p>
        </w:tc>
      </w:tr>
      <w:tr>
        <w:trPr>
          <w:trHeight w:val="207"/>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Cisco Grove Campground &amp; RV</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407</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w:t>
            </w:r>
          </w:p>
        </w:tc>
        <w:tc>
          <w:tcPr>
            <w:tcW w:w="0" w:type="dxa"/>
            <w:vAlign w:val="bottom"/>
          </w:tcPr>
          <w:p>
            <w:pPr>
              <w:spacing w:after="0"/>
              <w:rPr>
                <w:sz w:val="1"/>
                <w:szCs w:val="1"/>
                <w:color w:val="auto"/>
              </w:rPr>
            </w:pPr>
          </w:p>
        </w:tc>
      </w:tr>
      <w:tr>
        <w:trPr>
          <w:trHeight w:val="203"/>
        </w:trPr>
        <w:tc>
          <w:tcPr>
            <w:tcW w:w="302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Four Leaf Portfolio</w:t>
            </w:r>
            <w:r>
              <w:rPr>
                <w:rFonts w:ascii="Arial" w:cs="Arial" w:eastAsia="Arial" w:hAnsi="Arial"/>
                <w:sz w:val="19"/>
                <w:szCs w:val="19"/>
                <w:color w:val="auto"/>
                <w:vertAlign w:val="superscript"/>
              </w:rPr>
              <w:t>(5)</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2,545</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340</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MI / IN</w:t>
            </w:r>
          </w:p>
        </w:tc>
        <w:tc>
          <w:tcPr>
            <w:tcW w:w="1380" w:type="dxa"/>
            <w:vAlign w:val="bottom"/>
          </w:tcPr>
          <w:p>
            <w:pPr>
              <w:ind w:left="20"/>
              <w:spacing w:after="0"/>
              <w:rPr>
                <w:sz w:val="20"/>
                <w:szCs w:val="20"/>
                <w:color w:val="auto"/>
              </w:rPr>
            </w:pPr>
            <w:r>
              <w:rPr>
                <w:rFonts w:ascii="Arial" w:cs="Arial" w:eastAsia="Arial" w:hAnsi="Arial"/>
                <w:sz w:val="15"/>
                <w:szCs w:val="15"/>
                <w:color w:val="auto"/>
              </w:rPr>
              <w:t>July</w:t>
            </w: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Harborage Yacht Club</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w:t>
            </w:r>
          </w:p>
        </w:tc>
        <w:tc>
          <w:tcPr>
            <w:tcW w:w="0" w:type="dxa"/>
            <w:vAlign w:val="bottom"/>
          </w:tcPr>
          <w:p>
            <w:pPr>
              <w:spacing w:after="0"/>
              <w:rPr>
                <w:sz w:val="1"/>
                <w:szCs w:val="1"/>
                <w:color w:val="auto"/>
              </w:rPr>
            </w:pPr>
          </w:p>
        </w:tc>
      </w:tr>
      <w:tr>
        <w:trPr>
          <w:trHeight w:val="203"/>
        </w:trPr>
        <w:tc>
          <w:tcPr>
            <w:tcW w:w="302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Zeman Portfolio</w:t>
            </w:r>
            <w:r>
              <w:rPr>
                <w:rFonts w:ascii="Arial" w:cs="Arial" w:eastAsia="Arial" w:hAnsi="Arial"/>
                <w:sz w:val="19"/>
                <w:szCs w:val="19"/>
                <w:color w:val="auto"/>
                <w:vertAlign w:val="superscript"/>
              </w:rPr>
              <w:t>(6)</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686</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IL / NJ</w:t>
            </w:r>
          </w:p>
        </w:tc>
        <w:tc>
          <w:tcPr>
            <w:tcW w:w="1380" w:type="dxa"/>
            <w:vAlign w:val="bottom"/>
          </w:tcPr>
          <w:p>
            <w:pPr>
              <w:ind w:left="20"/>
              <w:spacing w:after="0"/>
              <w:rPr>
                <w:sz w:val="20"/>
                <w:szCs w:val="20"/>
                <w:color w:val="auto"/>
              </w:rPr>
            </w:pPr>
            <w:r>
              <w:rPr>
                <w:rFonts w:ascii="Arial" w:cs="Arial" w:eastAsia="Arial" w:hAnsi="Arial"/>
                <w:sz w:val="15"/>
                <w:szCs w:val="15"/>
                <w:color w:val="auto"/>
              </w:rPr>
              <w:t>July</w:t>
            </w: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Southern Leisure Resort</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August</w:t>
            </w:r>
          </w:p>
        </w:tc>
        <w:tc>
          <w:tcPr>
            <w:tcW w:w="0" w:type="dxa"/>
            <w:vAlign w:val="bottom"/>
          </w:tcPr>
          <w:p>
            <w:pPr>
              <w:spacing w:after="0"/>
              <w:rPr>
                <w:sz w:val="1"/>
                <w:szCs w:val="1"/>
                <w:color w:val="auto"/>
              </w:rPr>
            </w:pPr>
          </w:p>
        </w:tc>
      </w:tr>
      <w:tr>
        <w:trPr>
          <w:trHeight w:val="199"/>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Sunroad Marina</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617</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380" w:type="dxa"/>
            <w:vAlign w:val="bottom"/>
          </w:tcPr>
          <w:p>
            <w:pPr>
              <w:ind w:left="20"/>
              <w:spacing w:after="0"/>
              <w:rPr>
                <w:sz w:val="20"/>
                <w:szCs w:val="20"/>
                <w:color w:val="auto"/>
              </w:rPr>
            </w:pPr>
            <w:r>
              <w:rPr>
                <w:rFonts w:ascii="Arial" w:cs="Arial" w:eastAsia="Arial" w:hAnsi="Arial"/>
                <w:sz w:val="15"/>
                <w:szCs w:val="15"/>
                <w:color w:val="auto"/>
              </w:rPr>
              <w:t>August</w:t>
            </w:r>
          </w:p>
        </w:tc>
        <w:tc>
          <w:tcPr>
            <w:tcW w:w="0" w:type="dxa"/>
            <w:vAlign w:val="bottom"/>
          </w:tcPr>
          <w:p>
            <w:pPr>
              <w:spacing w:after="0"/>
              <w:rPr>
                <w:sz w:val="1"/>
                <w:szCs w:val="1"/>
                <w:color w:val="auto"/>
              </w:rPr>
            </w:pPr>
          </w:p>
        </w:tc>
      </w:tr>
      <w:tr>
        <w:trPr>
          <w:trHeight w:val="20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Lazy Lakes RV</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August</w:t>
            </w:r>
          </w:p>
        </w:tc>
        <w:tc>
          <w:tcPr>
            <w:tcW w:w="0" w:type="dxa"/>
            <w:vAlign w:val="bottom"/>
          </w:tcPr>
          <w:p>
            <w:pPr>
              <w:spacing w:after="0"/>
              <w:rPr>
                <w:sz w:val="1"/>
                <w:szCs w:val="1"/>
                <w:color w:val="auto"/>
              </w:rPr>
            </w:pPr>
          </w:p>
        </w:tc>
      </w:tr>
      <w:tr>
        <w:trPr>
          <w:trHeight w:val="199"/>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Puerto del Rey</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1,450</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Puerto Rico</w:t>
            </w:r>
          </w:p>
        </w:tc>
        <w:tc>
          <w:tcPr>
            <w:tcW w:w="1380" w:type="dxa"/>
            <w:vAlign w:val="bottom"/>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Stingray Point</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199"/>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Detroit River</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440</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MI</w:t>
            </w:r>
          </w:p>
        </w:tc>
        <w:tc>
          <w:tcPr>
            <w:tcW w:w="1380" w:type="dxa"/>
            <w:vAlign w:val="bottom"/>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Jetstream RV Resort</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12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TX</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11,706</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747</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two marinas.</w:t>
      </w:r>
    </w:p>
    <w:p>
      <w:pPr>
        <w:spacing w:after="0" w:line="45" w:lineRule="exact"/>
        <w:rPr>
          <w:rFonts w:ascii="Arial" w:cs="Arial" w:eastAsia="Arial" w:hAnsi="Arial"/>
          <w:sz w:val="18"/>
          <w:szCs w:val="18"/>
          <w:color w:val="auto"/>
          <w:vertAlign w:val="superscript"/>
        </w:rPr>
      </w:pPr>
    </w:p>
    <w:p>
      <w:pPr>
        <w:ind w:left="140" w:hanging="132"/>
        <w:spacing w:after="0" w:line="222"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In conjunction with the acquisition, we issued 240,000 Series J preferred OP units. As of September 30, 2021, 240,000 Series J preferred OP units were outstanding.</w:t>
      </w:r>
    </w:p>
    <w:p>
      <w:pPr>
        <w:spacing w:after="0" w:line="45" w:lineRule="exact"/>
        <w:rPr>
          <w:rFonts w:ascii="Arial" w:cs="Arial" w:eastAsia="Arial" w:hAnsi="Arial"/>
          <w:sz w:val="16"/>
          <w:szCs w:val="16"/>
          <w:color w:val="auto"/>
          <w:vertAlign w:val="superscript"/>
        </w:rPr>
      </w:pPr>
    </w:p>
    <w:p>
      <w:pPr>
        <w:ind w:left="160" w:hanging="152"/>
        <w:spacing w:after="0" w:line="197"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Combined with an existing adjacent marina.</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Acquired in connection with the Safe Harbor acquisition. Transfer of the marina was contingent on receiving third party consent.</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nine MH communities.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two RV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 of assets acquired, net of liabilities assumed at the acquisition date and the consideration paid for the MH community, RV resort and Marina acquisitions completed during the nine months ended September 30,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w w:val="96"/>
              </w:rPr>
              <w:t>At Acquisition Date</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1"/>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Arial" w:cs="Arial" w:eastAsia="Arial" w:hAnsi="Arial"/>
                <w:sz w:val="15"/>
                <w:szCs w:val="15"/>
                <w:color w:val="auto"/>
                <w:w w:val="96"/>
              </w:rPr>
              <w:t>Inventory of</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93"/>
              </w:rPr>
              <w:t>Total identifiable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90"/>
              </w:rPr>
              <w:t>Temporary</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3"/>
              </w:rPr>
              <w:t>manufactured</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5"/>
                <w:szCs w:val="15"/>
                <w:color w:val="auto"/>
                <w:w w:val="89"/>
              </w:rPr>
              <w:t>In-place leases,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5"/>
                <w:szCs w:val="15"/>
                <w:color w:val="auto"/>
                <w:w w:val="94"/>
              </w:rPr>
              <w:t>Investment in</w:t>
            </w: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8"/>
              </w:rPr>
              <w:t>homes, boat parts</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5"/>
                <w:szCs w:val="15"/>
                <w:color w:val="auto"/>
                <w:w w:val="87"/>
              </w:rPr>
              <w:t>Other assets /</w:t>
            </w:r>
          </w:p>
        </w:tc>
        <w:tc>
          <w:tcPr>
            <w:tcW w:w="1400" w:type="dxa"/>
            <w:vAlign w:val="bottom"/>
            <w:gridSpan w:val="3"/>
          </w:tcPr>
          <w:p>
            <w:pPr>
              <w:jc w:val="center"/>
              <w:ind w:right="140"/>
              <w:spacing w:after="0" w:line="149" w:lineRule="exact"/>
              <w:rPr>
                <w:sz w:val="20"/>
                <w:szCs w:val="20"/>
                <w:color w:val="auto"/>
              </w:rPr>
            </w:pPr>
            <w:r>
              <w:rPr>
                <w:rFonts w:ascii="Arial" w:cs="Arial" w:eastAsia="Arial" w:hAnsi="Arial"/>
                <w:sz w:val="15"/>
                <w:szCs w:val="15"/>
                <w:b w:val="1"/>
                <w:bCs w:val="1"/>
                <w:color w:val="auto"/>
                <w:w w:val="87"/>
              </w:rPr>
              <w:t>assets acquired net</w:t>
            </w:r>
          </w:p>
        </w:tc>
        <w:tc>
          <w:tcPr>
            <w:tcW w:w="14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87"/>
              </w:rPr>
              <w:t>Cash and</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7"/>
              </w:rPr>
              <w:t>and</w:t>
            </w:r>
          </w:p>
        </w:tc>
        <w:tc>
          <w:tcPr>
            <w:tcW w:w="100" w:type="dxa"/>
            <w:vAlign w:val="bottom"/>
          </w:tcPr>
          <w:p>
            <w:pPr>
              <w:spacing w:after="0"/>
              <w:rPr>
                <w:sz w:val="12"/>
                <w:szCs w:val="12"/>
                <w:color w:val="auto"/>
              </w:rPr>
            </w:pPr>
          </w:p>
        </w:tc>
        <w:tc>
          <w:tcPr>
            <w:tcW w:w="104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3"/>
              </w:rPr>
              <w:t>and retail</w:t>
            </w:r>
          </w:p>
        </w:tc>
        <w:tc>
          <w:tcPr>
            <w:tcW w:w="1300" w:type="dxa"/>
            <w:vAlign w:val="bottom"/>
            <w:gridSpan w:val="3"/>
          </w:tcPr>
          <w:p>
            <w:pPr>
              <w:ind w:left="20"/>
              <w:spacing w:after="0" w:line="149" w:lineRule="exact"/>
              <w:rPr>
                <w:sz w:val="20"/>
                <w:szCs w:val="20"/>
                <w:color w:val="auto"/>
              </w:rPr>
            </w:pPr>
            <w:r>
              <w:rPr>
                <w:rFonts w:ascii="Arial" w:cs="Arial" w:eastAsia="Arial" w:hAnsi="Arial"/>
                <w:sz w:val="15"/>
                <w:szCs w:val="15"/>
                <w:color w:val="auto"/>
              </w:rPr>
              <w:t>goodwill and other</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w w:val="92"/>
              </w:rPr>
              <w:t>of liabilities</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5"/>
                <w:szCs w:val="15"/>
                <w:color w:val="auto"/>
                <w:w w:val="89"/>
              </w:rPr>
              <w:t>permanent</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color w:val="auto"/>
                <w:w w:val="94"/>
              </w:rPr>
              <w:t>property</w:t>
            </w: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5"/>
                <w:szCs w:val="15"/>
                <w:color w:val="auto"/>
                <w:w w:val="90"/>
              </w:rPr>
              <w:t>related items</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color w:val="auto"/>
                <w:w w:val="89"/>
              </w:rPr>
              <w:t>intangible assets</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5"/>
                <w:szCs w:val="15"/>
                <w:color w:val="auto"/>
                <w:w w:val="95"/>
              </w:rPr>
              <w:t>(liabilities), net</w:t>
            </w:r>
          </w:p>
        </w:tc>
        <w:tc>
          <w:tcPr>
            <w:tcW w:w="16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6"/>
              </w:rPr>
              <w:t>assumed</w:t>
            </w:r>
          </w:p>
        </w:tc>
        <w:tc>
          <w:tcPr>
            <w:tcW w:w="14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5"/>
                <w:szCs w:val="15"/>
                <w:color w:val="auto"/>
                <w:w w:val="92"/>
              </w:rPr>
              <w:t>escrow</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equity</w:t>
            </w:r>
          </w:p>
        </w:tc>
        <w:tc>
          <w:tcPr>
            <w:tcW w:w="10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185"/>
        </w:trPr>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 Acquisition</w:t>
            </w: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Arial" w:cs="Arial" w:eastAsia="Arial" w:hAnsi="Arial"/>
                <w:sz w:val="15"/>
                <w:szCs w:val="15"/>
                <w:color w:val="auto"/>
                <w:w w:val="95"/>
              </w:rPr>
              <w:t>Sun Outdoors Association</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14,965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12"/>
                <w:szCs w:val="12"/>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14,758</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14,758</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14,758</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Island</w:t>
            </w:r>
          </w:p>
        </w:tc>
        <w:tc>
          <w:tcPr>
            <w:tcW w:w="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Blue Water Beach Resort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8,849</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Tranquility MHC</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1,249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1,249</w:t>
            </w: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Islamorada and Angler</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18,001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269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17,975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17,975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17,975</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House</w:t>
            </w: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Prime Martha's Vineyard</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22,258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21,950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21,950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21,950</w:t>
            </w: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Pleasant Beach</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1,531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1,589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1,589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1,589</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Campground</w:t>
            </w: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Arial" w:cs="Arial" w:eastAsia="Arial" w:hAnsi="Arial"/>
                <w:sz w:val="15"/>
                <w:szCs w:val="15"/>
                <w:color w:val="auto"/>
              </w:rPr>
              <w:t>Cherrystone Family</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59,669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231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(2,029)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57,871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57,871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57,871</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Camping Resort</w:t>
            </w: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Beachwood Resort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6,599</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ThemeWorld RV Resort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24,896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24,896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24,896</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Sylvan Glen Estates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23,751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23,751</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Shelter Island Boatyard</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9,520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402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9,969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9,969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9,969</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Lauderdale Marine Center</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336,992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341,232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341,232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341,232</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Apponaug Harbor</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6,540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5,940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5,940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5,940</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Marathon Marina</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19,182</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Allen Harbor</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3,900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3,900</w:t>
            </w: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5"/>
              </w:rPr>
              <w:t>Cisco Grove Campground</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6,609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6,631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6,631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6,631</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&amp; RV</w:t>
            </w: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Four Leaf Portfolio</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210,723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3,958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214,536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214,536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214,536</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Harborage Yacht Club</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21,577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21,577</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Zeman Portfolio</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14,184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731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14,370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14,370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14,370</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Southern Leisure Resort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17,421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17,421</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Sunroad Marina</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38,570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537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44,008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83,115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83,115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83,115</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Lazy Lakes RV</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11,234</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3" w:lineRule="exact"/>
              <w:rPr>
                <w:sz w:val="20"/>
                <w:szCs w:val="20"/>
                <w:color w:val="auto"/>
              </w:rPr>
            </w:pPr>
            <w:r>
              <w:rPr>
                <w:rFonts w:ascii="Arial" w:cs="Arial" w:eastAsia="Arial" w:hAnsi="Arial"/>
                <w:sz w:val="15"/>
                <w:szCs w:val="15"/>
                <w:color w:val="auto"/>
              </w:rPr>
              <w:t>Puerto Del Rey</w:t>
            </w:r>
            <w:r>
              <w:rPr>
                <w:rFonts w:ascii="Arial" w:cs="Arial" w:eastAsia="Arial" w:hAnsi="Arial"/>
                <w:sz w:val="19"/>
                <w:szCs w:val="19"/>
                <w:color w:val="auto"/>
                <w:vertAlign w:val="superscript"/>
              </w:rPr>
              <w:t>(1)</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93,377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91,901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91,901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91,901</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Stingray Point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2,611</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Detroit River</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8,737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8,297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8,297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8,297</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Jetstream RV Resort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17,301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17,301</w:t>
            </w:r>
          </w:p>
        </w:tc>
        <w:tc>
          <w:tcPr>
            <w:tcW w:w="0" w:type="dxa"/>
            <w:vAlign w:val="bottom"/>
          </w:tcPr>
          <w:p>
            <w:pPr>
              <w:spacing w:after="0"/>
              <w:rPr>
                <w:sz w:val="1"/>
                <w:szCs w:val="1"/>
                <w:color w:val="auto"/>
              </w:rPr>
            </w:pPr>
          </w:p>
        </w:tc>
      </w:tr>
      <w:tr>
        <w:trPr>
          <w:trHeight w:val="202"/>
        </w:trPr>
        <w:tc>
          <w:tcPr>
            <w:tcW w:w="1700" w:type="dxa"/>
            <w:vAlign w:val="bottom"/>
          </w:tcPr>
          <w:p>
            <w:pPr>
              <w:ind w:left="20"/>
              <w:spacing w:after="0" w:line="203" w:lineRule="exact"/>
              <w:rPr>
                <w:sz w:val="20"/>
                <w:szCs w:val="20"/>
                <w:color w:val="auto"/>
              </w:rPr>
            </w:pPr>
            <w:r>
              <w:rPr>
                <w:rFonts w:ascii="Arial" w:cs="Arial" w:eastAsia="Arial" w:hAnsi="Arial"/>
                <w:sz w:val="15"/>
                <w:szCs w:val="15"/>
                <w:b w:val="1"/>
                <w:bCs w:val="1"/>
                <w:color w:val="auto"/>
                <w:w w:val="93"/>
              </w:rPr>
              <w:t>Business Combination</w:t>
            </w:r>
            <w:r>
              <w:rPr>
                <w:rFonts w:ascii="Arial" w:cs="Arial" w:eastAsia="Arial" w:hAnsi="Arial"/>
                <w:sz w:val="19"/>
                <w:szCs w:val="19"/>
                <w:b w:val="1"/>
                <w:bCs w:val="1"/>
                <w:color w:val="auto"/>
                <w:w w:val="93"/>
                <w:vertAlign w:val="superscript"/>
              </w:rPr>
              <w:t>(2)</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Cabrillo Isle</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47,017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47,017</w:t>
            </w:r>
          </w:p>
        </w:tc>
        <w:tc>
          <w:tcPr>
            <w:tcW w:w="0" w:type="dxa"/>
            <w:vAlign w:val="bottom"/>
          </w:tcPr>
          <w:p>
            <w:pPr>
              <w:spacing w:after="0"/>
              <w:rPr>
                <w:sz w:val="1"/>
                <w:szCs w:val="1"/>
                <w:color w:val="auto"/>
              </w:rPr>
            </w:pPr>
          </w:p>
        </w:tc>
      </w:tr>
      <w:tr>
        <w:trPr>
          <w:trHeight w:val="192"/>
        </w:trPr>
        <w:tc>
          <w:tcPr>
            <w:tcW w:w="1700" w:type="dxa"/>
            <w:vAlign w:val="bottom"/>
          </w:tcPr>
          <w:p>
            <w:pPr>
              <w:ind w:left="20"/>
              <w:spacing w:after="0"/>
              <w:rPr>
                <w:sz w:val="20"/>
                <w:szCs w:val="20"/>
                <w:color w:val="auto"/>
              </w:rPr>
            </w:pPr>
            <w:r>
              <w:rPr>
                <w:rFonts w:ascii="Arial" w:cs="Arial" w:eastAsia="Arial" w:hAnsi="Arial"/>
                <w:sz w:val="15"/>
                <w:szCs w:val="15"/>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1,041,166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26,435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26,787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1,095,721</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1,071,721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24,000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1,095,721</w:t>
            </w: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Purchase price allocation is preliminary as of September 30, 2021, subject to revision based on the final purchase price allocation.</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Refer to Note 5, "Goodwill and Other Intangibles Assets," for additional detail on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we have incurred and capitalized $10.9 million of transaction costs which have been capitalized and allocated among the various fixed asset categories for purchases that meet the asset acquisition criteria. As of September 30, 2021, we also incurred $1.0 million of business combination expenses, which are expensed for purchases deemed to be business combinations.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results of our operations for the three and nine months ended September 30, 2021 and 2020, as if the properties combined through business combinations in 2021 had been acquired on January 1, 2020. The unaudited pro forma results reflect certain adjustments for items that are not expected to have a continuing impact, such as adjustments for transaction costs incurred, management fees and acquisition accounting.</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presented below has been prepared for comparative purposes only and does not purport to be indicative of either future results of operations or the results of operations that would have actually occurred had the acquisition been consummated on January 1, 2020 (in thousands, except per-share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320"/>
              <w:spacing w:after="0"/>
              <w:rPr>
                <w:sz w:val="20"/>
                <w:szCs w:val="20"/>
                <w:color w:val="auto"/>
              </w:rPr>
            </w:pPr>
            <w:r>
              <w:rPr>
                <w:rFonts w:ascii="Arial" w:cs="Arial" w:eastAsia="Arial" w:hAnsi="Arial"/>
                <w:sz w:val="15"/>
                <w:szCs w:val="15"/>
                <w:b w:val="1"/>
                <w:bCs w:val="1"/>
                <w:color w:val="auto"/>
                <w:w w:val="97"/>
              </w:rPr>
              <w:t>Three Months Ended</w:t>
            </w: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Nine Months Ended</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6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September 30, 2021</w:t>
            </w:r>
          </w:p>
        </w:tc>
        <w:tc>
          <w:tcPr>
            <w:tcW w:w="1360" w:type="dxa"/>
            <w:vAlign w:val="bottom"/>
            <w:gridSpan w:val="2"/>
          </w:tcPr>
          <w:p>
            <w:pPr>
              <w:ind w:left="40"/>
              <w:spacing w:after="0"/>
              <w:rPr>
                <w:sz w:val="20"/>
                <w:szCs w:val="20"/>
                <w:color w:val="auto"/>
              </w:rPr>
            </w:pPr>
            <w:r>
              <w:rPr>
                <w:rFonts w:ascii="Arial" w:cs="Arial" w:eastAsia="Arial" w:hAnsi="Arial"/>
                <w:sz w:val="15"/>
                <w:szCs w:val="15"/>
                <w:b w:val="1"/>
                <w:bCs w:val="1"/>
                <w:color w:val="auto"/>
                <w:w w:val="92"/>
              </w:rPr>
              <w:t>September 30, 2020</w:t>
            </w:r>
          </w:p>
        </w:tc>
        <w:tc>
          <w:tcPr>
            <w:tcW w:w="22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2021</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2"/>
              </w:rPr>
              <w:t>September 30, 2020</w:t>
            </w:r>
          </w:p>
        </w:tc>
        <w:tc>
          <w:tcPr>
            <w:tcW w:w="0" w:type="dxa"/>
            <w:vAlign w:val="bottom"/>
          </w:tcPr>
          <w:p>
            <w:pPr>
              <w:spacing w:after="0"/>
              <w:rPr>
                <w:sz w:val="1"/>
                <w:szCs w:val="1"/>
                <w:color w:val="auto"/>
              </w:rPr>
            </w:pPr>
          </w:p>
        </w:tc>
      </w:tr>
      <w:tr>
        <w:trPr>
          <w:trHeight w:val="198"/>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685,662</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401,867</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1,734,088</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1,017,988</w:t>
            </w:r>
          </w:p>
        </w:tc>
        <w:tc>
          <w:tcPr>
            <w:tcW w:w="0" w:type="dxa"/>
            <w:vAlign w:val="bottom"/>
          </w:tcPr>
          <w:p>
            <w:pPr>
              <w:spacing w:after="0"/>
              <w:rPr>
                <w:sz w:val="1"/>
                <w:szCs w:val="1"/>
                <w:color w:val="auto"/>
              </w:rPr>
            </w:pPr>
          </w:p>
        </w:tc>
      </w:tr>
      <w:tr>
        <w:trPr>
          <w:trHeight w:val="199"/>
        </w:trPr>
        <w:tc>
          <w:tcPr>
            <w:tcW w:w="5360" w:type="dxa"/>
            <w:vAlign w:val="bottom"/>
          </w:tcPr>
          <w:p>
            <w:pPr>
              <w:ind w:left="2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231,580</w:t>
            </w:r>
          </w:p>
        </w:tc>
        <w:tc>
          <w:tcPr>
            <w:tcW w:w="10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82,122</w:t>
            </w:r>
          </w:p>
        </w:tc>
        <w:tc>
          <w:tcPr>
            <w:tcW w:w="220" w:type="dxa"/>
            <w:vAlign w:val="bottom"/>
          </w:tcPr>
          <w:p>
            <w:pPr>
              <w:spacing w:after="0"/>
              <w:rPr>
                <w:sz w:val="17"/>
                <w:szCs w:val="17"/>
                <w:color w:val="auto"/>
              </w:rPr>
            </w:pPr>
          </w:p>
        </w:tc>
        <w:tc>
          <w:tcPr>
            <w:tcW w:w="400" w:type="dxa"/>
            <w:vAlign w:val="bottom"/>
          </w:tcPr>
          <w:p>
            <w:pPr>
              <w:jc w:val="right"/>
              <w:ind w:right="2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367,838</w:t>
            </w:r>
          </w:p>
        </w:tc>
        <w:tc>
          <w:tcPr>
            <w:tcW w:w="120" w:type="dxa"/>
            <w:vAlign w:val="bottom"/>
          </w:tcPr>
          <w:p>
            <w:pPr>
              <w:spacing w:after="0"/>
              <w:rPr>
                <w:sz w:val="17"/>
                <w:szCs w:val="17"/>
                <w:color w:val="auto"/>
              </w:rPr>
            </w:pPr>
          </w:p>
        </w:tc>
        <w:tc>
          <w:tcPr>
            <w:tcW w:w="640" w:type="dxa"/>
            <w:vAlign w:val="bottom"/>
          </w:tcPr>
          <w:p>
            <w:pPr>
              <w:jc w:val="right"/>
              <w:ind w:right="46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125,905</w:t>
            </w:r>
          </w:p>
        </w:tc>
        <w:tc>
          <w:tcPr>
            <w:tcW w:w="0" w:type="dxa"/>
            <w:vAlign w:val="bottom"/>
          </w:tcPr>
          <w:p>
            <w:pPr>
              <w:spacing w:after="0"/>
              <w:rPr>
                <w:sz w:val="1"/>
                <w:szCs w:val="1"/>
                <w:color w:val="auto"/>
              </w:rPr>
            </w:pPr>
          </w:p>
        </w:tc>
      </w:tr>
      <w:tr>
        <w:trPr>
          <w:trHeight w:val="153"/>
        </w:trPr>
        <w:tc>
          <w:tcPr>
            <w:tcW w:w="536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Net income per share attributable to Sun Communities, Inc. common stockholders -</w:t>
            </w:r>
          </w:p>
        </w:tc>
        <w:tc>
          <w:tcPr>
            <w:tcW w:w="4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0.84</w:t>
            </w:r>
          </w:p>
        </w:tc>
        <w:tc>
          <w:tcPr>
            <w:tcW w:w="2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464"/>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w:t>
            </w:r>
          </w:p>
        </w:tc>
        <w:tc>
          <w:tcPr>
            <w:tcW w:w="4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360" w:type="dxa"/>
            <w:vAlign w:val="bottom"/>
          </w:tcPr>
          <w:p>
            <w:pPr>
              <w:ind w:left="20"/>
              <w:spacing w:after="0" w:line="149" w:lineRule="exact"/>
              <w:rPr>
                <w:sz w:val="20"/>
                <w:szCs w:val="20"/>
                <w:color w:val="auto"/>
              </w:rPr>
            </w:pPr>
            <w:r>
              <w:rPr>
                <w:rFonts w:ascii="Arial" w:cs="Arial" w:eastAsia="Arial" w:hAnsi="Arial"/>
                <w:sz w:val="15"/>
                <w:szCs w:val="15"/>
                <w:color w:val="auto"/>
                <w:w w:val="96"/>
              </w:rPr>
              <w:t>Net income per share attributable to Sun Communities, Inc. common stockholders -</w:t>
            </w:r>
          </w:p>
        </w:tc>
        <w:tc>
          <w:tcPr>
            <w:tcW w:w="4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1.96</w:t>
            </w:r>
          </w:p>
        </w:tc>
        <w:tc>
          <w:tcPr>
            <w:tcW w:w="100" w:type="dxa"/>
            <w:vAlign w:val="bottom"/>
          </w:tcPr>
          <w:p>
            <w:pPr>
              <w:spacing w:after="0"/>
              <w:rPr>
                <w:sz w:val="12"/>
                <w:szCs w:val="12"/>
                <w:color w:val="auto"/>
              </w:rPr>
            </w:pPr>
          </w:p>
        </w:tc>
        <w:tc>
          <w:tcPr>
            <w:tcW w:w="7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0.84</w:t>
            </w:r>
          </w:p>
        </w:tc>
        <w:tc>
          <w:tcPr>
            <w:tcW w:w="220" w:type="dxa"/>
            <w:vAlign w:val="bottom"/>
          </w:tcPr>
          <w:p>
            <w:pPr>
              <w:spacing w:after="0"/>
              <w:rPr>
                <w:sz w:val="12"/>
                <w:szCs w:val="12"/>
                <w:color w:val="auto"/>
              </w:rPr>
            </w:pPr>
          </w:p>
        </w:tc>
        <w:tc>
          <w:tcPr>
            <w:tcW w:w="400" w:type="dxa"/>
            <w:vAlign w:val="bottom"/>
            <w:vMerge w:val="restart"/>
          </w:tcPr>
          <w:p>
            <w:pPr>
              <w:jc w:val="right"/>
              <w:ind w:right="224"/>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3.22</w:t>
            </w:r>
          </w:p>
        </w:tc>
        <w:tc>
          <w:tcPr>
            <w:tcW w:w="120" w:type="dxa"/>
            <w:vAlign w:val="bottom"/>
          </w:tcPr>
          <w:p>
            <w:pPr>
              <w:spacing w:after="0"/>
              <w:rPr>
                <w:sz w:val="12"/>
                <w:szCs w:val="12"/>
                <w:color w:val="auto"/>
              </w:rPr>
            </w:pPr>
          </w:p>
        </w:tc>
        <w:tc>
          <w:tcPr>
            <w:tcW w:w="640" w:type="dxa"/>
            <w:vAlign w:val="bottom"/>
            <w:vMerge w:val="restart"/>
          </w:tcPr>
          <w:p>
            <w:pPr>
              <w:jc w:val="right"/>
              <w:ind w:right="464"/>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194"/>
        </w:trPr>
        <w:tc>
          <w:tcPr>
            <w:tcW w:w="5360" w:type="dxa"/>
            <w:vAlign w:val="bottom"/>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for Expansion / Development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September 30, 2021, we acquired three land parcels, which are located in Ft. Collins, Colorado; Ft. Lupton, Colorado; and Leighton, Michigan, approved for the development of over 500 MH sites, for total consideration of $7.7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18, "Subsequent Events," for information regarding real estate acquisitions completed after September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 2021, we sold two MH communities located in Indiana and Missouri, containing a combined 677 sites, for $67.5 million. The gain from the sale of the property was approximately $49.4 million.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26, 2021, we sold four MH communities located in Arizona, Illinois and Missouri, containing a combined 1,137 sites, for $94.6 million. The gain from the sale of the property was approximately $58.7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 and dispositions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2020, we acquired the following MH communities, RV resorts and marinas.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vMerge w:val="restart"/>
          </w:tcPr>
          <w:p>
            <w:pPr>
              <w:ind w:left="82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vMerge w:val="restart"/>
          </w:tcPr>
          <w:p>
            <w:pPr>
              <w:spacing w:after="0"/>
              <w:rPr>
                <w:sz w:val="14"/>
                <w:szCs w:val="14"/>
                <w:color w:val="auto"/>
              </w:rPr>
            </w:pPr>
          </w:p>
        </w:tc>
        <w:tc>
          <w:tcPr>
            <w:tcW w:w="2300" w:type="dxa"/>
            <w:vAlign w:val="bottom"/>
            <w:vMerge w:val="restart"/>
          </w:tcPr>
          <w:p>
            <w:pPr>
              <w:ind w:left="980"/>
              <w:spacing w:after="0"/>
              <w:rPr>
                <w:sz w:val="20"/>
                <w:szCs w:val="20"/>
                <w:color w:val="auto"/>
              </w:rPr>
            </w:pPr>
            <w:r>
              <w:rPr>
                <w:rFonts w:ascii="Arial" w:cs="Arial" w:eastAsia="Arial" w:hAnsi="Arial"/>
                <w:sz w:val="15"/>
                <w:szCs w:val="15"/>
                <w:b w:val="1"/>
                <w:bCs w:val="1"/>
                <w:color w:val="auto"/>
              </w:rPr>
              <w:t>Type</w:t>
            </w:r>
          </w:p>
        </w:tc>
        <w:tc>
          <w:tcPr>
            <w:tcW w:w="100" w:type="dxa"/>
            <w:vAlign w:val="bottom"/>
            <w:vMerge w:val="restart"/>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5"/>
                <w:szCs w:val="15"/>
                <w:b w:val="1"/>
                <w:bCs w:val="1"/>
                <w:color w:val="auto"/>
              </w:rPr>
              <w:t>Sites, Wet Slips and</w:t>
            </w:r>
          </w:p>
        </w:tc>
        <w:tc>
          <w:tcPr>
            <w:tcW w:w="15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Development Sites</w:t>
            </w:r>
          </w:p>
        </w:tc>
        <w:tc>
          <w:tcPr>
            <w:tcW w:w="120" w:type="dxa"/>
            <w:vAlign w:val="bottom"/>
          </w:tcPr>
          <w:p>
            <w:pPr>
              <w:spacing w:after="0"/>
              <w:rPr>
                <w:sz w:val="14"/>
                <w:szCs w:val="14"/>
                <w:color w:val="auto"/>
              </w:rPr>
            </w:pPr>
          </w:p>
        </w:tc>
        <w:tc>
          <w:tcPr>
            <w:tcW w:w="100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State</w:t>
            </w:r>
          </w:p>
        </w:tc>
        <w:tc>
          <w:tcPr>
            <w:tcW w:w="120" w:type="dxa"/>
            <w:vAlign w:val="bottom"/>
            <w:vMerge w:val="restart"/>
          </w:tcPr>
          <w:p>
            <w:pPr>
              <w:spacing w:after="0"/>
              <w:rPr>
                <w:sz w:val="14"/>
                <w:szCs w:val="14"/>
                <w:color w:val="auto"/>
              </w:rPr>
            </w:pPr>
          </w:p>
        </w:tc>
        <w:tc>
          <w:tcPr>
            <w:tcW w:w="156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Month Acquired</w:t>
            </w:r>
          </w:p>
        </w:tc>
        <w:tc>
          <w:tcPr>
            <w:tcW w:w="0" w:type="dxa"/>
            <w:vAlign w:val="bottom"/>
          </w:tcPr>
          <w:p>
            <w:pPr>
              <w:spacing w:after="0"/>
              <w:rPr>
                <w:sz w:val="1"/>
                <w:szCs w:val="1"/>
                <w:color w:val="auto"/>
              </w:rPr>
            </w:pPr>
          </w:p>
        </w:tc>
      </w:tr>
      <w:tr>
        <w:trPr>
          <w:trHeight w:val="200"/>
        </w:trPr>
        <w:tc>
          <w:tcPr>
            <w:tcW w:w="2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94"/>
              </w:rPr>
              <w:t>Dry Storage Spaces</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line="198" w:lineRule="exact"/>
              <w:rPr>
                <w:sz w:val="20"/>
                <w:szCs w:val="20"/>
                <w:color w:val="auto"/>
              </w:rPr>
            </w:pPr>
            <w:r>
              <w:rPr>
                <w:rFonts w:ascii="Arial" w:cs="Arial" w:eastAsia="Arial" w:hAnsi="Arial"/>
                <w:sz w:val="15"/>
                <w:szCs w:val="15"/>
                <w:color w:val="auto"/>
              </w:rPr>
              <w:t>Cape Cod</w:t>
            </w:r>
            <w:r>
              <w:rPr>
                <w:rFonts w:ascii="Arial" w:cs="Arial" w:eastAsia="Arial" w:hAnsi="Arial"/>
                <w:sz w:val="19"/>
                <w:szCs w:val="19"/>
                <w:color w:val="auto"/>
                <w:vertAlign w:val="superscript"/>
              </w:rPr>
              <w:t>(1)</w:t>
            </w:r>
          </w:p>
        </w:tc>
        <w:tc>
          <w:tcPr>
            <w:tcW w:w="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c>
          <w:tcPr>
            <w:tcW w:w="0" w:type="dxa"/>
            <w:vAlign w:val="bottom"/>
          </w:tcPr>
          <w:p>
            <w:pPr>
              <w:spacing w:after="0"/>
              <w:rPr>
                <w:sz w:val="1"/>
                <w:szCs w:val="1"/>
                <w:color w:val="auto"/>
              </w:rPr>
            </w:pPr>
          </w:p>
        </w:tc>
      </w:tr>
      <w:tr>
        <w:trPr>
          <w:trHeight w:val="199"/>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Jellystone Natural Bridge</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299</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VA</w:t>
            </w:r>
          </w:p>
        </w:tc>
        <w:tc>
          <w:tcPr>
            <w:tcW w:w="1560" w:type="dxa"/>
            <w:vAlign w:val="bottom"/>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6"/>
        </w:trPr>
        <w:tc>
          <w:tcPr>
            <w:tcW w:w="2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Forest Springs</w:t>
            </w:r>
            <w:r>
              <w:rPr>
                <w:rFonts w:ascii="Arial" w:cs="Arial" w:eastAsia="Arial" w:hAnsi="Arial"/>
                <w:sz w:val="19"/>
                <w:szCs w:val="19"/>
                <w:color w:val="auto"/>
                <w:vertAlign w:val="superscript"/>
              </w:rPr>
              <w:t>(2)</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372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c>
          <w:tcPr>
            <w:tcW w:w="0" w:type="dxa"/>
            <w:vAlign w:val="bottom"/>
          </w:tcPr>
          <w:p>
            <w:pPr>
              <w:spacing w:after="0"/>
              <w:rPr>
                <w:sz w:val="1"/>
                <w:szCs w:val="1"/>
                <w:color w:val="auto"/>
              </w:rPr>
            </w:pPr>
          </w:p>
        </w:tc>
      </w:tr>
      <w:tr>
        <w:trPr>
          <w:trHeight w:val="199"/>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Crown Villa</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OR</w:t>
            </w:r>
          </w:p>
        </w:tc>
        <w:tc>
          <w:tcPr>
            <w:tcW w:w="1560" w:type="dxa"/>
            <w:vAlign w:val="bottom"/>
          </w:tcPr>
          <w:p>
            <w:pPr>
              <w:ind w:left="20"/>
              <w:spacing w:after="0"/>
              <w:rPr>
                <w:sz w:val="20"/>
                <w:szCs w:val="20"/>
                <w:color w:val="auto"/>
              </w:rPr>
            </w:pPr>
            <w:r>
              <w:rPr>
                <w:rFonts w:ascii="Arial" w:cs="Arial" w:eastAsia="Arial" w:hAnsi="Arial"/>
                <w:sz w:val="15"/>
                <w:szCs w:val="15"/>
                <w:color w:val="auto"/>
              </w:rPr>
              <w:t>June</w:t>
            </w:r>
          </w:p>
        </w:tc>
        <w:tc>
          <w:tcPr>
            <w:tcW w:w="0" w:type="dxa"/>
            <w:vAlign w:val="bottom"/>
          </w:tcPr>
          <w:p>
            <w:pPr>
              <w:spacing w:after="0"/>
              <w:rPr>
                <w:sz w:val="1"/>
                <w:szCs w:val="1"/>
                <w:color w:val="auto"/>
              </w:rPr>
            </w:pPr>
          </w:p>
        </w:tc>
      </w:tr>
      <w:tr>
        <w:trPr>
          <w:trHeight w:val="20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Flamingo Lake</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421</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w:t>
            </w:r>
          </w:p>
        </w:tc>
        <w:tc>
          <w:tcPr>
            <w:tcW w:w="0" w:type="dxa"/>
            <w:vAlign w:val="bottom"/>
          </w:tcPr>
          <w:p>
            <w:pPr>
              <w:spacing w:after="0"/>
              <w:rPr>
                <w:sz w:val="1"/>
                <w:szCs w:val="1"/>
                <w:color w:val="auto"/>
              </w:rPr>
            </w:pPr>
          </w:p>
        </w:tc>
      </w:tr>
      <w:tr>
        <w:trPr>
          <w:trHeight w:val="199"/>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Woodsmoke</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FL</w:t>
            </w:r>
          </w:p>
        </w:tc>
        <w:tc>
          <w:tcPr>
            <w:tcW w:w="1560" w:type="dxa"/>
            <w:vAlign w:val="bottom"/>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Jellystone Lone Star</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TX</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3"/>
        </w:trPr>
        <w:tc>
          <w:tcPr>
            <w:tcW w:w="29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El Capitan &amp; Ocean Mesa</w:t>
            </w:r>
            <w:r>
              <w:rPr>
                <w:rFonts w:ascii="Arial" w:cs="Arial" w:eastAsia="Arial" w:hAnsi="Arial"/>
                <w:sz w:val="19"/>
                <w:szCs w:val="19"/>
                <w:color w:val="auto"/>
                <w:vertAlign w:val="superscript"/>
              </w:rPr>
              <w:t>(3)(4)</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266</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109</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560" w:type="dxa"/>
            <w:vAlign w:val="bottom"/>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Highland Green Estates &amp; Troy Villa</w:t>
            </w:r>
            <w:r>
              <w:rPr>
                <w:rFonts w:ascii="Arial" w:cs="Arial" w:eastAsia="Arial" w:hAnsi="Arial"/>
                <w:sz w:val="19"/>
                <w:szCs w:val="19"/>
                <w:color w:val="auto"/>
                <w:vertAlign w:val="superscript"/>
              </w:rPr>
              <w:t>(5)</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1,162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3"/>
        </w:trPr>
        <w:tc>
          <w:tcPr>
            <w:tcW w:w="29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Safe Harbor</w:t>
            </w:r>
            <w:r>
              <w:rPr>
                <w:rFonts w:ascii="Arial" w:cs="Arial" w:eastAsia="Arial" w:hAnsi="Arial"/>
                <w:sz w:val="19"/>
                <w:szCs w:val="19"/>
                <w:color w:val="auto"/>
                <w:vertAlign w:val="superscript"/>
              </w:rPr>
              <w:t>(6)</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Marina: business combination</w:t>
            </w:r>
          </w:p>
        </w:tc>
        <w:tc>
          <w:tcPr>
            <w:tcW w:w="1440" w:type="dxa"/>
            <w:vAlign w:val="bottom"/>
          </w:tcPr>
          <w:p>
            <w:pPr>
              <w:jc w:val="right"/>
              <w:ind w:right="5"/>
              <w:spacing w:after="0"/>
              <w:rPr>
                <w:sz w:val="20"/>
                <w:szCs w:val="20"/>
                <w:color w:val="auto"/>
              </w:rPr>
            </w:pPr>
            <w:r>
              <w:rPr>
                <w:rFonts w:ascii="Arial" w:cs="Arial" w:eastAsia="Arial" w:hAnsi="Arial"/>
                <w:sz w:val="14"/>
                <w:szCs w:val="14"/>
                <w:color w:val="auto"/>
              </w:rPr>
              <w:t>37,305</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Various</w:t>
            </w:r>
          </w:p>
        </w:tc>
        <w:tc>
          <w:tcPr>
            <w:tcW w:w="1560" w:type="dxa"/>
            <w:vAlign w:val="bottom"/>
          </w:tcPr>
          <w:p>
            <w:pPr>
              <w:ind w:left="20"/>
              <w:spacing w:after="0"/>
              <w:rPr>
                <w:sz w:val="20"/>
                <w:szCs w:val="20"/>
                <w:color w:val="auto"/>
              </w:rPr>
            </w:pPr>
            <w:r>
              <w:rPr>
                <w:rFonts w:ascii="Arial" w:cs="Arial" w:eastAsia="Arial" w:hAnsi="Arial"/>
                <w:sz w:val="15"/>
                <w:szCs w:val="15"/>
                <w:color w:val="auto"/>
              </w:rPr>
              <w:t>October</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Safe Harbor Hideaway Bay</w:t>
            </w:r>
            <w:r>
              <w:rPr>
                <w:rFonts w:ascii="Arial" w:cs="Arial" w:eastAsia="Arial" w:hAnsi="Arial"/>
                <w:sz w:val="19"/>
                <w:szCs w:val="19"/>
                <w:color w:val="auto"/>
                <w:vertAlign w:val="superscript"/>
              </w:rPr>
              <w:t>(7)</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business combination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November</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Gig Harbor</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WA</w:t>
            </w:r>
          </w:p>
        </w:tc>
        <w:tc>
          <w:tcPr>
            <w:tcW w:w="1560" w:type="dxa"/>
            <w:vAlign w:val="bottom"/>
          </w:tcPr>
          <w:p>
            <w:pPr>
              <w:ind w:left="20"/>
              <w:spacing w:after="0"/>
              <w:rPr>
                <w:sz w:val="20"/>
                <w:szCs w:val="20"/>
                <w:color w:val="auto"/>
              </w:rPr>
            </w:pPr>
            <w:r>
              <w:rPr>
                <w:rFonts w:ascii="Arial" w:cs="Arial" w:eastAsia="Arial" w:hAnsi="Arial"/>
                <w:sz w:val="15"/>
                <w:szCs w:val="15"/>
                <w:color w:val="auto"/>
              </w:rPr>
              <w:t>November</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Maine MH Portfolio</w:t>
            </w:r>
            <w:r>
              <w:rPr>
                <w:rFonts w:ascii="Arial" w:cs="Arial" w:eastAsia="Arial" w:hAnsi="Arial"/>
                <w:sz w:val="19"/>
                <w:szCs w:val="19"/>
                <w:color w:val="auto"/>
                <w:vertAlign w:val="superscript"/>
              </w:rPr>
              <w:t>(8)</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1,083</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November</w:t>
            </w:r>
          </w:p>
        </w:tc>
        <w:tc>
          <w:tcPr>
            <w:tcW w:w="0" w:type="dxa"/>
            <w:vAlign w:val="bottom"/>
          </w:tcPr>
          <w:p>
            <w:pPr>
              <w:spacing w:after="0"/>
              <w:rPr>
                <w:sz w:val="1"/>
                <w:szCs w:val="1"/>
                <w:color w:val="auto"/>
              </w:rPr>
            </w:pPr>
          </w:p>
        </w:tc>
      </w:tr>
      <w:tr>
        <w:trPr>
          <w:trHeight w:val="203"/>
        </w:trPr>
        <w:tc>
          <w:tcPr>
            <w:tcW w:w="29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Safe Harbor Anacapa Isle</w:t>
            </w:r>
            <w:r>
              <w:rPr>
                <w:rFonts w:ascii="Arial" w:cs="Arial" w:eastAsia="Arial" w:hAnsi="Arial"/>
                <w:sz w:val="19"/>
                <w:szCs w:val="19"/>
                <w:color w:val="auto"/>
                <w:vertAlign w:val="superscript"/>
              </w:rPr>
              <w:t>(7)</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Marina: business combination</w:t>
            </w:r>
          </w:p>
        </w:tc>
        <w:tc>
          <w:tcPr>
            <w:tcW w:w="1440" w:type="dxa"/>
            <w:vAlign w:val="bottom"/>
          </w:tcPr>
          <w:p>
            <w:pPr>
              <w:jc w:val="right"/>
              <w:ind w:right="5"/>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Mears Annapolis</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acquisitions</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MD</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Wickford</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acquisitions</w:t>
            </w:r>
          </w:p>
        </w:tc>
        <w:tc>
          <w:tcPr>
            <w:tcW w:w="1440" w:type="dxa"/>
            <w:vAlign w:val="bottom"/>
          </w:tcPr>
          <w:p>
            <w:pPr>
              <w:jc w:val="right"/>
              <w:ind w:right="5"/>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RI</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Rybovich Portfolio</w:t>
            </w:r>
            <w:r>
              <w:rPr>
                <w:rFonts w:ascii="Arial" w:cs="Arial" w:eastAsia="Arial" w:hAnsi="Arial"/>
                <w:sz w:val="19"/>
                <w:szCs w:val="19"/>
                <w:color w:val="auto"/>
                <w:vertAlign w:val="superscript"/>
              </w:rPr>
              <w:t>(9)</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business combination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Rockland</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acquisitions</w:t>
            </w:r>
          </w:p>
        </w:tc>
        <w:tc>
          <w:tcPr>
            <w:tcW w:w="1440" w:type="dxa"/>
            <w:vAlign w:val="bottom"/>
          </w:tcPr>
          <w:p>
            <w:pPr>
              <w:jc w:val="right"/>
              <w:ind w:right="5"/>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ME</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Mouse Mountain</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 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Lakeview Mobile Estates</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MH: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Shenandoah Acres</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522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Jellystone at Barton Lake</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555</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IN</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Kittatinny Portfolio</w:t>
            </w:r>
            <w:r>
              <w:rPr>
                <w:rFonts w:ascii="Arial" w:cs="Arial" w:eastAsia="Arial" w:hAnsi="Arial"/>
                <w:sz w:val="19"/>
                <w:szCs w:val="19"/>
                <w:color w:val="auto"/>
                <w:vertAlign w:val="superscript"/>
              </w:rPr>
              <w:t>(4)</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527</w:t>
            </w: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NY &amp; PA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4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45,800</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109</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 conjunction with the acquisition, we issued Series E preferred OP units. As of December 31, 2020, 90,000 Series E preferred OP units were outstanding.</w:t>
      </w:r>
    </w:p>
    <w:p>
      <w:pPr>
        <w:spacing w:after="0" w:line="45" w:lineRule="exact"/>
        <w:rPr>
          <w:rFonts w:ascii="Arial" w:cs="Arial" w:eastAsia="Arial" w:hAnsi="Arial"/>
          <w:sz w:val="16"/>
          <w:szCs w:val="16"/>
          <w:color w:val="auto"/>
          <w:vertAlign w:val="superscript"/>
        </w:rPr>
      </w:pPr>
    </w:p>
    <w:p>
      <w:pPr>
        <w:ind w:left="180" w:hanging="172"/>
        <w:spacing w:after="0" w:line="231" w:lineRule="auto"/>
        <w:tabs>
          <w:tab w:leader="none" w:pos="15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In conjunction with the acquisition, we issued Series F preferred OP units and common OP units. As of December 31, 2020, 90,000 Series F preferred OP units, specific to this acquisition, were outstanding.</w:t>
      </w:r>
    </w:p>
    <w:p>
      <w:pPr>
        <w:spacing w:after="0" w:line="9"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 conjunction with the acquisition, we issued Series G preferred OP units. As of December 31, 2020, 240,710 Series G preferred OP units were outstanding.</w:t>
      </w:r>
    </w:p>
    <w:p>
      <w:pPr>
        <w:spacing w:after="0" w:line="36" w:lineRule="exact"/>
        <w:rPr>
          <w:rFonts w:ascii="Arial" w:cs="Arial" w:eastAsia="Arial" w:hAnsi="Arial"/>
          <w:sz w:val="18"/>
          <w:szCs w:val="18"/>
          <w:color w:val="auto"/>
          <w:vertAlign w:val="superscript"/>
        </w:rPr>
      </w:pPr>
    </w:p>
    <w:p>
      <w:pPr>
        <w:ind w:left="160" w:hanging="152"/>
        <w:spacing w:after="0" w:line="207"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two RV resorts.</w:t>
      </w:r>
    </w:p>
    <w:p>
      <w:pPr>
        <w:spacing w:after="0" w:line="46" w:lineRule="exact"/>
        <w:rPr>
          <w:rFonts w:ascii="Arial" w:cs="Arial" w:eastAsia="Arial" w:hAnsi="Arial"/>
          <w:sz w:val="18"/>
          <w:szCs w:val="18"/>
          <w:color w:val="auto"/>
          <w:vertAlign w:val="superscript"/>
        </w:rPr>
      </w:pPr>
    </w:p>
    <w:p>
      <w:pPr>
        <w:ind w:left="140" w:hanging="132"/>
        <w:spacing w:after="0" w:line="222"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Includes two communities.</w:t>
      </w:r>
    </w:p>
    <w:p>
      <w:pPr>
        <w:spacing w:after="0" w:line="45" w:lineRule="exact"/>
        <w:rPr>
          <w:rFonts w:ascii="Arial" w:cs="Arial" w:eastAsia="Arial" w:hAnsi="Arial"/>
          <w:sz w:val="16"/>
          <w:szCs w:val="16"/>
          <w:color w:val="auto"/>
          <w:vertAlign w:val="superscript"/>
        </w:rPr>
      </w:pPr>
    </w:p>
    <w:p>
      <w:pPr>
        <w:ind w:left="180" w:right="20" w:hanging="172"/>
        <w:spacing w:after="0" w:line="231" w:lineRule="auto"/>
        <w:tabs>
          <w:tab w:leader="none" w:pos="15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Includes 99 owned marinas located in 22 states. In conjunction with the acquisition, we issued Series H preferred OP units. As of December 31, 2020, 581,407 Series H preferred OP units were outstanding.</w:t>
      </w:r>
    </w:p>
    <w:p>
      <w:pPr>
        <w:spacing w:after="0" w:line="32"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Acquired in connection with the Safe Harbor acquisition. Transfer of the marinas was contingent on receiving third party consents.</w:t>
      </w:r>
    </w:p>
    <w:p>
      <w:pPr>
        <w:spacing w:after="0" w:line="45" w:lineRule="exact"/>
        <w:rPr>
          <w:rFonts w:ascii="Arial" w:cs="Arial" w:eastAsia="Arial" w:hAnsi="Arial"/>
          <w:sz w:val="16"/>
          <w:szCs w:val="16"/>
          <w:color w:val="auto"/>
          <w:vertAlign w:val="superscript"/>
        </w:rPr>
      </w:pPr>
    </w:p>
    <w:p>
      <w:pPr>
        <w:ind w:left="160" w:hanging="152"/>
        <w:spacing w:after="0" w:line="197"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six communities.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two marinas. In conjunction with the acquisition, we issued Series I preferred OP units. As of December 31, 2020, 922,000 Series I preferred OP units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2020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rPr>
              <w:t>At Acquisition Date</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480"/>
              <w:spacing w:after="0"/>
              <w:rPr>
                <w:sz w:val="20"/>
                <w:szCs w:val="20"/>
                <w:color w:val="auto"/>
              </w:rPr>
            </w:pPr>
            <w:r>
              <w:rPr>
                <w:rFonts w:ascii="Arial" w:cs="Arial" w:eastAsia="Arial" w:hAnsi="Arial"/>
                <w:sz w:val="15"/>
                <w:szCs w:val="15"/>
                <w:b w:val="1"/>
                <w:bCs w:val="1"/>
                <w:color w:val="auto"/>
              </w:rPr>
              <w:t>Consideration</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
              <w:spacing w:after="0" w:line="146" w:lineRule="exact"/>
              <w:rPr>
                <w:sz w:val="20"/>
                <w:szCs w:val="20"/>
                <w:color w:val="auto"/>
              </w:rPr>
            </w:pPr>
            <w:r>
              <w:rPr>
                <w:rFonts w:ascii="Arial" w:cs="Arial" w:eastAsia="Arial" w:hAnsi="Arial"/>
                <w:sz w:val="15"/>
                <w:szCs w:val="15"/>
                <w:color w:val="auto"/>
                <w:w w:val="96"/>
              </w:rPr>
              <w:t>Inventory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5"/>
                <w:szCs w:val="15"/>
                <w:color w:val="auto"/>
              </w:rPr>
              <w:t>Goodwill, In-</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
              <w:spacing w:after="0" w:line="149" w:lineRule="exact"/>
              <w:rPr>
                <w:sz w:val="20"/>
                <w:szCs w:val="20"/>
                <w:color w:val="auto"/>
              </w:rPr>
            </w:pPr>
            <w:r>
              <w:rPr>
                <w:rFonts w:ascii="Arial" w:cs="Arial" w:eastAsia="Arial" w:hAnsi="Arial"/>
                <w:sz w:val="15"/>
                <w:szCs w:val="15"/>
                <w:color w:val="auto"/>
                <w:w w:val="91"/>
              </w:rPr>
              <w:t>manufactured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w w:val="92"/>
              </w:rPr>
              <w:t>Total identifiable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90"/>
              </w:rPr>
              <w:t>Temporary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color w:val="auto"/>
                <w:w w:val="89"/>
              </w:rPr>
              <w:t>homes, boat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5"/>
                <w:szCs w:val="15"/>
                <w:color w:val="auto"/>
                <w:w w:val="86"/>
              </w:rPr>
              <w:t>place leases</w:t>
            </w: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w w:val="92"/>
              </w:rPr>
              <w:t>Other assets /</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5"/>
                <w:szCs w:val="15"/>
                <w:color w:val="auto"/>
                <w:w w:val="94"/>
              </w:rPr>
              <w:t>Investment in</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color w:val="auto"/>
                <w:w w:val="89"/>
              </w:rPr>
              <w:t>parts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1"/>
              </w:rPr>
              <w:t>and other</w:t>
            </w: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5"/>
                <w:szCs w:val="15"/>
                <w:b w:val="1"/>
                <w:bCs w:val="1"/>
                <w:color w:val="auto"/>
                <w:w w:val="86"/>
              </w:rPr>
              <w:t>assets acquired</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5"/>
                <w:szCs w:val="15"/>
                <w:color w:val="auto"/>
                <w:w w:val="87"/>
              </w:rPr>
              <w:t>Cash and</w:t>
            </w:r>
          </w:p>
        </w:tc>
        <w:tc>
          <w:tcPr>
            <w:tcW w:w="12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5"/>
                <w:szCs w:val="15"/>
                <w:color w:val="auto"/>
                <w:w w:val="94"/>
              </w:rPr>
              <w:t>Debt</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7"/>
              </w:rPr>
              <w:t>and</w:t>
            </w:r>
          </w:p>
        </w:tc>
        <w:tc>
          <w:tcPr>
            <w:tcW w:w="120" w:type="dxa"/>
            <w:vAlign w:val="bottom"/>
          </w:tcPr>
          <w:p>
            <w:pPr>
              <w:spacing w:after="0"/>
              <w:rPr>
                <w:sz w:val="12"/>
                <w:szCs w:val="12"/>
                <w:color w:val="auto"/>
              </w:rPr>
            </w:pPr>
          </w:p>
        </w:tc>
        <w:tc>
          <w:tcPr>
            <w:tcW w:w="1040" w:type="dxa"/>
            <w:vAlign w:val="bottom"/>
            <w:vMerge w:val="restart"/>
          </w:tcPr>
          <w:p>
            <w:pPr>
              <w:jc w:val="right"/>
              <w:ind w:right="34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color w:val="auto"/>
                <w:w w:val="93"/>
              </w:rPr>
              <w:t>and retail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6"/>
              </w:rPr>
              <w:t>intangible</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5"/>
                <w:szCs w:val="15"/>
                <w:color w:val="auto"/>
                <w:w w:val="98"/>
              </w:rPr>
              <w:t>(liabilities),</w:t>
            </w: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5"/>
                <w:szCs w:val="15"/>
                <w:b w:val="1"/>
                <w:bCs w:val="1"/>
                <w:color w:val="auto"/>
                <w:w w:val="91"/>
              </w:rPr>
              <w:t>net of liabilities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1"/>
              </w:rPr>
              <w:t>permanent</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property</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0"/>
              </w:rPr>
              <w:t>related items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5"/>
                <w:szCs w:val="15"/>
                <w:color w:val="auto"/>
                <w:w w:val="82"/>
              </w:rPr>
              <w:t>assets</w:t>
            </w: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5"/>
                <w:szCs w:val="15"/>
                <w:color w:val="auto"/>
                <w:w w:val="86"/>
              </w:rPr>
              <w:t>net</w:t>
            </w:r>
          </w:p>
        </w:tc>
        <w:tc>
          <w:tcPr>
            <w:tcW w:w="12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6"/>
              </w:rPr>
              <w:t>assumed</w:t>
            </w:r>
          </w:p>
        </w:tc>
        <w:tc>
          <w:tcPr>
            <w:tcW w:w="12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escrow</w:t>
            </w:r>
          </w:p>
        </w:tc>
        <w:tc>
          <w:tcPr>
            <w:tcW w:w="120" w:type="dxa"/>
            <w:vAlign w:val="bottom"/>
          </w:tcPr>
          <w:p>
            <w:pPr>
              <w:spacing w:after="0"/>
              <w:rPr>
                <w:sz w:val="17"/>
                <w:szCs w:val="17"/>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5"/>
                <w:szCs w:val="15"/>
                <w:color w:val="auto"/>
                <w:w w:val="88"/>
              </w:rPr>
              <w:t>assumed</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equity</w:t>
            </w:r>
          </w:p>
        </w:tc>
        <w:tc>
          <w:tcPr>
            <w:tcW w:w="12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198"/>
        </w:trPr>
        <w:tc>
          <w:tcPr>
            <w:tcW w:w="1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 Acquisition</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Cape Cod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13,350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(295)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13,205</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4,205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13,205</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Jellystone Natural Bridge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11,053</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Forest Springs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51,949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1,337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2,160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55,339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36,260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19,079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55,339</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Crown Villa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16,562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16,562</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Flamingo Lake</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33,845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33,845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33,845</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Woodsmoke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25,539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25,539</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Jellystone Lone Star</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20,297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20,297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20,297</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El Capitan &amp; Ocean Mesa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59,369</w:t>
            </w:r>
          </w:p>
        </w:tc>
        <w:tc>
          <w:tcPr>
            <w:tcW w:w="0" w:type="dxa"/>
            <w:vAlign w:val="bottom"/>
          </w:tcPr>
          <w:p>
            <w:pPr>
              <w:spacing w:after="0"/>
              <w:rPr>
                <w:sz w:val="1"/>
                <w:szCs w:val="1"/>
                <w:color w:val="auto"/>
              </w:rPr>
            </w:pPr>
          </w:p>
        </w:tc>
      </w:tr>
      <w:tr>
        <w:trPr>
          <w:trHeight w:val="149"/>
        </w:trPr>
        <w:tc>
          <w:tcPr>
            <w:tcW w:w="1660" w:type="dxa"/>
            <w:vAlign w:val="bottom"/>
          </w:tcPr>
          <w:p>
            <w:pPr>
              <w:ind w:left="20"/>
              <w:spacing w:after="0" w:line="149" w:lineRule="exact"/>
              <w:rPr>
                <w:sz w:val="20"/>
                <w:szCs w:val="20"/>
                <w:color w:val="auto"/>
              </w:rPr>
            </w:pPr>
            <w:r>
              <w:rPr>
                <w:rFonts w:ascii="Arial" w:cs="Arial" w:eastAsia="Arial" w:hAnsi="Arial"/>
                <w:sz w:val="15"/>
                <w:szCs w:val="15"/>
                <w:color w:val="auto"/>
                <w:w w:val="93"/>
              </w:rPr>
              <w:t>Highland Green Estates &amp;</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60,988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1,679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color w:val="auto"/>
              </w:rPr>
              <w:t>2,030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64,682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64,682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64,682</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Troy Villa</w:t>
            </w: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Gig Harbor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15,228</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Maine MH Portfolio</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79,890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1,359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81,279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72,479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8,800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81,279</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Mears Annapolis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30,730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30,730</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Wickford</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3,389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3,389</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Rockland</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15,163</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Mouse Mountain</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15,221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15,496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15,496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15,496</w:t>
            </w:r>
          </w:p>
        </w:tc>
        <w:tc>
          <w:tcPr>
            <w:tcW w:w="0" w:type="dxa"/>
            <w:vAlign w:val="bottom"/>
          </w:tcPr>
          <w:p>
            <w:pPr>
              <w:spacing w:after="0"/>
              <w:rPr>
                <w:sz w:val="1"/>
                <w:szCs w:val="1"/>
                <w:color w:val="auto"/>
              </w:rPr>
            </w:pPr>
          </w:p>
        </w:tc>
      </w:tr>
      <w:tr>
        <w:trPr>
          <w:trHeight w:val="206"/>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Lakeview Mobile Estates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23,678</w:t>
            </w:r>
          </w:p>
        </w:tc>
        <w:tc>
          <w:tcPr>
            <w:tcW w:w="0" w:type="dxa"/>
            <w:vAlign w:val="bottom"/>
          </w:tcPr>
          <w:p>
            <w:pPr>
              <w:spacing w:after="0"/>
              <w:rPr>
                <w:sz w:val="1"/>
                <w:szCs w:val="1"/>
                <w:color w:val="auto"/>
              </w:rPr>
            </w:pPr>
          </w:p>
        </w:tc>
      </w:tr>
      <w:tr>
        <w:trPr>
          <w:trHeight w:val="199"/>
        </w:trPr>
        <w:tc>
          <w:tcPr>
            <w:tcW w:w="1660" w:type="dxa"/>
            <w:vAlign w:val="bottom"/>
          </w:tcPr>
          <w:p>
            <w:pPr>
              <w:ind w:left="20"/>
              <w:spacing w:after="0"/>
              <w:rPr>
                <w:sz w:val="20"/>
                <w:szCs w:val="20"/>
                <w:color w:val="auto"/>
              </w:rPr>
            </w:pPr>
            <w:r>
              <w:rPr>
                <w:rFonts w:ascii="Arial" w:cs="Arial" w:eastAsia="Arial" w:hAnsi="Arial"/>
                <w:sz w:val="15"/>
                <w:szCs w:val="15"/>
                <w:color w:val="auto"/>
              </w:rPr>
              <w:t>Shenandoah Acres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16,166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834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16,803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16,803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16,803</w:t>
            </w:r>
          </w:p>
        </w:tc>
        <w:tc>
          <w:tcPr>
            <w:tcW w:w="0" w:type="dxa"/>
            <w:vAlign w:val="bottom"/>
          </w:tcPr>
          <w:p>
            <w:pPr>
              <w:spacing w:after="0"/>
              <w:rPr>
                <w:sz w:val="1"/>
                <w:szCs w:val="1"/>
                <w:color w:val="auto"/>
              </w:rPr>
            </w:pPr>
          </w:p>
        </w:tc>
      </w:tr>
      <w:tr>
        <w:trPr>
          <w:trHeight w:val="206"/>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6"/>
              </w:rPr>
              <w:t>Jellystone at Barton Lake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23,603</w:t>
            </w:r>
          </w:p>
        </w:tc>
        <w:tc>
          <w:tcPr>
            <w:tcW w:w="0" w:type="dxa"/>
            <w:vAlign w:val="bottom"/>
          </w:tcPr>
          <w:p>
            <w:pPr>
              <w:spacing w:after="0"/>
              <w:rPr>
                <w:sz w:val="1"/>
                <w:szCs w:val="1"/>
                <w:color w:val="auto"/>
              </w:rPr>
            </w:pPr>
          </w:p>
        </w:tc>
      </w:tr>
      <w:tr>
        <w:trPr>
          <w:trHeight w:val="199"/>
        </w:trPr>
        <w:tc>
          <w:tcPr>
            <w:tcW w:w="1660" w:type="dxa"/>
            <w:vAlign w:val="bottom"/>
          </w:tcPr>
          <w:p>
            <w:pPr>
              <w:ind w:left="20"/>
              <w:spacing w:after="0"/>
              <w:rPr>
                <w:sz w:val="20"/>
                <w:szCs w:val="20"/>
                <w:color w:val="auto"/>
              </w:rPr>
            </w:pPr>
            <w:r>
              <w:rPr>
                <w:rFonts w:ascii="Arial" w:cs="Arial" w:eastAsia="Arial" w:hAnsi="Arial"/>
                <w:sz w:val="15"/>
                <w:szCs w:val="15"/>
                <w:color w:val="auto"/>
              </w:rPr>
              <w:t>Kittatinny Portfolio</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16,220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16,279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16,279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16,279</w:t>
            </w:r>
          </w:p>
        </w:tc>
        <w:tc>
          <w:tcPr>
            <w:tcW w:w="0" w:type="dxa"/>
            <w:vAlign w:val="bottom"/>
          </w:tcPr>
          <w:p>
            <w:pPr>
              <w:spacing w:after="0"/>
              <w:rPr>
                <w:sz w:val="1"/>
                <w:szCs w:val="1"/>
                <w:color w:val="auto"/>
              </w:rPr>
            </w:pPr>
          </w:p>
        </w:tc>
      </w:tr>
      <w:tr>
        <w:trPr>
          <w:trHeight w:val="206"/>
        </w:trPr>
        <w:tc>
          <w:tcPr>
            <w:tcW w:w="1660" w:type="dxa"/>
            <w:vAlign w:val="bottom"/>
            <w:shd w:val="clear" w:color="auto" w:fill="CCEEFF"/>
          </w:tcPr>
          <w:p>
            <w:pPr>
              <w:ind w:left="20"/>
              <w:spacing w:after="0" w:line="206" w:lineRule="exact"/>
              <w:rPr>
                <w:sz w:val="20"/>
                <w:szCs w:val="20"/>
                <w:color w:val="auto"/>
              </w:rPr>
            </w:pPr>
            <w:r>
              <w:rPr>
                <w:rFonts w:ascii="Arial" w:cs="Arial" w:eastAsia="Arial" w:hAnsi="Arial"/>
                <w:sz w:val="15"/>
                <w:szCs w:val="15"/>
                <w:b w:val="1"/>
                <w:bCs w:val="1"/>
                <w:color w:val="auto"/>
                <w:w w:val="90"/>
              </w:rPr>
              <w:t>Business Combination</w:t>
            </w:r>
            <w:r>
              <w:rPr>
                <w:rFonts w:ascii="Arial" w:cs="Arial" w:eastAsia="Arial" w:hAnsi="Arial"/>
                <w:sz w:val="19"/>
                <w:szCs w:val="19"/>
                <w:b w:val="1"/>
                <w:bCs w:val="1"/>
                <w:color w:val="auto"/>
                <w:w w:val="90"/>
                <w:vertAlign w:val="superscript"/>
              </w:rPr>
              <w:t>(1)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0"/>
              <w:spacing w:after="0" w:line="203" w:lineRule="exact"/>
              <w:rPr>
                <w:sz w:val="20"/>
                <w:szCs w:val="20"/>
                <w:color w:val="auto"/>
              </w:rPr>
            </w:pPr>
            <w:r>
              <w:rPr>
                <w:rFonts w:ascii="Arial" w:cs="Arial" w:eastAsia="Arial" w:hAnsi="Arial"/>
                <w:sz w:val="15"/>
                <w:szCs w:val="15"/>
                <w:color w:val="auto"/>
              </w:rPr>
              <w:t>Safe Harbor</w:t>
            </w:r>
            <w:r>
              <w:rPr>
                <w:rFonts w:ascii="Arial" w:cs="Arial" w:eastAsia="Arial" w:hAnsi="Arial"/>
                <w:sz w:val="19"/>
                <w:szCs w:val="19"/>
                <w:color w:val="auto"/>
                <w:vertAlign w:val="superscript"/>
              </w:rPr>
              <w:t>(2)</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1,643,879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435,077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(43,875)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2,040,781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8"/>
              </w:rPr>
              <w:t>1,141,797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829,000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69,984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2,040,781</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Hideaway Bay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32,406</w:t>
            </w:r>
          </w:p>
        </w:tc>
        <w:tc>
          <w:tcPr>
            <w:tcW w:w="0" w:type="dxa"/>
            <w:vAlign w:val="bottom"/>
          </w:tcPr>
          <w:p>
            <w:pPr>
              <w:spacing w:after="0"/>
              <w:rPr>
                <w:sz w:val="1"/>
                <w:szCs w:val="1"/>
                <w:color w:val="auto"/>
              </w:rPr>
            </w:pPr>
          </w:p>
        </w:tc>
      </w:tr>
      <w:tr>
        <w:trPr>
          <w:trHeight w:val="199"/>
        </w:trPr>
        <w:tc>
          <w:tcPr>
            <w:tcW w:w="1660" w:type="dxa"/>
            <w:vAlign w:val="bottom"/>
          </w:tcPr>
          <w:p>
            <w:pPr>
              <w:ind w:left="20"/>
              <w:spacing w:after="0"/>
              <w:rPr>
                <w:sz w:val="20"/>
                <w:szCs w:val="20"/>
                <w:color w:val="auto"/>
              </w:rPr>
            </w:pPr>
            <w:r>
              <w:rPr>
                <w:rFonts w:ascii="Arial" w:cs="Arial" w:eastAsia="Arial" w:hAnsi="Arial"/>
                <w:sz w:val="15"/>
                <w:szCs w:val="15"/>
                <w:color w:val="auto"/>
              </w:rPr>
              <w:t>Anacapa Isle</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10,924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3,146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14,130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14,130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14,130</w:t>
            </w:r>
          </w:p>
        </w:tc>
        <w:tc>
          <w:tcPr>
            <w:tcW w:w="0" w:type="dxa"/>
            <w:vAlign w:val="bottom"/>
          </w:tcPr>
          <w:p>
            <w:pPr>
              <w:spacing w:after="0"/>
              <w:rPr>
                <w:sz w:val="1"/>
                <w:szCs w:val="1"/>
                <w:color w:val="auto"/>
              </w:rPr>
            </w:pPr>
          </w:p>
        </w:tc>
      </w:tr>
      <w:tr>
        <w:trPr>
          <w:trHeight w:val="206"/>
        </w:trPr>
        <w:tc>
          <w:tcPr>
            <w:tcW w:w="1660" w:type="dxa"/>
            <w:vAlign w:val="bottom"/>
            <w:shd w:val="clear" w:color="auto" w:fill="CCEEFF"/>
          </w:tcPr>
          <w:p>
            <w:pPr>
              <w:ind w:left="20"/>
              <w:spacing w:after="0" w:line="206" w:lineRule="exact"/>
              <w:rPr>
                <w:sz w:val="20"/>
                <w:szCs w:val="20"/>
                <w:color w:val="auto"/>
              </w:rPr>
            </w:pPr>
            <w:r>
              <w:rPr>
                <w:rFonts w:ascii="Arial" w:cs="Arial" w:eastAsia="Arial" w:hAnsi="Arial"/>
                <w:sz w:val="15"/>
                <w:szCs w:val="15"/>
                <w:color w:val="auto"/>
              </w:rPr>
              <w:t>Rybovich Portfolio</w:t>
            </w:r>
            <w:r>
              <w:rPr>
                <w:rFonts w:ascii="Arial" w:cs="Arial" w:eastAsia="Arial" w:hAnsi="Arial"/>
                <w:sz w:val="19"/>
                <w:szCs w:val="19"/>
                <w:color w:val="auto"/>
                <w:vertAlign w:val="superscript"/>
              </w:rPr>
              <w:t>(3)</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122,064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620</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249,840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372,487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258,123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114,364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372,487</w:t>
            </w:r>
          </w:p>
        </w:tc>
        <w:tc>
          <w:tcPr>
            <w:tcW w:w="0" w:type="dxa"/>
            <w:vAlign w:val="bottom"/>
          </w:tcPr>
          <w:p>
            <w:pPr>
              <w:spacing w:after="0"/>
              <w:rPr>
                <w:sz w:val="1"/>
                <w:szCs w:val="1"/>
                <w:color w:val="auto"/>
              </w:rPr>
            </w:pPr>
          </w:p>
        </w:tc>
      </w:tr>
      <w:tr>
        <w:trPr>
          <w:trHeight w:val="196"/>
        </w:trPr>
        <w:tc>
          <w:tcPr>
            <w:tcW w:w="1660" w:type="dxa"/>
            <w:vAlign w:val="bottom"/>
          </w:tcPr>
          <w:p>
            <w:pPr>
              <w:ind w:left="2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2,339,368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9,942</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711,308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(59,275)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3,001,343</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1,923,855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837,800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239,688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3,001,343</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Refer to Note 5, "Goodwill and Other Intangibles Assets," for additional detail on goodwill and other intangible assets.</w:t>
      </w:r>
    </w:p>
    <w:p>
      <w:pPr>
        <w:spacing w:after="0" w:line="45" w:lineRule="exact"/>
        <w:rPr>
          <w:rFonts w:ascii="Arial" w:cs="Arial" w:eastAsia="Arial" w:hAnsi="Arial"/>
          <w:sz w:val="18"/>
          <w:szCs w:val="18"/>
          <w:color w:val="auto"/>
          <w:vertAlign w:val="superscript"/>
        </w:rPr>
      </w:pPr>
    </w:p>
    <w:p>
      <w:pPr>
        <w:ind w:left="140" w:hanging="132"/>
        <w:spacing w:after="0" w:line="211" w:lineRule="auto"/>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Purchase price allocation was preliminary as of December 31, 2020 and was subsequently adjusted based on the final purchase price allocation. We reclassified $17.0 million from "Other assets</w:t>
      </w:r>
    </w:p>
    <w:p>
      <w:pPr>
        <w:ind w:left="180" w:hanging="10"/>
        <w:spacing w:after="0" w:line="255" w:lineRule="auto"/>
        <w:tabs>
          <w:tab w:leader="none" w:pos="2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(liabilities), net" to "Goodwill, In-place leases and other intangible assets." The reclassifications consist of $11.4 million to goodwill in Q3 2021 and various other asset / liability true-ups of $5.7 million during Q1 and Q2 2021. These adjustments did not have any impact on the Statements of Operations.</w:t>
      </w:r>
    </w:p>
    <w:p>
      <w:pPr>
        <w:spacing w:after="0" w:line="22" w:lineRule="exact"/>
        <w:rPr>
          <w:rFonts w:ascii="Arial" w:cs="Arial" w:eastAsia="Arial" w:hAnsi="Arial"/>
          <w:sz w:val="14"/>
          <w:szCs w:val="14"/>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Purchase price allocation was preliminary as of December 31, 2020 and was adjusted as of March 31, 2021 based on the final purchase price allocation.</w:t>
      </w:r>
    </w:p>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2020, we have incurred $23.0 million of expensed business combination transaction costs (in relation to the acquisition Safe Harbor, Hideaway Bay, Anacapa Isle and the Rybovich Portfolio, as each such acquisition meets the criteria to be accounted for as business combination), and $13.4 million of capitalized transaction costs for asset acquisitions, which have been allocated among the various categories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for Expansion / Development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we acquired eight land parcels, which are located in Orange Beach, Alabama; Jensen Beach, Florida; Citra Lakes, Florida; Comal County, Texas; and Menifee, California for total consideration of $9.7 million. Seven of the land parcels are adjacent to existing communities.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Real estate held-for-sale of $32.1 million as of December 31, 2020, was reclassified from Other assets, net to various line items on the Consolidated Balance Sheets during the three months ended March 31, 2021, as the sale of those assets was no longer probable. The primary reclassifications were $34.5 million of assets moved to Investment property, net and $3.8 million moved to Other liabilities on the Consolidated Balance Sheets.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 2020, we sold a manufactured housing community located in Montana, containing 226 sites, for $12.6 million. The gain from the sale of the property was approximately $5.6 million.</w:t>
      </w:r>
    </w:p>
    <w:p>
      <w:pPr>
        <w:spacing w:after="0" w:line="193"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Notes and Other Receivables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notes and other receivables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2020</w:t>
            </w:r>
          </w:p>
        </w:tc>
      </w:tr>
      <w:tr>
        <w:trPr>
          <w:trHeight w:val="200"/>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Installment notes receivable on manufactured homes, net</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81,001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85,866</w:t>
            </w: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color w:val="auto"/>
              </w:rPr>
              <w:t>Notes receivable from real estate developers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64,593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52,638</w:t>
            </w: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receivables, net</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111,330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83,146</w:t>
            </w:r>
          </w:p>
        </w:tc>
      </w:tr>
      <w:tr>
        <w:trPr>
          <w:trHeight w:val="200"/>
        </w:trPr>
        <w:tc>
          <w:tcPr>
            <w:tcW w:w="7400" w:type="dxa"/>
            <w:vAlign w:val="bottom"/>
          </w:tcPr>
          <w:p>
            <w:pPr>
              <w:ind w:left="240"/>
              <w:spacing w:after="0"/>
              <w:rPr>
                <w:sz w:val="20"/>
                <w:szCs w:val="20"/>
                <w:color w:val="auto"/>
              </w:rPr>
            </w:pPr>
            <w:r>
              <w:rPr>
                <w:rFonts w:ascii="Arial" w:cs="Arial" w:eastAsia="Arial" w:hAnsi="Arial"/>
                <w:sz w:val="15"/>
                <w:szCs w:val="15"/>
                <w:b w:val="1"/>
                <w:bCs w:val="1"/>
                <w:color w:val="auto"/>
              </w:rPr>
              <w:t>Total Notes and Other Receivables, net</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256,924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221,650</w:t>
            </w: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Installment notes receivable are measured at fair value, using indicative pricing models from third party valuation specialists, in accordance with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The balances of installment notes receivable of $81.0 million (net of fair value adjustment of $0.7 million) and $85.9 million (net of fair value adjustment of $1.3 million) as of September 30, 2021 and December 31, 2020, respectively, are secured by manufactured homes. The notes represent financing to purchasers of manufactured homes located in our communities and require monthly principal and interest payments. The notes had a net weighted average interest rate (net of servicing costs) and maturity of 7.6 percent and 14.8 years as of September 30, 2021, and 7.8 percent and 15.2 years as of December 31, 2020, respectively. Refer to Note 14, "Fair Value of Financial Instruments," for additional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aggregate balance of the installment notes receivable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Nine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2020</w:t>
            </w:r>
          </w:p>
        </w:tc>
      </w:tr>
      <w:tr>
        <w:trPr>
          <w:trHeight w:val="200"/>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 of gross installment notes receivable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87,142</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96,225</w:t>
            </w: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Financed sale of manufactured homes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7,232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5,014</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 for notes receivable related to assets held for sale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w:t>
            </w: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Principal payments and payoffs from our customers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(8,867)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(8,977)</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reduction from repossessed homes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(4,643)</w:t>
            </w:r>
          </w:p>
        </w:tc>
      </w:tr>
      <w:tr>
        <w:trPr>
          <w:trHeight w:val="198"/>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Dispositions of properties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(1,918)</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Ending balance of gross installment notes receivable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81,724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87,142</w:t>
            </w:r>
          </w:p>
        </w:tc>
      </w:tr>
      <w:tr>
        <w:trPr>
          <w:trHeight w:val="216"/>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 of allowance for losses on installment notes receivables</w:t>
            </w:r>
          </w:p>
        </w:tc>
        <w:tc>
          <w:tcPr>
            <w:tcW w:w="2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w:t>
            </w:r>
          </w:p>
        </w:tc>
      </w:tr>
      <w:tr>
        <w:trPr>
          <w:trHeight w:val="198"/>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Initial fair value option adjustment</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645</w:t>
            </w:r>
          </w:p>
        </w:tc>
      </w:tr>
      <w:tr>
        <w:trPr>
          <w:trHeight w:val="200"/>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Ending balance of allowance for losses on installment notes receivables</w:t>
            </w:r>
          </w:p>
        </w:tc>
        <w:tc>
          <w:tcPr>
            <w:tcW w:w="2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6"/>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 of fair value adjustments on gross installment notes receivable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Initial fair value option adjustment</w:t>
            </w:r>
          </w:p>
        </w:tc>
        <w:tc>
          <w:tcPr>
            <w:tcW w:w="200" w:type="dxa"/>
            <w:vAlign w:val="bottom"/>
          </w:tcPr>
          <w:p>
            <w:pPr>
              <w:spacing w:after="0"/>
              <w:rPr>
                <w:sz w:val="17"/>
                <w:szCs w:val="17"/>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991</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 for notes receivable related to assets held for sale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198"/>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Fair value adjustment</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(2,274)</w:t>
            </w:r>
          </w:p>
        </w:tc>
      </w:tr>
      <w:tr>
        <w:trPr>
          <w:trHeight w:val="200"/>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adjustments on gross installment notes receivable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(1,276)</w:t>
            </w:r>
          </w:p>
        </w:tc>
      </w:tr>
      <w:tr>
        <w:trPr>
          <w:trHeight w:val="216"/>
        </w:trPr>
        <w:tc>
          <w:tcPr>
            <w:tcW w:w="7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21"/>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Ending balance of installment notes receivable, net</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81,001</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85,866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Notes receivable from real estate developers are measured at fair value, using indicative pricing models from third party valuation specialists, in accordance with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As of September 30, 2021 and December 31, 2020, the notes receivable balances of $64.6 million and $52.6 million, respectively are primarily comprised of construction loans provided to real estate developers. The notes receivable from real estate developers have a net weighted average interest rate and maturity of 6.3 percent and 1.3 years as of September 30, 2021, and 6.2 percent and 1.8 years as of December 31, 2020, respectively. As of September 30, 2021, real estate developers collectively have $10.3 million of undrawn funds on their loans. There were no material adjustments to the fair value of notes receivable from the real estate developers for the nine months ended September 30, 2021 and 2020. Refer to Note 14, "Fair Value of Financial Instruments,"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receivables, net were comprised of amounts due from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2020</w:t>
            </w:r>
          </w:p>
        </w:tc>
      </w:tr>
      <w:tr>
        <w:trPr>
          <w:trHeight w:val="200"/>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Home sale proceeds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38,219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23,643</w:t>
            </w:r>
          </w:p>
        </w:tc>
      </w:tr>
      <w:tr>
        <w:trPr>
          <w:trHeight w:val="203"/>
        </w:trPr>
        <w:tc>
          <w:tcPr>
            <w:tcW w:w="7400" w:type="dxa"/>
            <w:vAlign w:val="bottom"/>
          </w:tcPr>
          <w:p>
            <w:pPr>
              <w:ind w:left="20"/>
              <w:spacing w:after="0" w:line="203" w:lineRule="exact"/>
              <w:rPr>
                <w:sz w:val="20"/>
                <w:szCs w:val="20"/>
                <w:color w:val="auto"/>
              </w:rPr>
            </w:pPr>
            <w:r>
              <w:rPr>
                <w:rFonts w:ascii="Arial" w:cs="Arial" w:eastAsia="Arial" w:hAnsi="Arial"/>
                <w:sz w:val="15"/>
                <w:szCs w:val="15"/>
                <w:color w:val="auto"/>
              </w:rPr>
              <w:t>Marina customers for storage service and lease payments, net</w:t>
            </w:r>
            <w:r>
              <w:rPr>
                <w:rFonts w:ascii="Arial" w:cs="Arial" w:eastAsia="Arial" w:hAnsi="Arial"/>
                <w:sz w:val="19"/>
                <w:szCs w:val="19"/>
                <w:color w:val="auto"/>
                <w:vertAlign w:val="superscript"/>
              </w:rPr>
              <w:t>(1)</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26,286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19,197</w:t>
            </w:r>
          </w:p>
        </w:tc>
      </w:tr>
      <w:tr>
        <w:trPr>
          <w:trHeight w:val="203"/>
        </w:trPr>
        <w:tc>
          <w:tcPr>
            <w:tcW w:w="740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MH and annual RV residents for rent, utility charges, fees and other pass through charges, net</w:t>
            </w:r>
            <w:r>
              <w:rPr>
                <w:rFonts w:ascii="Arial" w:cs="Arial" w:eastAsia="Arial" w:hAnsi="Arial"/>
                <w:sz w:val="19"/>
                <w:szCs w:val="19"/>
                <w:color w:val="auto"/>
                <w:vertAlign w:val="superscript"/>
              </w:rPr>
              <w:t>(2)</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10,723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7,106</w:t>
            </w: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color w:val="auto"/>
              </w:rPr>
              <w:t>Insurance receivables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10,658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13,597</w:t>
            </w:r>
          </w:p>
        </w:tc>
      </w:tr>
      <w:tr>
        <w:trPr>
          <w:trHeight w:val="207"/>
        </w:trPr>
        <w:tc>
          <w:tcPr>
            <w:tcW w:w="7400" w:type="dxa"/>
            <w:vAlign w:val="bottom"/>
            <w:shd w:val="clear" w:color="auto" w:fill="CCEEFF"/>
          </w:tcPr>
          <w:p>
            <w:pPr>
              <w:ind w:left="20"/>
              <w:spacing w:after="0" w:line="206" w:lineRule="exact"/>
              <w:rPr>
                <w:sz w:val="20"/>
                <w:szCs w:val="20"/>
                <w:color w:val="auto"/>
              </w:rPr>
            </w:pPr>
            <w:r>
              <w:rPr>
                <w:rFonts w:ascii="Arial" w:cs="Arial" w:eastAsia="Arial" w:hAnsi="Arial"/>
                <w:sz w:val="15"/>
                <w:szCs w:val="15"/>
                <w:color w:val="auto"/>
              </w:rPr>
              <w:t>Other receivables</w:t>
            </w:r>
            <w:r>
              <w:rPr>
                <w:rFonts w:ascii="Arial" w:cs="Arial" w:eastAsia="Arial" w:hAnsi="Arial"/>
                <w:sz w:val="19"/>
                <w:szCs w:val="19"/>
                <w:color w:val="auto"/>
                <w:vertAlign w:val="superscript"/>
              </w:rPr>
              <w:t>(3)</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25,444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19,603</w:t>
            </w:r>
          </w:p>
        </w:tc>
      </w:tr>
      <w:tr>
        <w:trPr>
          <w:trHeight w:val="196"/>
        </w:trPr>
        <w:tc>
          <w:tcPr>
            <w:tcW w:w="7400" w:type="dxa"/>
            <w:vAlign w:val="bottom"/>
          </w:tcPr>
          <w:p>
            <w:pPr>
              <w:ind w:left="240"/>
              <w:spacing w:after="0"/>
              <w:rPr>
                <w:sz w:val="20"/>
                <w:szCs w:val="20"/>
                <w:color w:val="auto"/>
              </w:rPr>
            </w:pPr>
            <w:r>
              <w:rPr>
                <w:rFonts w:ascii="Arial" w:cs="Arial" w:eastAsia="Arial" w:hAnsi="Arial"/>
                <w:sz w:val="15"/>
                <w:szCs w:val="15"/>
                <w:b w:val="1"/>
                <w:bCs w:val="1"/>
                <w:color w:val="auto"/>
              </w:rPr>
              <w:t>Total Other Receivables, net</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111,330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83,146</w:t>
            </w: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Net of allowance of $1.6 million and $1.4 million as of September 30, 2021 and December 31, 2020, respectively.</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Net of allowance of $5.8 million and $7.2 million as of September 30, 2021 and December 31, 2020, respectively.</w:t>
      </w:r>
    </w:p>
    <w:p>
      <w:pPr>
        <w:spacing w:after="0" w:line="46" w:lineRule="exact"/>
        <w:rPr>
          <w:rFonts w:ascii="Arial" w:cs="Arial" w:eastAsia="Arial" w:hAnsi="Arial"/>
          <w:sz w:val="18"/>
          <w:szCs w:val="18"/>
          <w:color w:val="auto"/>
          <w:vertAlign w:val="superscript"/>
        </w:rPr>
      </w:pPr>
    </w:p>
    <w:p>
      <w:pPr>
        <w:jc w:val="both"/>
        <w:ind w:left="180" w:hanging="172"/>
        <w:spacing w:after="0" w:line="224" w:lineRule="auto"/>
        <w:tabs>
          <w:tab w:leader="none" w:pos="167"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Includes receivable from Rezplot Systems LLC, a nonconsolidated affiliate in which we have a 50 percent ownership interest. In June 2020, we made a convertible secured loan to Rezplot Systems LLC. The note allows for a principal amount of up to $10.0 million to be drawn down over a period of three years, bears an interest rate of 3.0 percent and is secured by all the assets of Rezplot Systems LLC. The outstanding balances were $7.6 million and $2.0 million as of September 30, 2021 and December 31, 2020, respectively. Refer to Note 6, "Investment in Nonconsolidated Affiliates," for additional information on Rezplot Systems LLC.</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 w:name="page18"/>
    <w:bookmarkEnd w:id="17"/>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Other Intangibles Assets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intangible assets include goodwill, in-place leases, non-competition agreements, trademarks and trade names, customer relationships, and franchise agreements and other intangible assets. These intangible assets are recorded in Goodwill and Other intangible assets, net on the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goodwill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 2020</w:t>
            </w:r>
          </w:p>
        </w:tc>
        <w:tc>
          <w:tcPr>
            <w:tcW w:w="26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Arial" w:cs="Arial" w:eastAsia="Arial" w:hAnsi="Arial"/>
                <w:sz w:val="15"/>
                <w:szCs w:val="15"/>
                <w:b w:val="1"/>
                <w:bCs w:val="1"/>
                <w:color w:val="auto"/>
              </w:rPr>
              <w:t>Acquisitions</w:t>
            </w:r>
          </w:p>
        </w:tc>
        <w:tc>
          <w:tcPr>
            <w:tcW w:w="160" w:type="dxa"/>
            <w:vAlign w:val="bottom"/>
          </w:tcPr>
          <w:p>
            <w:pPr>
              <w:spacing w:after="0"/>
              <w:rPr>
                <w:sz w:val="17"/>
                <w:szCs w:val="17"/>
                <w:color w:val="auto"/>
              </w:rPr>
            </w:pPr>
          </w:p>
        </w:tc>
        <w:tc>
          <w:tcPr>
            <w:tcW w:w="1520" w:type="dxa"/>
            <w:vAlign w:val="bottom"/>
          </w:tcPr>
          <w:p>
            <w:pPr>
              <w:jc w:val="right"/>
              <w:ind w:right="124"/>
              <w:spacing w:after="0"/>
              <w:rPr>
                <w:sz w:val="20"/>
                <w:szCs w:val="20"/>
                <w:color w:val="auto"/>
              </w:rPr>
            </w:pPr>
            <w:r>
              <w:rPr>
                <w:rFonts w:ascii="Arial" w:cs="Arial" w:eastAsia="Arial" w:hAnsi="Arial"/>
                <w:sz w:val="15"/>
                <w:szCs w:val="15"/>
                <w:b w:val="1"/>
                <w:bCs w:val="1"/>
                <w:color w:val="auto"/>
                <w:w w:val="92"/>
              </w:rPr>
              <w:t>September 30, 2021</w:t>
            </w:r>
          </w:p>
        </w:tc>
      </w:tr>
      <w:tr>
        <w:trPr>
          <w:trHeight w:val="200"/>
        </w:trPr>
        <w:tc>
          <w:tcPr>
            <w:tcW w:w="57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Goodwill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428,833</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32,776</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461,609</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was preliminary as of December 31, 2020, subject to revisions based on purchase price allocations for the Safe Harbor and Rybovich business combination acquisitions which are reflected in the goodwill balance as of September 30, 2021.</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Goodwill impairment - </w:t>
      </w:r>
      <w:r>
        <w:rPr>
          <w:rFonts w:ascii="Arial" w:cs="Arial" w:eastAsia="Arial" w:hAnsi="Arial"/>
          <w:sz w:val="18"/>
          <w:szCs w:val="18"/>
          <w:color w:val="auto"/>
        </w:rPr>
        <w:t>Upon review of the qualitative factors in accordance with ASC 350-20, "</w:t>
      </w:r>
      <w:r>
        <w:rPr>
          <w:rFonts w:ascii="Arial" w:cs="Arial" w:eastAsia="Arial" w:hAnsi="Arial"/>
          <w:sz w:val="18"/>
          <w:szCs w:val="18"/>
          <w:i w:val="1"/>
          <w:iCs w:val="1"/>
          <w:color w:val="auto"/>
        </w:rPr>
        <w:t>Goodwill and Other</w:t>
      </w:r>
      <w:r>
        <w:rPr>
          <w:rFonts w:ascii="Arial" w:cs="Arial" w:eastAsia="Arial" w:hAnsi="Arial"/>
          <w:sz w:val="18"/>
          <w:szCs w:val="18"/>
          <w:color w:val="auto"/>
        </w:rPr>
        <w:t>," we determined that no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indicators existed as of September 30, 2021 and December 31, 2020. As a result, there was no impairment of goodwill during the nine months ended 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of our intangible assets are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5"/>
          </w:tcPr>
          <w:p>
            <w:pPr>
              <w:ind w:left="580"/>
              <w:spacing w:after="0"/>
              <w:rPr>
                <w:sz w:val="20"/>
                <w:szCs w:val="20"/>
                <w:color w:val="auto"/>
              </w:rPr>
            </w:pPr>
            <w:r>
              <w:rPr>
                <w:rFonts w:ascii="Arial" w:cs="Arial" w:eastAsia="Arial" w:hAnsi="Arial"/>
                <w:sz w:val="15"/>
                <w:szCs w:val="15"/>
                <w:b w:val="1"/>
                <w:bCs w:val="1"/>
                <w:color w:val="auto"/>
              </w:rPr>
              <w:t>September 30, 2021</w:t>
            </w:r>
          </w:p>
        </w:tc>
        <w:tc>
          <w:tcPr>
            <w:tcW w:w="100" w:type="dxa"/>
            <w:vAlign w:val="bottom"/>
          </w:tcPr>
          <w:p>
            <w:pPr>
              <w:spacing w:after="0"/>
              <w:rPr>
                <w:sz w:val="17"/>
                <w:szCs w:val="17"/>
                <w:color w:val="auto"/>
              </w:rPr>
            </w:pPr>
          </w:p>
        </w:tc>
        <w:tc>
          <w:tcPr>
            <w:tcW w:w="2580" w:type="dxa"/>
            <w:vAlign w:val="bottom"/>
            <w:gridSpan w:val="4"/>
          </w:tcPr>
          <w:p>
            <w:pPr>
              <w:jc w:val="right"/>
              <w:ind w:right="644"/>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46"/>
        </w:trPr>
        <w:tc>
          <w:tcPr>
            <w:tcW w:w="38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Other Intangible Asset</w:t>
            </w:r>
          </w:p>
        </w:tc>
        <w:tc>
          <w:tcPr>
            <w:tcW w:w="164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Useful Life</w:t>
            </w:r>
          </w:p>
        </w:tc>
        <w:tc>
          <w:tcPr>
            <w:tcW w:w="120" w:type="dxa"/>
            <w:vAlign w:val="bottom"/>
            <w:vMerge w:val="restart"/>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spacing w:after="0" w:line="146" w:lineRule="exact"/>
              <w:rPr>
                <w:sz w:val="20"/>
                <w:szCs w:val="20"/>
                <w:color w:val="auto"/>
              </w:rPr>
            </w:pPr>
            <w:r>
              <w:rPr>
                <w:rFonts w:ascii="Arial" w:cs="Arial" w:eastAsia="Arial" w:hAnsi="Arial"/>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Arial" w:cs="Arial" w:eastAsia="Arial" w:hAnsi="Arial"/>
                <w:sz w:val="15"/>
                <w:szCs w:val="15"/>
                <w:b w:val="1"/>
                <w:bCs w:val="1"/>
                <w:color w:val="auto"/>
                <w:w w:val="95"/>
              </w:rPr>
              <w:t>Accumulated</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20"/>
              <w:spacing w:after="0" w:line="146" w:lineRule="exact"/>
              <w:rPr>
                <w:sz w:val="20"/>
                <w:szCs w:val="20"/>
                <w:color w:val="auto"/>
              </w:rPr>
            </w:pPr>
            <w:r>
              <w:rPr>
                <w:rFonts w:ascii="Arial" w:cs="Arial" w:eastAsia="Arial" w:hAnsi="Arial"/>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Arial" w:cs="Arial" w:eastAsia="Arial" w:hAnsi="Arial"/>
                <w:sz w:val="15"/>
                <w:szCs w:val="15"/>
                <w:b w:val="1"/>
                <w:bCs w:val="1"/>
                <w:color w:val="auto"/>
                <w:w w:val="95"/>
              </w:rPr>
              <w:t>Accumulated</w:t>
            </w:r>
          </w:p>
        </w:tc>
        <w:tc>
          <w:tcPr>
            <w:tcW w:w="0" w:type="dxa"/>
            <w:vAlign w:val="bottom"/>
          </w:tcPr>
          <w:p>
            <w:pPr>
              <w:spacing w:after="0"/>
              <w:rPr>
                <w:sz w:val="1"/>
                <w:szCs w:val="1"/>
                <w:color w:val="auto"/>
              </w:rPr>
            </w:pPr>
          </w:p>
        </w:tc>
      </w:tr>
      <w:tr>
        <w:trPr>
          <w:trHeight w:val="200"/>
        </w:trPr>
        <w:tc>
          <w:tcPr>
            <w:tcW w:w="3880" w:type="dxa"/>
            <w:vAlign w:val="bottom"/>
            <w:tcBorders>
              <w:bottom w:val="single" w:sz="8" w:color="CCEEFF"/>
            </w:tcBorders>
            <w:vMerge w:val="continue"/>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Amortization</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8"/>
              </w:rPr>
              <w:t>Amortization</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In-place leases</w:t>
            </w:r>
          </w:p>
        </w:tc>
        <w:tc>
          <w:tcPr>
            <w:tcW w:w="17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Expected term</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160,862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(114,757)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145,531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(92,327)</w:t>
            </w:r>
          </w:p>
        </w:tc>
        <w:tc>
          <w:tcPr>
            <w:tcW w:w="0" w:type="dxa"/>
            <w:vAlign w:val="bottom"/>
          </w:tcPr>
          <w:p>
            <w:pPr>
              <w:spacing w:after="0"/>
              <w:rPr>
                <w:sz w:val="1"/>
                <w:szCs w:val="1"/>
                <w:color w:val="auto"/>
              </w:rPr>
            </w:pPr>
          </w:p>
        </w:tc>
      </w:tr>
      <w:tr>
        <w:trPr>
          <w:trHeight w:val="199"/>
        </w:trPr>
        <w:tc>
          <w:tcPr>
            <w:tcW w:w="3880" w:type="dxa"/>
            <w:vAlign w:val="bottom"/>
          </w:tcPr>
          <w:p>
            <w:pPr>
              <w:ind w:left="140"/>
              <w:spacing w:after="0"/>
              <w:rPr>
                <w:sz w:val="20"/>
                <w:szCs w:val="20"/>
                <w:color w:val="auto"/>
              </w:rPr>
            </w:pPr>
            <w:r>
              <w:rPr>
                <w:rFonts w:ascii="Arial" w:cs="Arial" w:eastAsia="Arial" w:hAnsi="Arial"/>
                <w:sz w:val="15"/>
                <w:szCs w:val="15"/>
                <w:color w:val="auto"/>
              </w:rPr>
              <w:t>Non-competition agreements</w:t>
            </w:r>
          </w:p>
        </w:tc>
        <w:tc>
          <w:tcPr>
            <w:tcW w:w="1760" w:type="dxa"/>
            <w:vAlign w:val="bottom"/>
            <w:gridSpan w:val="2"/>
          </w:tcPr>
          <w:p>
            <w:pPr>
              <w:ind w:left="120"/>
              <w:spacing w:after="0"/>
              <w:rPr>
                <w:sz w:val="20"/>
                <w:szCs w:val="20"/>
                <w:color w:val="auto"/>
              </w:rPr>
            </w:pPr>
            <w:r>
              <w:rPr>
                <w:rFonts w:ascii="Arial" w:cs="Arial" w:eastAsia="Arial" w:hAnsi="Arial"/>
                <w:sz w:val="15"/>
                <w:szCs w:val="15"/>
                <w:color w:val="auto"/>
              </w:rPr>
              <w:t>5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Trademarks and trade names</w:t>
            </w:r>
          </w:p>
        </w:tc>
        <w:tc>
          <w:tcPr>
            <w:tcW w:w="1760" w:type="dxa"/>
            <w:vAlign w:val="bottom"/>
            <w:gridSpan w:val="2"/>
            <w:shd w:val="clear" w:color="auto" w:fill="CCEEFF"/>
          </w:tcPr>
          <w:p>
            <w:pPr>
              <w:ind w:left="120"/>
              <w:spacing w:after="0" w:line="206" w:lineRule="exact"/>
              <w:rPr>
                <w:sz w:val="20"/>
                <w:szCs w:val="20"/>
                <w:color w:val="auto"/>
              </w:rPr>
            </w:pPr>
            <w:r>
              <w:rPr>
                <w:rFonts w:ascii="Arial" w:cs="Arial" w:eastAsia="Arial" w:hAnsi="Arial"/>
                <w:sz w:val="15"/>
                <w:szCs w:val="15"/>
                <w:color w:val="auto"/>
              </w:rPr>
              <w:t>Various</w:t>
            </w:r>
            <w:r>
              <w:rPr>
                <w:rFonts w:ascii="Arial" w:cs="Arial" w:eastAsia="Arial" w:hAnsi="Arial"/>
                <w:sz w:val="19"/>
                <w:szCs w:val="19"/>
                <w:color w:val="auto"/>
                <w:vertAlign w:val="superscript"/>
              </w:rPr>
              <w:t>(1)</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880" w:type="dxa"/>
            <w:vAlign w:val="bottom"/>
          </w:tcPr>
          <w:p>
            <w:pPr>
              <w:ind w:left="140"/>
              <w:spacing w:after="0"/>
              <w:rPr>
                <w:sz w:val="20"/>
                <w:szCs w:val="20"/>
                <w:color w:val="auto"/>
              </w:rPr>
            </w:pPr>
            <w:r>
              <w:rPr>
                <w:rFonts w:ascii="Arial" w:cs="Arial" w:eastAsia="Arial" w:hAnsi="Arial"/>
                <w:sz w:val="15"/>
                <w:szCs w:val="15"/>
                <w:color w:val="auto"/>
              </w:rPr>
              <w:t>Customer relationships</w:t>
            </w:r>
          </w:p>
        </w:tc>
        <w:tc>
          <w:tcPr>
            <w:tcW w:w="1760" w:type="dxa"/>
            <w:vAlign w:val="bottom"/>
            <w:gridSpan w:val="2"/>
          </w:tcPr>
          <w:p>
            <w:pPr>
              <w:ind w:left="120"/>
              <w:spacing w:after="0"/>
              <w:rPr>
                <w:sz w:val="20"/>
                <w:szCs w:val="20"/>
                <w:color w:val="auto"/>
              </w:rPr>
            </w:pPr>
            <w:r>
              <w:rPr>
                <w:rFonts w:ascii="Arial" w:cs="Arial" w:eastAsia="Arial" w:hAnsi="Arial"/>
                <w:sz w:val="15"/>
                <w:szCs w:val="15"/>
                <w:color w:val="auto"/>
              </w:rPr>
              <w:t>7 - 15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107,978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(9,401)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108,000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(2,371)</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 agreements and other intangible assets</w:t>
            </w:r>
          </w:p>
        </w:tc>
        <w:tc>
          <w:tcPr>
            <w:tcW w:w="17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5.5 - 20 years</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(5,142)</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23,856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(3,578)</w:t>
            </w:r>
          </w:p>
        </w:tc>
        <w:tc>
          <w:tcPr>
            <w:tcW w:w="0" w:type="dxa"/>
            <w:vAlign w:val="bottom"/>
          </w:tcPr>
          <w:p>
            <w:pPr>
              <w:spacing w:after="0"/>
              <w:rPr>
                <w:sz w:val="1"/>
                <w:szCs w:val="1"/>
                <w:color w:val="auto"/>
              </w:rPr>
            </w:pPr>
          </w:p>
        </w:tc>
      </w:tr>
      <w:tr>
        <w:trPr>
          <w:trHeight w:val="200"/>
        </w:trPr>
        <w:tc>
          <w:tcPr>
            <w:tcW w:w="3880" w:type="dxa"/>
            <w:vAlign w:val="bottom"/>
          </w:tcPr>
          <w:p>
            <w:pPr>
              <w:ind w:left="140"/>
              <w:spacing w:after="0"/>
              <w:rPr>
                <w:sz w:val="20"/>
                <w:szCs w:val="20"/>
                <w:color w:val="auto"/>
              </w:rPr>
            </w:pPr>
            <w:r>
              <w:rPr>
                <w:rFonts w:ascii="Arial" w:cs="Arial" w:eastAsia="Arial" w:hAnsi="Arial"/>
                <w:sz w:val="15"/>
                <w:szCs w:val="15"/>
                <w:b w:val="1"/>
                <w:bCs w:val="1"/>
                <w:color w:val="auto"/>
              </w:rPr>
              <w:t>Total</w:t>
            </w: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429,050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(131,425)</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403,887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(98,276)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All trademarks and trade names have an indefinite useful life except for one that has a three year useful life as of the acquisition date.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expenses related to the Other intangible assets are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20" w:type="dxa"/>
            <w:vAlign w:val="bottom"/>
            <w:gridSpan w:val="5"/>
          </w:tcPr>
          <w:p>
            <w:pPr>
              <w:ind w:left="88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3280" w:type="dxa"/>
            <w:vAlign w:val="bottom"/>
            <w:gridSpan w:val="4"/>
          </w:tcPr>
          <w:p>
            <w:pPr>
              <w:jc w:val="right"/>
              <w:ind w:right="984"/>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4160" w:type="dxa"/>
            <w:vAlign w:val="bottom"/>
          </w:tcPr>
          <w:p>
            <w:pPr>
              <w:ind w:left="20"/>
              <w:spacing w:after="0"/>
              <w:rPr>
                <w:sz w:val="20"/>
                <w:szCs w:val="20"/>
                <w:color w:val="auto"/>
              </w:rPr>
            </w:pPr>
            <w:r>
              <w:rPr>
                <w:rFonts w:ascii="Arial" w:cs="Arial" w:eastAsia="Arial" w:hAnsi="Arial"/>
                <w:sz w:val="15"/>
                <w:szCs w:val="15"/>
                <w:b w:val="1"/>
                <w:bCs w:val="1"/>
                <w:color w:val="auto"/>
              </w:rPr>
              <w:t>Other Intangible Asset Amortization Expense</w:t>
            </w:r>
          </w:p>
        </w:tc>
        <w:tc>
          <w:tcPr>
            <w:tcW w:w="1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4"/>
              </w:rPr>
              <w:t>September 30, 2020</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92"/>
              </w:rPr>
              <w:t>September 30, 2020</w:t>
            </w:r>
          </w:p>
        </w:tc>
      </w:tr>
      <w:tr>
        <w:trPr>
          <w:trHeight w:val="198"/>
        </w:trPr>
        <w:tc>
          <w:tcPr>
            <w:tcW w:w="41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In-place leases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5,664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3,727</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22,457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10,758</w:t>
            </w:r>
          </w:p>
        </w:tc>
      </w:tr>
      <w:tr>
        <w:trPr>
          <w:trHeight w:val="198"/>
        </w:trPr>
        <w:tc>
          <w:tcPr>
            <w:tcW w:w="4160" w:type="dxa"/>
            <w:vAlign w:val="bottom"/>
          </w:tcPr>
          <w:p>
            <w:pPr>
              <w:ind w:left="140"/>
              <w:spacing w:after="0"/>
              <w:rPr>
                <w:sz w:val="20"/>
                <w:szCs w:val="20"/>
                <w:color w:val="auto"/>
              </w:rPr>
            </w:pPr>
            <w:r>
              <w:rPr>
                <w:rFonts w:ascii="Arial" w:cs="Arial" w:eastAsia="Arial" w:hAnsi="Arial"/>
                <w:sz w:val="15"/>
                <w:szCs w:val="15"/>
                <w:color w:val="auto"/>
              </w:rPr>
              <w:t>Non-competition agreements</w:t>
            </w:r>
          </w:p>
        </w:tc>
        <w:tc>
          <w:tcPr>
            <w:tcW w:w="1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1,500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Trademarks and trade names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4160" w:type="dxa"/>
            <w:vAlign w:val="bottom"/>
          </w:tcPr>
          <w:p>
            <w:pPr>
              <w:ind w:left="140"/>
              <w:spacing w:after="0"/>
              <w:rPr>
                <w:sz w:val="20"/>
                <w:szCs w:val="20"/>
                <w:color w:val="auto"/>
              </w:rPr>
            </w:pPr>
            <w:r>
              <w:rPr>
                <w:rFonts w:ascii="Arial" w:cs="Arial" w:eastAsia="Arial" w:hAnsi="Arial"/>
                <w:sz w:val="15"/>
                <w:szCs w:val="15"/>
                <w:color w:val="auto"/>
              </w:rPr>
              <w:t>Customer relationships</w:t>
            </w:r>
          </w:p>
        </w:tc>
        <w:tc>
          <w:tcPr>
            <w:tcW w:w="1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2,709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7,029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 fees and other intangible assets</w:t>
            </w: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1,660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614</w:t>
            </w:r>
          </w:p>
        </w:tc>
      </w:tr>
      <w:tr>
        <w:trPr>
          <w:trHeight w:val="200"/>
        </w:trPr>
        <w:tc>
          <w:tcPr>
            <w:tcW w:w="4160" w:type="dxa"/>
            <w:vAlign w:val="bottom"/>
          </w:tcPr>
          <w:p>
            <w:pPr>
              <w:ind w:left="140"/>
              <w:spacing w:after="0"/>
              <w:rPr>
                <w:sz w:val="20"/>
                <w:szCs w:val="20"/>
                <w:color w:val="auto"/>
              </w:rPr>
            </w:pPr>
            <w:r>
              <w:rPr>
                <w:rFonts w:ascii="Arial" w:cs="Arial" w:eastAsia="Arial" w:hAnsi="Arial"/>
                <w:sz w:val="15"/>
                <w:szCs w:val="15"/>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9,759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3,932</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33,271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11,372</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amortization expense for Other intangible assets to be as follows for the next five years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Remainder 2021</w:t>
            </w:r>
          </w:p>
        </w:tc>
        <w:tc>
          <w:tcPr>
            <w:tcW w:w="380" w:type="dxa"/>
            <w:vAlign w:val="bottom"/>
          </w:tcPr>
          <w:p>
            <w:pPr>
              <w:spacing w:after="0"/>
              <w:rPr>
                <w:sz w:val="17"/>
                <w:szCs w:val="17"/>
                <w:color w:val="auto"/>
              </w:rPr>
            </w:pPr>
          </w:p>
        </w:tc>
        <w:tc>
          <w:tcPr>
            <w:tcW w:w="1260" w:type="dxa"/>
            <w:vAlign w:val="bottom"/>
          </w:tcPr>
          <w:p>
            <w:pPr>
              <w:jc w:val="right"/>
              <w:ind w:right="584"/>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84"/>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00"/>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In-place leases</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5,519</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13,215</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9,491</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6,619</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5,778</w:t>
            </w:r>
          </w:p>
        </w:tc>
        <w:tc>
          <w:tcPr>
            <w:tcW w:w="0" w:type="dxa"/>
            <w:vAlign w:val="bottom"/>
          </w:tcPr>
          <w:p>
            <w:pPr>
              <w:spacing w:after="0"/>
              <w:rPr>
                <w:sz w:val="1"/>
                <w:szCs w:val="1"/>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Non-competition agreements</w:t>
            </w:r>
          </w:p>
        </w:tc>
        <w:tc>
          <w:tcPr>
            <w:tcW w:w="18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2,000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2,000</w:t>
            </w:r>
          </w:p>
        </w:tc>
        <w:tc>
          <w:tcPr>
            <w:tcW w:w="0" w:type="dxa"/>
            <w:vAlign w:val="bottom"/>
          </w:tcPr>
          <w:p>
            <w:pPr>
              <w:spacing w:after="0"/>
              <w:rPr>
                <w:sz w:val="1"/>
                <w:szCs w:val="1"/>
                <w:color w:val="auto"/>
              </w:rPr>
            </w:pPr>
          </w:p>
        </w:tc>
      </w:tr>
      <w:tr>
        <w:trPr>
          <w:trHeight w:val="207"/>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Trademarks and trade names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18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2,710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10,838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10,838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10,838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10,838</w:t>
            </w: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Franchise agreements and other</w:t>
            </w:r>
          </w:p>
        </w:tc>
        <w:tc>
          <w:tcPr>
            <w:tcW w:w="18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626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2,502</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2,473</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2,410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2,389</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4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9,563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29,388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25,635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21,867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21,005</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Nonconsolidated Affiliates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in joint ventures that are not consolidated, nor recorded at cost, are accounted for using the equity method of accounting as prescribed in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Investments in nonconsolidated affiliates are recorded within Other assets, net on the Consolidated Balance Sheets. Equity income and loss are recorded in the Income from nonconsolidated affiliates line item on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RezPlot Systems LLC ("Rezplot")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September 30, 2021 and December 31, 2020, we had a 50 percent ownership interest in RezPlot, a RV reservation software technology company, which interest we acquired in January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Sungenia joint venture ("Sungenia JV")</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At September 30, 2021 and December 31, 2020, we had a 50 percent ownership interest in Sungenia JV, a joint venture formed between us and Ingenia Communities Group in November 2018, to establish and grow a manufactured housing community development program in Australia.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GTSC LLC </w:t>
      </w:r>
      <w:r>
        <w:rPr>
          <w:rFonts w:ascii="Arial" w:cs="Arial" w:eastAsia="Arial" w:hAnsi="Arial"/>
          <w:sz w:val="18"/>
          <w:szCs w:val="18"/>
          <w:color w:val="auto"/>
        </w:rPr>
        <w:t>(</w:t>
      </w:r>
      <w:r>
        <w:rPr>
          <w:rFonts w:ascii="Arial" w:cs="Arial" w:eastAsia="Arial" w:hAnsi="Arial"/>
          <w:sz w:val="18"/>
          <w:szCs w:val="18"/>
          <w:i w:val="1"/>
          <w:iCs w:val="1"/>
          <w:color w:val="auto"/>
        </w:rPr>
        <w:t>"GTSC"</w:t>
      </w:r>
      <w:r>
        <w:rPr>
          <w:rFonts w:ascii="Arial" w:cs="Arial" w:eastAsia="Arial" w:hAnsi="Arial"/>
          <w:sz w:val="18"/>
          <w:szCs w:val="18"/>
          <w:color w:val="auto"/>
        </w:rPr>
        <w:t>)</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At September 30, 2021 and December 31, 2020, we had a 40 percent ownership interest in GTSC, which engages in acquiring, holding and selling loans secured, directly or indirectly, by manufactured homes located in our communities.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Origen Financial Services, LLC ("OFS")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September 30, 2021 and December 31, 2020, we had a 22.9 percent ownership interest in OFS, an end-to-end online resident screening and document management suite.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SV Lift, LLC ("SV Lift")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2021 and December 31, 2020, we had a 50 percent ownership interest in SV Lift, which owns, operates and leases an aircraft.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balance in each nonconsolidated affiliate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ind w:left="60"/>
              <w:spacing w:after="0"/>
              <w:rPr>
                <w:sz w:val="20"/>
                <w:szCs w:val="20"/>
                <w:color w:val="auto"/>
              </w:rPr>
            </w:pPr>
            <w:r>
              <w:rPr>
                <w:rFonts w:ascii="Arial" w:cs="Arial" w:eastAsia="Arial" w:hAnsi="Arial"/>
                <w:sz w:val="15"/>
                <w:szCs w:val="15"/>
                <w:b w:val="1"/>
                <w:bCs w:val="1"/>
                <w:color w:val="auto"/>
              </w:rPr>
              <w:t>Nine Months Ended</w:t>
            </w:r>
          </w:p>
        </w:tc>
        <w:tc>
          <w:tcPr>
            <w:tcW w:w="140" w:type="dxa"/>
            <w:vAlign w:val="bottom"/>
          </w:tcPr>
          <w:p>
            <w:pPr>
              <w:spacing w:after="0"/>
              <w:rPr>
                <w:sz w:val="17"/>
                <w:szCs w:val="17"/>
                <w:color w:val="auto"/>
              </w:rPr>
            </w:pPr>
          </w:p>
        </w:tc>
        <w:tc>
          <w:tcPr>
            <w:tcW w:w="1460" w:type="dxa"/>
            <w:vAlign w:val="bottom"/>
          </w:tcPr>
          <w:p>
            <w:pPr>
              <w:jc w:val="right"/>
              <w:ind w:right="34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Investment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5"/>
              </w:rPr>
              <w:t>September 30, 2021</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3"/>
              </w:rPr>
              <w:t>December 31, 2020</w:t>
            </w:r>
          </w:p>
        </w:tc>
      </w:tr>
      <w:tr>
        <w:trPr>
          <w:trHeight w:val="200"/>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RezPlot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3,047</w:t>
            </w: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5"/>
                <w:szCs w:val="15"/>
                <w:color w:val="auto"/>
              </w:rPr>
              <w:t>Investment in Sungenia JV</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33,278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26,890</w:t>
            </w:r>
          </w:p>
        </w:tc>
      </w:tr>
      <w:tr>
        <w:trPr>
          <w:trHeight w:val="207"/>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GTSC</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34,767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25,495</w:t>
            </w: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5"/>
                <w:szCs w:val="15"/>
                <w:color w:val="auto"/>
              </w:rPr>
              <w:t>Investment in OFS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321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152</w:t>
            </w:r>
          </w:p>
        </w:tc>
      </w:tr>
      <w:tr>
        <w:trPr>
          <w:trHeight w:val="20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SV Lift</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2,978</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3,490</w:t>
            </w:r>
          </w:p>
        </w:tc>
      </w:tr>
      <w:tr>
        <w:trPr>
          <w:trHeight w:val="200"/>
        </w:trPr>
        <w:tc>
          <w:tcPr>
            <w:tcW w:w="7640" w:type="dxa"/>
            <w:vAlign w:val="bottom"/>
            <w:gridSpan w:val="2"/>
          </w:tcPr>
          <w:p>
            <w:pPr>
              <w:ind w:left="12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72,646</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59,074</w:t>
            </w:r>
          </w:p>
        </w:tc>
      </w:tr>
      <w:tr>
        <w:trPr>
          <w:trHeight w:val="20"/>
        </w:trPr>
        <w:tc>
          <w:tcPr>
            <w:tcW w:w="7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income / (loss) from each nonconsolidated affiliate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5"/>
          </w:tcPr>
          <w:p>
            <w:pPr>
              <w:ind w:left="84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3200" w:type="dxa"/>
            <w:vAlign w:val="bottom"/>
            <w:gridSpan w:val="4"/>
          </w:tcPr>
          <w:p>
            <w:pPr>
              <w:jc w:val="right"/>
              <w:ind w:right="944"/>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Income / (Loss) from Nonconsolidated Affiliates</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2"/>
              </w:rPr>
              <w:t>September 30, 2021</w:t>
            </w:r>
          </w:p>
        </w:tc>
        <w:tc>
          <w:tcPr>
            <w:tcW w:w="1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2"/>
              </w:rPr>
              <w:t>September 30, 2020</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1"/>
              </w:rPr>
              <w:t>September 30, 2021</w:t>
            </w:r>
          </w:p>
        </w:tc>
        <w:tc>
          <w:tcPr>
            <w:tcW w:w="1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2"/>
              </w:rPr>
              <w:t>September 30, 2020</w:t>
            </w:r>
          </w:p>
        </w:tc>
      </w:tr>
      <w:tr>
        <w:trPr>
          <w:trHeight w:val="198"/>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RezPlot equity income /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w:t>
            </w:r>
          </w:p>
        </w:tc>
      </w:tr>
      <w:tr>
        <w:trPr>
          <w:trHeight w:val="198"/>
        </w:trPr>
        <w:tc>
          <w:tcPr>
            <w:tcW w:w="4360" w:type="dxa"/>
            <w:vAlign w:val="bottom"/>
            <w:gridSpan w:val="2"/>
          </w:tcPr>
          <w:p>
            <w:pPr>
              <w:ind w:left="20"/>
              <w:spacing w:after="0"/>
              <w:rPr>
                <w:sz w:val="20"/>
                <w:szCs w:val="20"/>
                <w:color w:val="auto"/>
              </w:rPr>
            </w:pPr>
            <w:r>
              <w:rPr>
                <w:rFonts w:ascii="Arial" w:cs="Arial" w:eastAsia="Arial" w:hAnsi="Arial"/>
                <w:sz w:val="15"/>
                <w:szCs w:val="15"/>
                <w:color w:val="auto"/>
              </w:rPr>
              <w:t>Sungenia JV equity income</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432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1,241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198</w:t>
            </w:r>
          </w:p>
        </w:tc>
      </w:tr>
      <w:tr>
        <w:trPr>
          <w:trHeight w:val="20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GTSC equity income</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2,723</w:t>
            </w:r>
          </w:p>
        </w:tc>
      </w:tr>
      <w:tr>
        <w:trPr>
          <w:trHeight w:val="198"/>
        </w:trPr>
        <w:tc>
          <w:tcPr>
            <w:tcW w:w="4360" w:type="dxa"/>
            <w:vAlign w:val="bottom"/>
            <w:gridSpan w:val="2"/>
          </w:tcPr>
          <w:p>
            <w:pPr>
              <w:ind w:left="20"/>
              <w:spacing w:after="0"/>
              <w:rPr>
                <w:sz w:val="20"/>
                <w:szCs w:val="20"/>
                <w:color w:val="auto"/>
              </w:rPr>
            </w:pPr>
            <w:r>
              <w:rPr>
                <w:rFonts w:ascii="Arial" w:cs="Arial" w:eastAsia="Arial" w:hAnsi="Arial"/>
                <w:sz w:val="15"/>
                <w:szCs w:val="15"/>
                <w:color w:val="auto"/>
              </w:rPr>
              <w:t>OFS equity income</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169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134</w:t>
            </w:r>
          </w:p>
        </w:tc>
      </w:tr>
      <w:tr>
        <w:trPr>
          <w:trHeight w:val="20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SV Lift equity loss</w:t>
            </w: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(988)</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w:t>
            </w:r>
          </w:p>
        </w:tc>
      </w:tr>
      <w:tr>
        <w:trPr>
          <w:trHeight w:val="200"/>
        </w:trPr>
        <w:tc>
          <w:tcPr>
            <w:tcW w:w="4360" w:type="dxa"/>
            <w:vAlign w:val="bottom"/>
            <w:gridSpan w:val="2"/>
          </w:tcPr>
          <w:p>
            <w:pPr>
              <w:ind w:left="120"/>
              <w:spacing w:after="0"/>
              <w:rPr>
                <w:sz w:val="20"/>
                <w:szCs w:val="20"/>
                <w:color w:val="auto"/>
              </w:rPr>
            </w:pPr>
            <w:r>
              <w:rPr>
                <w:rFonts w:ascii="Arial" w:cs="Arial" w:eastAsia="Arial" w:hAnsi="Arial"/>
                <w:sz w:val="15"/>
                <w:szCs w:val="15"/>
                <w:b w:val="1"/>
                <w:bCs w:val="1"/>
                <w:color w:val="auto"/>
              </w:rPr>
              <w:t>Total Income from Nonconsolidated Affiliates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962</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1,204</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2,927</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1,348</w:t>
            </w:r>
          </w:p>
        </w:tc>
      </w:tr>
      <w:tr>
        <w:trPr>
          <w:trHeight w:val="20"/>
        </w:trPr>
        <w:tc>
          <w:tcPr>
            <w:tcW w:w="4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GTSC investment balance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gridSpan w:val="2"/>
          </w:tcPr>
          <w:p>
            <w:pPr>
              <w:ind w:left="200"/>
              <w:spacing w:after="0"/>
              <w:rPr>
                <w:sz w:val="20"/>
                <w:szCs w:val="20"/>
                <w:color w:val="auto"/>
              </w:rPr>
            </w:pPr>
            <w:r>
              <w:rPr>
                <w:rFonts w:ascii="Arial" w:cs="Arial" w:eastAsia="Arial" w:hAnsi="Arial"/>
                <w:sz w:val="15"/>
                <w:szCs w:val="15"/>
                <w:b w:val="1"/>
                <w:bCs w:val="1"/>
                <w:color w:val="auto"/>
              </w:rPr>
              <w:t>Nine Months Ended</w:t>
            </w:r>
          </w:p>
        </w:tc>
        <w:tc>
          <w:tcPr>
            <w:tcW w:w="300" w:type="dxa"/>
            <w:vAlign w:val="bottom"/>
          </w:tcPr>
          <w:p>
            <w:pPr>
              <w:spacing w:after="0"/>
              <w:rPr>
                <w:sz w:val="17"/>
                <w:szCs w:val="17"/>
                <w:color w:val="auto"/>
              </w:rPr>
            </w:pPr>
          </w:p>
        </w:tc>
        <w:tc>
          <w:tcPr>
            <w:tcW w:w="2000" w:type="dxa"/>
            <w:vAlign w:val="bottom"/>
          </w:tcPr>
          <w:p>
            <w:pPr>
              <w:jc w:val="right"/>
              <w:ind w:right="68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6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gridSpan w:val="2"/>
          </w:tcPr>
          <w:p>
            <w:pPr>
              <w:ind w:left="200"/>
              <w:spacing w:after="0"/>
              <w:rPr>
                <w:sz w:val="20"/>
                <w:szCs w:val="20"/>
                <w:color w:val="auto"/>
              </w:rPr>
            </w:pPr>
            <w:r>
              <w:rPr>
                <w:rFonts w:ascii="Arial" w:cs="Arial" w:eastAsia="Arial" w:hAnsi="Arial"/>
                <w:sz w:val="15"/>
                <w:szCs w:val="15"/>
                <w:b w:val="1"/>
                <w:bCs w:val="1"/>
                <w:color w:val="auto"/>
              </w:rPr>
              <w:t>September 30, 2021</w:t>
            </w:r>
          </w:p>
        </w:tc>
        <w:tc>
          <w:tcPr>
            <w:tcW w:w="300" w:type="dxa"/>
            <w:vAlign w:val="bottom"/>
          </w:tcPr>
          <w:p>
            <w:pPr>
              <w:spacing w:after="0"/>
              <w:rPr>
                <w:sz w:val="17"/>
                <w:szCs w:val="17"/>
                <w:color w:val="auto"/>
              </w:rPr>
            </w:pPr>
          </w:p>
        </w:tc>
        <w:tc>
          <w:tcPr>
            <w:tcW w:w="2000" w:type="dxa"/>
            <w:vAlign w:val="bottom"/>
          </w:tcPr>
          <w:p>
            <w:pPr>
              <w:jc w:val="right"/>
              <w:ind w:right="464"/>
              <w:spacing w:after="0"/>
              <w:rPr>
                <w:sz w:val="20"/>
                <w:szCs w:val="20"/>
                <w:color w:val="auto"/>
              </w:rPr>
            </w:pPr>
            <w:r>
              <w:rPr>
                <w:rFonts w:ascii="Arial" w:cs="Arial" w:eastAsia="Arial" w:hAnsi="Arial"/>
                <w:sz w:val="15"/>
                <w:szCs w:val="15"/>
                <w:b w:val="1"/>
                <w:bCs w:val="1"/>
                <w:color w:val="auto"/>
              </w:rPr>
              <w:t>December 31, 2020</w:t>
            </w:r>
          </w:p>
        </w:tc>
      </w:tr>
      <w:tr>
        <w:trPr>
          <w:trHeight w:val="20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25,495</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18,488</w:t>
            </w:r>
          </w:p>
        </w:tc>
      </w:tr>
      <w:tr>
        <w:trPr>
          <w:trHeight w:val="198"/>
        </w:trPr>
        <w:tc>
          <w:tcPr>
            <w:tcW w:w="6400" w:type="dxa"/>
            <w:vAlign w:val="bottom"/>
          </w:tcPr>
          <w:p>
            <w:pPr>
              <w:ind w:left="20"/>
              <w:spacing w:after="0"/>
              <w:rPr>
                <w:sz w:val="20"/>
                <w:szCs w:val="20"/>
                <w:color w:val="auto"/>
              </w:rPr>
            </w:pPr>
            <w:r>
              <w:rPr>
                <w:rFonts w:ascii="Arial" w:cs="Arial" w:eastAsia="Arial" w:hAnsi="Arial"/>
                <w:sz w:val="15"/>
                <w:szCs w:val="15"/>
                <w:color w:val="auto"/>
              </w:rPr>
              <w:t>Initial fair value option adjustment</w:t>
            </w:r>
          </w:p>
        </w:tc>
        <w:tc>
          <w:tcPr>
            <w:tcW w:w="300" w:type="dxa"/>
            <w:vAlign w:val="bottom"/>
          </w:tcPr>
          <w:p>
            <w:pPr>
              <w:spacing w:after="0"/>
              <w:rPr>
                <w:sz w:val="17"/>
                <w:szCs w:val="17"/>
                <w:color w:val="auto"/>
              </w:rPr>
            </w:pPr>
          </w:p>
        </w:tc>
        <w:tc>
          <w:tcPr>
            <w:tcW w:w="22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317</w:t>
            </w: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Contributions</w:t>
            </w: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20,117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19,030</w:t>
            </w:r>
          </w:p>
        </w:tc>
      </w:tr>
      <w:tr>
        <w:trPr>
          <w:trHeight w:val="198"/>
        </w:trPr>
        <w:tc>
          <w:tcPr>
            <w:tcW w:w="640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(14,965)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(14,676)</w:t>
            </w: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earnings</w:t>
            </w: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4,250</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3,944</w:t>
            </w:r>
          </w:p>
        </w:tc>
      </w:tr>
      <w:tr>
        <w:trPr>
          <w:trHeight w:val="19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Fair value adjustment</w:t>
            </w: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(1,608)</w:t>
            </w:r>
          </w:p>
        </w:tc>
      </w:tr>
      <w:tr>
        <w:trPr>
          <w:trHeight w:val="225"/>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Ending Balance</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34,767</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25,495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Sungenia JV investment balance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b w:val="1"/>
                <w:bCs w:val="1"/>
                <w:color w:val="auto"/>
              </w:rPr>
              <w:t>Nine Months Ended</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ind w:right="68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640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 2021</w:t>
            </w: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December 31, 2020</w:t>
            </w:r>
          </w:p>
        </w:tc>
      </w:tr>
      <w:tr>
        <w:trPr>
          <w:trHeight w:val="200"/>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1800" w:type="dxa"/>
            <w:vAlign w:val="bottom"/>
            <w:shd w:val="clear" w:color="auto" w:fill="CCEEFF"/>
          </w:tcPr>
          <w:p>
            <w:pPr>
              <w:jc w:val="right"/>
              <w:ind w:right="1644"/>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26,890</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11,995</w:t>
            </w:r>
          </w:p>
        </w:tc>
      </w:tr>
      <w:tr>
        <w:trPr>
          <w:trHeight w:val="198"/>
        </w:trPr>
        <w:tc>
          <w:tcPr>
            <w:tcW w:w="6400" w:type="dxa"/>
            <w:vAlign w:val="bottom"/>
          </w:tcPr>
          <w:p>
            <w:pPr>
              <w:ind w:left="20"/>
              <w:spacing w:after="0"/>
              <w:rPr>
                <w:sz w:val="20"/>
                <w:szCs w:val="20"/>
                <w:color w:val="auto"/>
              </w:rPr>
            </w:pPr>
            <w:r>
              <w:rPr>
                <w:rFonts w:ascii="Arial" w:cs="Arial" w:eastAsia="Arial" w:hAnsi="Arial"/>
                <w:sz w:val="15"/>
                <w:szCs w:val="15"/>
                <w:color w:val="auto"/>
              </w:rPr>
              <w:t>Cumulative translation adjustment</w:t>
            </w:r>
          </w:p>
        </w:tc>
        <w:tc>
          <w:tcPr>
            <w:tcW w:w="1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6"/>
              </w:rPr>
              <w:t>(1,658)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2,180</w:t>
            </w: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Contributions</w:t>
            </w:r>
          </w:p>
        </w:tc>
        <w:tc>
          <w:tcPr>
            <w:tcW w:w="1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6,805</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12,377</w:t>
            </w:r>
          </w:p>
        </w:tc>
      </w:tr>
      <w:tr>
        <w:trPr>
          <w:trHeight w:val="19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Equity earnings</w:t>
            </w:r>
          </w:p>
        </w:tc>
        <w:tc>
          <w:tcPr>
            <w:tcW w:w="1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1,241</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w:t>
            </w:r>
          </w:p>
        </w:tc>
      </w:tr>
      <w:tr>
        <w:trPr>
          <w:trHeight w:val="225"/>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Ending Balance</w:t>
            </w:r>
          </w:p>
        </w:tc>
        <w:tc>
          <w:tcPr>
            <w:tcW w:w="1800" w:type="dxa"/>
            <w:vAlign w:val="bottom"/>
            <w:tcBorders>
              <w:bottom w:val="single" w:sz="8" w:color="auto"/>
            </w:tcBorders>
            <w:shd w:val="clear" w:color="auto" w:fill="CCEEFF"/>
          </w:tcPr>
          <w:p>
            <w:pPr>
              <w:jc w:val="right"/>
              <w:ind w:right="164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33,278</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26,890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Variable Interest Entities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consolidate the Operating Partnership under the guidance set forth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We evaluated whether the Operating Partnership met the criteria for classification as variable interest entity ("VIE") or, alternatively, voting interest entity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Sun NG RV Resorts LLC ("Sun NG Resorts"); Rudgate Village SPE, LLC, Rudgate Clinton SPE, LLC, and Rudgate Clinton Estates SPE, LLC (collectively, "Rudgate"); Sun NG Whitewater RV Resorts LLC; FPG Sun Menifee 80 LLC, SHM South Fork JV, LLC; Sun Solar Energy Project LLC (the "Sun Solar JV")</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consolidate Sun NG Resorts, Rudgate, Sun NG Whitewater RV Resorts LLC, FPG Sun Menifee 80 LLC, SHM South Fork JV, LLC, and Sun Solar JV under the guidance set forth in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We concluded that each entity is a VIE where we are the primary beneficiary, as we have the power to direct the significant activities of, and absorb the significant losses and receive the significant benefits from each entity. Refer to Note 8, "Debt and Line of Credit," for additional information on Sun NG Resorts and Note 9, "Equity and Temporary Equity," for additional information on Sun NG Resorts, Sun NG Whitewater RV Resorts LLC, FPG Sun Menifee 80 LLC, SHM South Fork JV, LLC, and Sun Solar JV.</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assets and liabilities of Sun NG Resorts, Rudgate, Sun NG Whitewater RV Resorts LLC, FPG Sun Menifee 80 LLC, SHM South Fork JV, LLC, and Sun Solar JV included in our Consolidated Balance Sheets after eliminations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2020</w:t>
            </w:r>
          </w:p>
        </w:tc>
      </w:tr>
      <w:tr>
        <w:trPr>
          <w:trHeight w:val="185"/>
        </w:trPr>
        <w:tc>
          <w:tcPr>
            <w:tcW w:w="726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r>
      <w:tr>
        <w:trPr>
          <w:trHeight w:val="206"/>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property, net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567,026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453,236</w:t>
            </w:r>
          </w:p>
        </w:tc>
      </w:tr>
      <w:tr>
        <w:trPr>
          <w:trHeight w:val="19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 net</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28,670</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25,072</w:t>
            </w:r>
          </w:p>
        </w:tc>
      </w:tr>
      <w:tr>
        <w:trPr>
          <w:trHeight w:val="225"/>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595,696</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478,308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3"/>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Other Equity</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98"/>
        </w:trPr>
        <w:tc>
          <w:tcPr>
            <w:tcW w:w="7260" w:type="dxa"/>
            <w:vAlign w:val="bottom"/>
          </w:tcPr>
          <w:p>
            <w:pPr>
              <w:ind w:left="20"/>
              <w:spacing w:after="0"/>
              <w:rPr>
                <w:sz w:val="20"/>
                <w:szCs w:val="20"/>
                <w:color w:val="auto"/>
              </w:rPr>
            </w:pPr>
            <w:r>
              <w:rPr>
                <w:rFonts w:ascii="Arial" w:cs="Arial" w:eastAsia="Arial" w:hAnsi="Arial"/>
                <w:sz w:val="15"/>
                <w:szCs w:val="15"/>
                <w:color w:val="auto"/>
              </w:rPr>
              <w:t>Secured debt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49,054</w:t>
            </w:r>
          </w:p>
        </w:tc>
        <w:tc>
          <w:tcPr>
            <w:tcW w:w="24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47,706</w:t>
            </w:r>
          </w:p>
        </w:tc>
      </w:tr>
      <w:tr>
        <w:trPr>
          <w:trHeight w:val="207"/>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Unsecured debt</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35,249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35,249</w:t>
            </w:r>
          </w:p>
        </w:tc>
      </w:tr>
      <w:tr>
        <w:trPr>
          <w:trHeight w:val="19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liabilities</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22,908</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22,221</w:t>
            </w:r>
          </w:p>
        </w:tc>
      </w:tr>
      <w:tr>
        <w:trPr>
          <w:trHeight w:val="200"/>
        </w:trPr>
        <w:tc>
          <w:tcPr>
            <w:tcW w:w="726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107,211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105,176</w:t>
            </w:r>
          </w:p>
        </w:tc>
      </w:tr>
      <w:tr>
        <w:trPr>
          <w:trHeight w:val="198"/>
        </w:trPr>
        <w:tc>
          <w:tcPr>
            <w:tcW w:w="7260" w:type="dxa"/>
            <w:vAlign w:val="bottom"/>
          </w:tcPr>
          <w:p>
            <w:pPr>
              <w:ind w:left="20"/>
              <w:spacing w:after="0"/>
              <w:rPr>
                <w:sz w:val="20"/>
                <w:szCs w:val="20"/>
                <w:color w:val="auto"/>
              </w:rPr>
            </w:pPr>
            <w:r>
              <w:rPr>
                <w:rFonts w:ascii="Arial" w:cs="Arial" w:eastAsia="Arial" w:hAnsi="Arial"/>
                <w:sz w:val="15"/>
                <w:szCs w:val="15"/>
                <w:color w:val="auto"/>
              </w:rPr>
              <w:t>Temporary equity</w:t>
            </w: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37,064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32,719</w:t>
            </w:r>
          </w:p>
        </w:tc>
      </w:tr>
      <w:tr>
        <w:trPr>
          <w:trHeight w:val="203"/>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interests</w:t>
            </w: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18,527</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16,084</w:t>
            </w:r>
          </w:p>
        </w:tc>
      </w:tr>
      <w:tr>
        <w:trPr>
          <w:trHeight w:val="200"/>
        </w:trPr>
        <w:tc>
          <w:tcPr>
            <w:tcW w:w="726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Other Equity</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162,802</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153,979</w:t>
            </w: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 property, net and Other assets, net related to the consolidated VIEs, with the exception of the Operating Partnership, comprised approximately 4.7 percent and 4.3 percent of our consolidated total assets at September 30, 2021 and December 31, 2020, respectively. Secured debt, Unsecured debt and Other liabilities comprised 2.0 percent of our consolidated total liabilities at September 30, 2021 and December 31, 2020, respectively. Equity Interests and Noncontrolling interests related to the consolidated VIEs, on an absolute basis, comprised less than 1.0 percent of our consolidated total equity at September 30, 2021 and December 31, 2020, respectively.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 and Line of Credit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regarding debt including premiums, discounts and deferred financing costs (in thousands except statistical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vMerge w:val="restart"/>
          </w:tcPr>
          <w:p>
            <w:pPr>
              <w:jc w:val="right"/>
              <w:ind w:right="544"/>
              <w:spacing w:after="0"/>
              <w:rPr>
                <w:sz w:val="20"/>
                <w:szCs w:val="20"/>
                <w:color w:val="auto"/>
              </w:rPr>
            </w:pPr>
            <w:r>
              <w:rPr>
                <w:rFonts w:ascii="Arial" w:cs="Arial" w:eastAsia="Arial" w:hAnsi="Arial"/>
                <w:sz w:val="15"/>
                <w:szCs w:val="15"/>
                <w:b w:val="1"/>
                <w:bCs w:val="1"/>
                <w:color w:val="auto"/>
              </w:rPr>
              <w:t>Carrying Amount</w:t>
            </w:r>
          </w:p>
        </w:tc>
        <w:tc>
          <w:tcPr>
            <w:tcW w:w="100" w:type="dxa"/>
            <w:vAlign w:val="bottom"/>
          </w:tcPr>
          <w:p>
            <w:pPr>
              <w:spacing w:after="0"/>
              <w:rPr>
                <w:sz w:val="14"/>
                <w:szCs w:val="14"/>
                <w:color w:val="auto"/>
              </w:rPr>
            </w:pPr>
          </w:p>
        </w:tc>
        <w:tc>
          <w:tcPr>
            <w:tcW w:w="2540" w:type="dxa"/>
            <w:vAlign w:val="bottom"/>
            <w:gridSpan w:val="4"/>
          </w:tcPr>
          <w:p>
            <w:pPr>
              <w:ind w:left="620"/>
              <w:spacing w:after="0"/>
              <w:rPr>
                <w:sz w:val="20"/>
                <w:szCs w:val="20"/>
                <w:color w:val="auto"/>
              </w:rPr>
            </w:pPr>
            <w:r>
              <w:rPr>
                <w:rFonts w:ascii="Arial" w:cs="Arial" w:eastAsia="Arial" w:hAnsi="Arial"/>
                <w:sz w:val="15"/>
                <w:szCs w:val="15"/>
                <w:b w:val="1"/>
                <w:bCs w:val="1"/>
                <w:color w:val="auto"/>
              </w:rPr>
              <w:t>Weighted Average</w:t>
            </w:r>
          </w:p>
        </w:tc>
        <w:tc>
          <w:tcPr>
            <w:tcW w:w="2680" w:type="dxa"/>
            <w:vAlign w:val="bottom"/>
            <w:gridSpan w:val="3"/>
          </w:tcPr>
          <w:p>
            <w:pPr>
              <w:jc w:val="right"/>
              <w:ind w:right="664"/>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4"/>
          </w:tcPr>
          <w:p>
            <w:pPr>
              <w:ind w:left="640"/>
              <w:spacing w:after="0"/>
              <w:rPr>
                <w:sz w:val="20"/>
                <w:szCs w:val="20"/>
                <w:color w:val="auto"/>
              </w:rPr>
            </w:pPr>
            <w:r>
              <w:rPr>
                <w:rFonts w:ascii="Arial" w:cs="Arial" w:eastAsia="Arial" w:hAnsi="Arial"/>
                <w:sz w:val="15"/>
                <w:szCs w:val="15"/>
                <w:b w:val="1"/>
                <w:bCs w:val="1"/>
                <w:color w:val="auto"/>
              </w:rPr>
              <w:t>Years to Maturity</w:t>
            </w:r>
          </w:p>
        </w:tc>
        <w:tc>
          <w:tcPr>
            <w:tcW w:w="2680" w:type="dxa"/>
            <w:vAlign w:val="bottom"/>
            <w:gridSpan w:val="3"/>
          </w:tcPr>
          <w:p>
            <w:pPr>
              <w:jc w:val="right"/>
              <w:ind w:right="804"/>
              <w:spacing w:after="0"/>
              <w:rPr>
                <w:sz w:val="20"/>
                <w:szCs w:val="20"/>
                <w:color w:val="auto"/>
              </w:rPr>
            </w:pPr>
            <w:r>
              <w:rPr>
                <w:rFonts w:ascii="Arial" w:cs="Arial" w:eastAsia="Arial" w:hAnsi="Arial"/>
                <w:sz w:val="15"/>
                <w:szCs w:val="15"/>
                <w:b w:val="1"/>
                <w:bCs w:val="1"/>
                <w:color w:val="auto"/>
              </w:rPr>
              <w:t>Interest Rates</w:t>
            </w: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0"/>
              <w:spacing w:after="0" w:line="144"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64"/>
              <w:spacing w:after="0" w:line="144" w:lineRule="exact"/>
              <w:rPr>
                <w:sz w:val="20"/>
                <w:szCs w:val="20"/>
                <w:color w:val="auto"/>
              </w:rPr>
            </w:pPr>
            <w:r>
              <w:rPr>
                <w:rFonts w:ascii="Arial" w:cs="Arial" w:eastAsia="Arial" w:hAnsi="Arial"/>
                <w:sz w:val="15"/>
                <w:szCs w:val="15"/>
                <w:b w:val="1"/>
                <w:bCs w:val="1"/>
                <w:color w:val="auto"/>
                <w:w w:val="92"/>
              </w:rPr>
              <w:t>December 31,</w:t>
            </w:r>
          </w:p>
        </w:tc>
        <w:tc>
          <w:tcPr>
            <w:tcW w:w="100" w:type="dxa"/>
            <w:vAlign w:val="bottom"/>
          </w:tcPr>
          <w:p>
            <w:pPr>
              <w:spacing w:after="0"/>
              <w:rPr>
                <w:sz w:val="12"/>
                <w:szCs w:val="12"/>
                <w:color w:val="auto"/>
              </w:rPr>
            </w:pPr>
          </w:p>
        </w:tc>
        <w:tc>
          <w:tcPr>
            <w:tcW w:w="1260" w:type="dxa"/>
            <w:vAlign w:val="bottom"/>
            <w:tcBorders>
              <w:top w:val="single" w:sz="8" w:color="auto"/>
            </w:tcBorders>
            <w:gridSpan w:val="2"/>
          </w:tcPr>
          <w:p>
            <w:pPr>
              <w:ind w:left="120"/>
              <w:spacing w:after="0" w:line="144" w:lineRule="exact"/>
              <w:rPr>
                <w:sz w:val="20"/>
                <w:szCs w:val="20"/>
                <w:color w:val="auto"/>
              </w:rPr>
            </w:pPr>
            <w:r>
              <w:rPr>
                <w:rFonts w:ascii="Arial" w:cs="Arial" w:eastAsia="Arial" w:hAnsi="Arial"/>
                <w:sz w:val="15"/>
                <w:szCs w:val="15"/>
                <w:b w:val="1"/>
                <w:bCs w:val="1"/>
                <w:color w:val="auto"/>
              </w:rPr>
              <w:t>September 30,</w:t>
            </w:r>
          </w:p>
        </w:tc>
        <w:tc>
          <w:tcPr>
            <w:tcW w:w="1180" w:type="dxa"/>
            <w:vAlign w:val="bottom"/>
            <w:tcBorders>
              <w:top w:val="single" w:sz="8" w:color="auto"/>
            </w:tcBorders>
          </w:tcPr>
          <w:p>
            <w:pPr>
              <w:jc w:val="right"/>
              <w:ind w:right="64"/>
              <w:spacing w:after="0" w:line="144" w:lineRule="exact"/>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2"/>
                <w:szCs w:val="12"/>
                <w:color w:val="auto"/>
              </w:rPr>
            </w:pPr>
          </w:p>
        </w:tc>
        <w:tc>
          <w:tcPr>
            <w:tcW w:w="1380" w:type="dxa"/>
            <w:vAlign w:val="bottom"/>
            <w:tcBorders>
              <w:top w:val="single" w:sz="8" w:color="auto"/>
            </w:tcBorders>
            <w:gridSpan w:val="2"/>
          </w:tcPr>
          <w:p>
            <w:pPr>
              <w:ind w:left="180"/>
              <w:spacing w:after="0" w:line="144" w:lineRule="exact"/>
              <w:rPr>
                <w:sz w:val="20"/>
                <w:szCs w:val="20"/>
                <w:color w:val="auto"/>
              </w:rPr>
            </w:pPr>
            <w:r>
              <w:rPr>
                <w:rFonts w:ascii="Arial" w:cs="Arial" w:eastAsia="Arial" w:hAnsi="Arial"/>
                <w:sz w:val="15"/>
                <w:szCs w:val="15"/>
                <w:b w:val="1"/>
                <w:bCs w:val="1"/>
                <w:color w:val="auto"/>
              </w:rPr>
              <w:t>September 30,</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3"/>
              </w:rPr>
              <w:t>December 31, 2020</w:t>
            </w:r>
          </w:p>
        </w:tc>
        <w:tc>
          <w:tcPr>
            <w:tcW w:w="0" w:type="dxa"/>
            <w:vAlign w:val="bottom"/>
          </w:tcPr>
          <w:p>
            <w:pPr>
              <w:spacing w:after="0"/>
              <w:rPr>
                <w:sz w:val="1"/>
                <w:szCs w:val="1"/>
                <w:color w:val="auto"/>
              </w:rPr>
            </w:pPr>
          </w:p>
        </w:tc>
      </w:tr>
      <w:tr>
        <w:trPr>
          <w:trHeight w:val="200"/>
        </w:trPr>
        <w:tc>
          <w:tcPr>
            <w:tcW w:w="35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Secured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3,403,436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3,489,983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3.780 %</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3.751 %</w:t>
            </w:r>
          </w:p>
        </w:tc>
        <w:tc>
          <w:tcPr>
            <w:tcW w:w="0" w:type="dxa"/>
            <w:vAlign w:val="bottom"/>
          </w:tcPr>
          <w:p>
            <w:pPr>
              <w:spacing w:after="0"/>
              <w:rPr>
                <w:sz w:val="1"/>
                <w:szCs w:val="1"/>
                <w:color w:val="auto"/>
              </w:rPr>
            </w:pPr>
          </w:p>
        </w:tc>
      </w:tr>
      <w:tr>
        <w:trPr>
          <w:trHeight w:val="198"/>
        </w:trPr>
        <w:tc>
          <w:tcPr>
            <w:tcW w:w="3500" w:type="dxa"/>
            <w:vAlign w:val="bottom"/>
          </w:tcPr>
          <w:p>
            <w:pPr>
              <w:ind w:left="20"/>
              <w:spacing w:after="0"/>
              <w:rPr>
                <w:sz w:val="20"/>
                <w:szCs w:val="20"/>
                <w:color w:val="auto"/>
              </w:rPr>
            </w:pPr>
            <w:r>
              <w:rPr>
                <w:rFonts w:ascii="Arial" w:cs="Arial" w:eastAsia="Arial" w:hAnsi="Arial"/>
                <w:sz w:val="15"/>
                <w:szCs w:val="15"/>
                <w:color w:val="auto"/>
              </w:rPr>
              <w:t>Unsecured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Senior unsecured notes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591,252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2.700 %</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98"/>
        </w:trPr>
        <w:tc>
          <w:tcPr>
            <w:tcW w:w="3500" w:type="dxa"/>
            <w:vAlign w:val="bottom"/>
          </w:tcPr>
          <w:p>
            <w:pPr>
              <w:ind w:left="140"/>
              <w:spacing w:after="0"/>
              <w:rPr>
                <w:sz w:val="20"/>
                <w:szCs w:val="20"/>
                <w:color w:val="auto"/>
              </w:rPr>
            </w:pPr>
            <w:r>
              <w:rPr>
                <w:rFonts w:ascii="Arial" w:cs="Arial" w:eastAsia="Arial" w:hAnsi="Arial"/>
                <w:sz w:val="15"/>
                <w:szCs w:val="15"/>
                <w:color w:val="auto"/>
              </w:rPr>
              <w:t>Line of credit and other debt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624,837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1,197,181</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0.976 %</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2.107 %</w:t>
            </w:r>
          </w:p>
        </w:tc>
        <w:tc>
          <w:tcPr>
            <w:tcW w:w="0" w:type="dxa"/>
            <w:vAlign w:val="bottom"/>
          </w:tcPr>
          <w:p>
            <w:pPr>
              <w:spacing w:after="0"/>
              <w:rPr>
                <w:sz w:val="1"/>
                <w:szCs w:val="1"/>
                <w:color w:val="auto"/>
              </w:rPr>
            </w:pPr>
          </w:p>
        </w:tc>
      </w:tr>
      <w:tr>
        <w:trPr>
          <w:trHeight w:val="153"/>
        </w:trPr>
        <w:tc>
          <w:tcPr>
            <w:tcW w:w="35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Preferred equity - Sun NG Resorts - mandatorily</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35,249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35,249</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6.000 %</w:t>
            </w:r>
          </w:p>
        </w:tc>
        <w:tc>
          <w:tcPr>
            <w:tcW w:w="8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6.000 %</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redeemable</w:t>
            </w: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Preferred OP units - mandatorily redeemable</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34,663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34,663</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4.4</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5.1</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5.932 %</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5.932 %</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Unsecured Debt</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1,286,001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1,267,093</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00" w:type="dxa"/>
            <w:vAlign w:val="bottom"/>
          </w:tcPr>
          <w:p>
            <w:pPr>
              <w:ind w:left="220"/>
              <w:spacing w:after="0"/>
              <w:rPr>
                <w:sz w:val="20"/>
                <w:szCs w:val="20"/>
                <w:color w:val="auto"/>
              </w:rPr>
            </w:pPr>
            <w:r>
              <w:rPr>
                <w:rFonts w:ascii="Arial" w:cs="Arial" w:eastAsia="Arial" w:hAnsi="Arial"/>
                <w:sz w:val="15"/>
                <w:szCs w:val="15"/>
                <w:color w:val="auto"/>
              </w:rPr>
              <w:t>Total Debt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4,689,437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4,757,076</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9.6</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3.303 %</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3.370 %</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Secured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Secured debt consists primarily of mortgage term loans.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no mortgage term loans were paid off. During the year ended December 31, 2020, we paid off the following mortgage term loans (in thousands except statistical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24"/>
              <w:spacing w:after="0"/>
              <w:rPr>
                <w:sz w:val="20"/>
                <w:szCs w:val="20"/>
                <w:color w:val="auto"/>
              </w:rPr>
            </w:pPr>
            <w:r>
              <w:rPr>
                <w:rFonts w:ascii="Arial" w:cs="Arial" w:eastAsia="Arial" w:hAnsi="Arial"/>
                <w:sz w:val="15"/>
                <w:szCs w:val="15"/>
                <w:b w:val="1"/>
                <w:bCs w:val="1"/>
                <w:color w:val="auto"/>
                <w:w w:val="91"/>
              </w:rPr>
              <w:t>(Gain) / Loss on</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122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2"/>
                <w:szCs w:val="12"/>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5"/>
              </w:rPr>
              <w:t>Repayment Amount</w:t>
            </w:r>
          </w:p>
        </w:tc>
        <w:tc>
          <w:tcPr>
            <w:tcW w:w="280" w:type="dxa"/>
            <w:vAlign w:val="bottom"/>
          </w:tcPr>
          <w:p>
            <w:pPr>
              <w:spacing w:after="0"/>
              <w:rPr>
                <w:sz w:val="12"/>
                <w:szCs w:val="12"/>
                <w:color w:val="auto"/>
              </w:rPr>
            </w:pPr>
          </w:p>
        </w:tc>
        <w:tc>
          <w:tcPr>
            <w:tcW w:w="154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Fixed Interest Rate</w:t>
            </w:r>
          </w:p>
        </w:tc>
        <w:tc>
          <w:tcPr>
            <w:tcW w:w="280" w:type="dxa"/>
            <w:vAlign w:val="bottom"/>
            <w:vMerge w:val="restart"/>
          </w:tcPr>
          <w:p>
            <w:pPr>
              <w:spacing w:after="0"/>
              <w:rPr>
                <w:sz w:val="12"/>
                <w:szCs w:val="12"/>
                <w:color w:val="auto"/>
              </w:rPr>
            </w:pPr>
          </w:p>
        </w:tc>
        <w:tc>
          <w:tcPr>
            <w:tcW w:w="188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auto"/>
              </w:rPr>
              <w:t>Maturity Date</w:t>
            </w:r>
          </w:p>
        </w:tc>
        <w:tc>
          <w:tcPr>
            <w:tcW w:w="2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4"/>
              <w:spacing w:after="0" w:line="149" w:lineRule="exact"/>
              <w:rPr>
                <w:sz w:val="20"/>
                <w:szCs w:val="20"/>
                <w:color w:val="auto"/>
              </w:rPr>
            </w:pPr>
            <w:r>
              <w:rPr>
                <w:rFonts w:ascii="Arial" w:cs="Arial" w:eastAsia="Arial" w:hAnsi="Arial"/>
                <w:sz w:val="15"/>
                <w:szCs w:val="15"/>
                <w:b w:val="1"/>
                <w:bCs w:val="1"/>
                <w:color w:val="auto"/>
                <w:w w:val="93"/>
              </w:rPr>
              <w:t>Extinguishment of</w:t>
            </w:r>
          </w:p>
        </w:tc>
        <w:tc>
          <w:tcPr>
            <w:tcW w:w="0" w:type="dxa"/>
            <w:vAlign w:val="bottom"/>
          </w:tcPr>
          <w:p>
            <w:pPr>
              <w:spacing w:after="0"/>
              <w:rPr>
                <w:sz w:val="1"/>
                <w:szCs w:val="1"/>
                <w:color w:val="auto"/>
              </w:rPr>
            </w:pPr>
          </w:p>
        </w:tc>
      </w:tr>
      <w:tr>
        <w:trPr>
          <w:trHeight w:val="200"/>
        </w:trPr>
        <w:tc>
          <w:tcPr>
            <w:tcW w:w="382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9"/>
              </w:rPr>
              <w:t>Debt</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2"/>
          </w:tcPr>
          <w:p>
            <w:pPr>
              <w:jc w:val="right"/>
              <w:ind w:right="280"/>
              <w:spacing w:after="0" w:line="144" w:lineRule="exact"/>
              <w:rPr>
                <w:sz w:val="20"/>
                <w:szCs w:val="20"/>
                <w:color w:val="auto"/>
              </w:rPr>
            </w:pPr>
            <w:r>
              <w:rPr>
                <w:rFonts w:ascii="Arial" w:cs="Arial" w:eastAsia="Arial" w:hAnsi="Arial"/>
                <w:sz w:val="15"/>
                <w:szCs w:val="15"/>
                <w:color w:val="auto"/>
              </w:rPr>
              <w:t>March 1, 2021</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20"/>
              <w:spacing w:after="0"/>
              <w:rPr>
                <w:sz w:val="20"/>
                <w:szCs w:val="20"/>
                <w:color w:val="auto"/>
              </w:rPr>
            </w:pPr>
            <w:r>
              <w:rPr>
                <w:rFonts w:ascii="Arial" w:cs="Arial" w:eastAsia="Arial" w:hAnsi="Arial"/>
                <w:sz w:val="15"/>
                <w:szCs w:val="15"/>
                <w:color w:val="auto"/>
              </w:rPr>
              <w:t>June 30, 2020</w:t>
            </w:r>
          </w:p>
        </w:tc>
        <w:tc>
          <w:tcPr>
            <w:tcW w:w="800" w:type="dxa"/>
            <w:vAlign w:val="bottom"/>
            <w:gridSpan w:val="2"/>
            <w:vMerge w:val="restart"/>
          </w:tcPr>
          <w:p>
            <w:pPr>
              <w:jc w:val="right"/>
              <w:ind w:right="3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52,710</w:t>
            </w:r>
          </w:p>
        </w:tc>
        <w:tc>
          <w:tcPr>
            <w:tcW w:w="280" w:type="dxa"/>
            <w:vAlign w:val="bottom"/>
          </w:tcPr>
          <w:p>
            <w:pPr>
              <w:spacing w:after="0"/>
              <w:rPr>
                <w:sz w:val="12"/>
                <w:szCs w:val="12"/>
                <w:color w:val="auto"/>
              </w:rPr>
            </w:pPr>
          </w:p>
        </w:tc>
        <w:tc>
          <w:tcPr>
            <w:tcW w:w="1820" w:type="dxa"/>
            <w:vAlign w:val="bottom"/>
            <w:gridSpan w:val="2"/>
            <w:vMerge w:val="restart"/>
          </w:tcPr>
          <w:p>
            <w:pPr>
              <w:ind w:left="1020"/>
              <w:spacing w:after="0"/>
              <w:rPr>
                <w:sz w:val="20"/>
                <w:szCs w:val="20"/>
                <w:color w:val="auto"/>
              </w:rPr>
            </w:pPr>
            <w:r>
              <w:rPr>
                <w:rFonts w:ascii="Arial" w:cs="Arial" w:eastAsia="Arial" w:hAnsi="Arial"/>
                <w:sz w:val="15"/>
                <w:szCs w:val="15"/>
                <w:color w:val="auto"/>
              </w:rPr>
              <w:t xml:space="preserve">5.980 % </w:t>
            </w:r>
            <w:r>
              <w:rPr>
                <w:rFonts w:ascii="Arial" w:cs="Arial" w:eastAsia="Arial" w:hAnsi="Arial"/>
                <w:sz w:val="9"/>
                <w:szCs w:val="9"/>
                <w:color w:val="auto"/>
              </w:rPr>
              <w:t>(3)</w:t>
            </w:r>
          </w:p>
        </w:tc>
        <w:tc>
          <w:tcPr>
            <w:tcW w:w="2140" w:type="dxa"/>
            <w:vAlign w:val="bottom"/>
            <w:gridSpan w:val="2"/>
          </w:tcPr>
          <w:p>
            <w:pPr>
              <w:jc w:val="right"/>
              <w:ind w:right="280"/>
              <w:spacing w:after="0" w:line="149" w:lineRule="exact"/>
              <w:rPr>
                <w:sz w:val="20"/>
                <w:szCs w:val="20"/>
                <w:color w:val="auto"/>
              </w:rPr>
            </w:pPr>
            <w:r>
              <w:rPr>
                <w:rFonts w:ascii="Arial" w:cs="Arial" w:eastAsia="Arial" w:hAnsi="Arial"/>
                <w:sz w:val="15"/>
                <w:szCs w:val="15"/>
                <w:color w:val="auto"/>
              </w:rPr>
              <w:t>July 11, 2021</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1,930</w:t>
            </w:r>
          </w:p>
        </w:tc>
        <w:tc>
          <w:tcPr>
            <w:tcW w:w="0" w:type="dxa"/>
            <w:vAlign w:val="bottom"/>
          </w:tcPr>
          <w:p>
            <w:pPr>
              <w:spacing w:after="0"/>
              <w:rPr>
                <w:sz w:val="1"/>
                <w:szCs w:val="1"/>
                <w:color w:val="auto"/>
              </w:rPr>
            </w:pPr>
          </w:p>
        </w:tc>
      </w:tr>
      <w:tr>
        <w:trPr>
          <w:trHeight w:val="198"/>
        </w:trPr>
        <w:tc>
          <w:tcPr>
            <w:tcW w:w="382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80" w:type="dxa"/>
            <w:vAlign w:val="bottom"/>
          </w:tcPr>
          <w:p>
            <w:pPr>
              <w:jc w:val="right"/>
              <w:ind w:right="90"/>
              <w:spacing w:after="0"/>
              <w:rPr>
                <w:sz w:val="20"/>
                <w:szCs w:val="20"/>
                <w:color w:val="auto"/>
              </w:rPr>
            </w:pPr>
            <w:r>
              <w:rPr>
                <w:rFonts w:ascii="Arial" w:cs="Arial" w:eastAsia="Arial" w:hAnsi="Arial"/>
                <w:sz w:val="10"/>
                <w:szCs w:val="10"/>
                <w:color w:val="auto"/>
                <w:w w:val="97"/>
              </w:rPr>
              <w:t>(1)</w:t>
            </w:r>
          </w:p>
        </w:tc>
        <w:tc>
          <w:tcPr>
            <w:tcW w:w="1820" w:type="dxa"/>
            <w:vAlign w:val="bottom"/>
            <w:gridSpan w:val="2"/>
            <w:vMerge w:val="continue"/>
          </w:tcPr>
          <w:p>
            <w:pPr>
              <w:spacing w:after="0"/>
              <w:rPr>
                <w:sz w:val="17"/>
                <w:szCs w:val="17"/>
                <w:color w:val="auto"/>
              </w:rPr>
            </w:pPr>
          </w:p>
        </w:tc>
        <w:tc>
          <w:tcPr>
            <w:tcW w:w="2140" w:type="dxa"/>
            <w:vAlign w:val="bottom"/>
            <w:gridSpan w:val="2"/>
          </w:tcPr>
          <w:p>
            <w:pPr>
              <w:jc w:val="right"/>
              <w:ind w:right="280"/>
              <w:spacing w:after="0"/>
              <w:rPr>
                <w:sz w:val="20"/>
                <w:szCs w:val="20"/>
                <w:color w:val="auto"/>
              </w:rPr>
            </w:pPr>
            <w:r>
              <w:rPr>
                <w:rFonts w:ascii="Arial" w:cs="Arial" w:eastAsia="Arial" w:hAnsi="Arial"/>
                <w:sz w:val="15"/>
                <w:szCs w:val="15"/>
                <w:color w:val="auto"/>
              </w:rPr>
              <w:t>December 1, 2021</w:t>
            </w:r>
          </w:p>
        </w:tc>
        <w:tc>
          <w:tcPr>
            <w:tcW w:w="12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99,607</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ind w:left="1020"/>
              <w:spacing w:after="0"/>
              <w:rPr>
                <w:sz w:val="20"/>
                <w:szCs w:val="20"/>
                <w:color w:val="auto"/>
              </w:rPr>
            </w:pPr>
            <w:r>
              <w:rPr>
                <w:rFonts w:ascii="Arial" w:cs="Arial" w:eastAsia="Arial" w:hAnsi="Arial"/>
                <w:sz w:val="15"/>
                <w:szCs w:val="15"/>
                <w:color w:val="auto"/>
                <w:w w:val="90"/>
              </w:rPr>
              <w:t>5.837 %</w:t>
            </w:r>
          </w:p>
        </w:tc>
        <w:tc>
          <w:tcPr>
            <w:tcW w:w="2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March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3,403</w:t>
            </w: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31, 2020</w:t>
            </w: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(2)</w:t>
            </w:r>
          </w:p>
        </w:tc>
        <w:tc>
          <w:tcPr>
            <w:tcW w:w="18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 xml:space="preserve">5.830 % </w:t>
            </w:r>
            <w:r>
              <w:rPr>
                <w:rFonts w:ascii="Arial" w:cs="Arial" w:eastAsia="Arial" w:hAnsi="Arial"/>
                <w:sz w:val="9"/>
                <w:szCs w:val="9"/>
                <w:color w:val="auto"/>
              </w:rPr>
              <w:t>(3)</w:t>
            </w:r>
          </w:p>
        </w:tc>
        <w:tc>
          <w:tcPr>
            <w:tcW w:w="2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July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four mortgage term loans, two due to mature on March 1, 2021, one due to mature on July 11, 2021 and the other due to mature on December 1, 2021.</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four mortgage term loans due to mature on July 1, 2020.</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interest rate represents the weighted average interest rate on mortgage term loans.</w:t>
      </w: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September 30, 2021, we did not enter into any new mortgage term loans. During the year ended December 31, 2020, we entered into the following mortgage term loans (in thousands except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00" w:type="dxa"/>
            <w:vAlign w:val="bottom"/>
            <w:tcBorders>
              <w:bottom w:val="single" w:sz="8" w:color="auto"/>
            </w:tcBorders>
          </w:tcPr>
          <w:p>
            <w:pPr>
              <w:ind w:left="166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5"/>
              </w:rPr>
              <w:t>Loan Amount</w:t>
            </w:r>
          </w:p>
        </w:tc>
        <w:tc>
          <w:tcPr>
            <w:tcW w:w="2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Term (in years)</w:t>
            </w:r>
          </w:p>
        </w:tc>
        <w:tc>
          <w:tcPr>
            <w:tcW w:w="2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Interest Rate</w:t>
            </w:r>
          </w:p>
        </w:tc>
        <w:tc>
          <w:tcPr>
            <w:tcW w:w="2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5"/>
                <w:szCs w:val="15"/>
                <w:b w:val="1"/>
                <w:bCs w:val="1"/>
                <w:color w:val="auto"/>
              </w:rPr>
              <w:t>Maturity Date</w:t>
            </w:r>
          </w:p>
        </w:tc>
        <w:tc>
          <w:tcPr>
            <w:tcW w:w="0" w:type="dxa"/>
            <w:vAlign w:val="bottom"/>
          </w:tcPr>
          <w:p>
            <w:pPr>
              <w:spacing w:after="0"/>
              <w:rPr>
                <w:sz w:val="1"/>
                <w:szCs w:val="1"/>
                <w:color w:val="auto"/>
              </w:rPr>
            </w:pPr>
          </w:p>
        </w:tc>
      </w:tr>
      <w:tr>
        <w:trPr>
          <w:trHeight w:val="146"/>
        </w:trPr>
        <w:tc>
          <w:tcPr>
            <w:tcW w:w="496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December 31, 2020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268,800</w:t>
            </w:r>
          </w:p>
        </w:tc>
        <w:tc>
          <w:tcPr>
            <w:tcW w:w="2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80" w:type="dxa"/>
            <w:vAlign w:val="bottom"/>
            <w:shd w:val="clear" w:color="auto" w:fill="CCEEFF"/>
          </w:tcPr>
          <w:p>
            <w:pPr>
              <w:spacing w:after="0"/>
              <w:rPr>
                <w:sz w:val="12"/>
                <w:szCs w:val="12"/>
                <w:color w:val="auto"/>
              </w:rPr>
            </w:pPr>
          </w:p>
        </w:tc>
        <w:tc>
          <w:tcPr>
            <w:tcW w:w="1640" w:type="dxa"/>
            <w:vAlign w:val="bottom"/>
            <w:gridSpan w:val="2"/>
            <w:vMerge w:val="restart"/>
            <w:shd w:val="clear" w:color="auto" w:fill="CCEEFF"/>
          </w:tcPr>
          <w:p>
            <w:pPr>
              <w:ind w:left="820"/>
              <w:spacing w:after="0"/>
              <w:rPr>
                <w:sz w:val="20"/>
                <w:szCs w:val="20"/>
                <w:color w:val="auto"/>
              </w:rPr>
            </w:pPr>
            <w:r>
              <w:rPr>
                <w:rFonts w:ascii="Arial" w:cs="Arial" w:eastAsia="Arial" w:hAnsi="Arial"/>
                <w:sz w:val="15"/>
                <w:szCs w:val="15"/>
                <w:color w:val="auto"/>
              </w:rPr>
              <w:t xml:space="preserve">2.662 % </w:t>
            </w:r>
            <w:r>
              <w:rPr>
                <w:rFonts w:ascii="Arial" w:cs="Arial" w:eastAsia="Arial" w:hAnsi="Arial"/>
                <w:sz w:val="9"/>
                <w:szCs w:val="9"/>
                <w:color w:val="auto"/>
              </w:rPr>
              <w:t>(2)</w:t>
            </w:r>
          </w:p>
        </w:tc>
        <w:tc>
          <w:tcPr>
            <w:tcW w:w="15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5"/>
                <w:szCs w:val="15"/>
                <w:color w:val="auto"/>
              </w:rPr>
              <w:t>May 1, 2030</w:t>
            </w:r>
          </w:p>
        </w:tc>
        <w:tc>
          <w:tcPr>
            <w:tcW w:w="0" w:type="dxa"/>
            <w:vAlign w:val="bottom"/>
          </w:tcPr>
          <w:p>
            <w:pPr>
              <w:spacing w:after="0"/>
              <w:rPr>
                <w:sz w:val="1"/>
                <w:szCs w:val="1"/>
                <w:color w:val="auto"/>
              </w:rPr>
            </w:pPr>
          </w:p>
        </w:tc>
      </w:tr>
      <w:tr>
        <w:trPr>
          <w:trHeight w:val="202"/>
        </w:trPr>
        <w:tc>
          <w:tcPr>
            <w:tcW w:w="496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(1)</w:t>
            </w:r>
          </w:p>
        </w:tc>
        <w:tc>
          <w:tcPr>
            <w:tcW w:w="13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November 1,</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2032</w:t>
            </w:r>
          </w:p>
        </w:tc>
        <w:tc>
          <w:tcPr>
            <w:tcW w:w="0" w:type="dxa"/>
            <w:vAlign w:val="bottom"/>
          </w:tcPr>
          <w:p>
            <w:pPr>
              <w:spacing w:after="0"/>
              <w:rPr>
                <w:sz w:val="1"/>
                <w:szCs w:val="1"/>
                <w:color w:val="auto"/>
              </w:rPr>
            </w:pPr>
          </w:p>
        </w:tc>
      </w:tr>
      <w:tr>
        <w:trPr>
          <w:trHeight w:val="194"/>
        </w:trPr>
        <w:tc>
          <w:tcPr>
            <w:tcW w:w="4960" w:type="dxa"/>
            <w:vAlign w:val="bottom"/>
            <w:gridSpan w:val="2"/>
          </w:tcPr>
          <w:p>
            <w:pPr>
              <w:ind w:left="20"/>
              <w:spacing w:after="0"/>
              <w:rPr>
                <w:sz w:val="20"/>
                <w:szCs w:val="20"/>
                <w:color w:val="auto"/>
              </w:rPr>
            </w:pPr>
            <w:r>
              <w:rPr>
                <w:rFonts w:ascii="Arial" w:cs="Arial" w:eastAsia="Arial" w:hAnsi="Arial"/>
                <w:sz w:val="15"/>
                <w:szCs w:val="15"/>
                <w:color w:val="auto"/>
              </w:rPr>
              <w:t>March 31, 2020</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230,000</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w:t>
            </w:r>
          </w:p>
        </w:tc>
        <w:tc>
          <w:tcPr>
            <w:tcW w:w="280" w:type="dxa"/>
            <w:vAlign w:val="bottom"/>
          </w:tcPr>
          <w:p>
            <w:pPr>
              <w:spacing w:after="0"/>
              <w:rPr>
                <w:sz w:val="16"/>
                <w:szCs w:val="16"/>
                <w:color w:val="auto"/>
              </w:rPr>
            </w:pPr>
          </w:p>
        </w:tc>
        <w:tc>
          <w:tcPr>
            <w:tcW w:w="1360" w:type="dxa"/>
            <w:vAlign w:val="bottom"/>
          </w:tcPr>
          <w:p>
            <w:pPr>
              <w:ind w:left="820"/>
              <w:spacing w:after="0"/>
              <w:rPr>
                <w:sz w:val="20"/>
                <w:szCs w:val="20"/>
                <w:color w:val="auto"/>
              </w:rPr>
            </w:pPr>
            <w:r>
              <w:rPr>
                <w:rFonts w:ascii="Arial" w:cs="Arial" w:eastAsia="Arial" w:hAnsi="Arial"/>
                <w:sz w:val="15"/>
                <w:szCs w:val="15"/>
                <w:color w:val="auto"/>
                <w:w w:val="94"/>
              </w:rPr>
              <w:t>2.995 %</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April 1,</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2035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Includes three mortgage term loans, one for $8.8 million due to mature on May 1, 2030 and two for $39.5 million and $220.5 million, due to mature on November 1, 2032.</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interest rate represents the weighted average interest rate on mortgage term loans.</w:t>
      </w: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mortgage term loans totaling $3.4 billion as of September 30, 2021, are secured by 192 properties comprised of 76,436 sites representing approximately $3.2 billion of net book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Unsecured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28, 2021, we issued $600.0 million of senior unsecured notes with an interest rate of 2.7 percent and a ten-year term, due July 15, 2031 (the "2031 Notes"). Interest on the senior unsecured notes is payable semi-annually in arrears on January 15 and July 15 of each year, beginning on January 15, 2022. The net proceeds from the offering were approximately $592.4 million, after deducting underwriters' discounts and estimated offering expenses. The proceeds were used to pay down borrowings under our line of credit. The outstanding balance was $591.3 million at September 30, 2021. This balance is recorded in the Unsecured debt line item on the Consolidated Balance Sheets.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14, 2021, we entered into a new credit agreement (the "New Credit Agreement") with certain lenders. The New Credit Agreement combined and replaced our prior $750.0 million credit facility, which was scheduled to mature on May 21, 2023, (the "A&amp;R Facility"), and the $1.8 billion credit facility between Safe Harbor and certain lenders, which was scheduled to mature on October 11, 2024 (the "Safe Harbor Facility"). The Safe Harbor Facility was terminated in connection with the execution of the New Credit Agreement. We repaid all amounts due and outstanding under the Safe Harbor Facility on or prior to such effective date. We recognized a Loss on extinguishment of debt in our Consolidated Statement of Operations related to the termination of the A&amp;R Facility and the Safe Harbor Facility of $0.2 million and $7.9 million, respectively.</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New Credit Agreement, we may borrow up to $2.0 billion under a revolving loan (the "New Credit Facility"). The New Credit Facility is available to fund all of the Company's business, including its marina business conducted by Safe Harbor. The New Credit Agreement also permits, subject to the satisfaction of certain conditions, additional borrowings (with the consent of the lenders) in an amount not to exceed $1.0 billion with the option to treat all, or a portion, of such additional funds as an incremental term loan.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New Credit Facility has a four-year term ending June 14, 2025, and, at our option, the maturity date may be extended for two additional six-month periods, subject to the satisfaction of certain conditions. However, the maturity date with respect to $500.0 million of available borrowing under the New Credit Facility is October 11, 2024, which, under the terms of the New Credit Agreement, may not be extended. The New Credit Facility bears interest at a floating rate based on the Adjusted Eurocurrency Rate or Australian Bank Bill Swap Bid Rate (BBSY), plus a margin that is determined based on the Company's credit ratings calculated in accordance with the New Credit Agreement, which can range from 0.725 percent to 1.400 percent. As of September 30, 2021, the margin based on our credit ratings was 0.850 percent on the New Credit Facility.</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the lenders' option, the New Credit Facility will become immediately due and payable upon an event of default under the New Credit Agreement. We had $589.5 million of borrowings on the New Credit Facility as of September 30, 2021, all scheduled to mature June 14, 2025. As of December 31, 2020, we had $40.4 million of borrowings on the revolving loan and no borrowings on the term loan under our A&amp;R Facility, respectively. As of December 31, 2020, we had $652.0 million and $500.0 million of borrowings under the revolving loan and term loan under Safe Harbor Facility, respectively. These balances are recorded in the Unsecured debt line item on the Consolidated Balance Sheets.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Credit Facility provides us with the ability to issue letters of credit. Our issuance of letters of credit does not increase our borrowings outstanding under the New Credit Facility, but does reduce the borrowing amount available. At September 30, 2021 and December 31, 2020, we had approximately $3.2 million and $2.4 million (including none and $0.3 million associated with Safe Harbor's prior credit facility) of outstanding letters of credit,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Term Loan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2019, we assumed a term loan facility, in the amount of $58.0 million in relation to an acquisition. The term loan has a four-year term ending October 29, 2023, and bears interest at a floating rate based on the Eurodollar rate or Prime rate plus a margin ranging from 1.20 percent to 2.05 percent. Effective July 1, 2021, the agreement was amended to release the associated collateral. The amendment extended the term loan facility maturity date to October 29, 2025 and adjusted the interest rate margin to a range from 0.80 percent to 1.60 percent. As of September 30, 2021, the margin was 0.95 percent. The outstanding balance was $35.3 million at September 30, 2021 and $45.0 million at December 31, 2020. These balances are recorded in the Unsecured debt and Secured debt line items on the Consolidated Balance Sheets, respectively.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Floor Plan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 $12.0 million manufactured home floor plan facility renewable indefinitely until our lender provides us at least a 12-month notice of their intent to terminate the agreement. The interest rate is 100 basis points over the greater of the prime rate as quoted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first business day of each month or 6.0 percent. At September 30, 2021, the effective interest rate was 7.0 percent. There was no outstanding balance as of September 30, 2021. The outstanding balance was $4.8 million as of December 31, 2020. These balances are recorded within the Unsecured debt line item on the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Equity - Sun NG Resorts - mandatorily redeemable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investment in Sun NG Resorts, $35.3 million of mandatorily redeemable Preferred Equity ("Preferred Equity - Sun NG Resorts") was purchased by unrelated third parties. The Preferred Equity - Sun NG Resorts carries a preferred rate of return of 6.0 percent per annum. The Preferred Equity - Sun NG Resorts has a seven-year term ending June 1, 2025 and $33.4 million can be redeemed in the fourth quarter of 2024 at the holders' option. The Preferred Equity - Sun NG Resorts as of September 30, 2021 was $35.2 million. These balances are recorded within the Unsecured debt line item on the Consolidated Balance Sheets. Refer to Note 7, "Consolidated Variable Interest Entities," and Note 9, "Equity and Temporary Equity," for additional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OP Units - mandatorily redeemable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Preferred OP units at September 30, 2021 and December 31, 2020 include $34.7 million of Aspen preferred OP units issued by the Operating Partnership.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these units are convertible indirectly into 388,056 shares of our common stock.</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January 2020, we amended the Operating Partnership's partnership agreement. The amendment extended the automatic redemption date and reduced the annual distribution rate for 270,000 of the Aspen preferred OP units (the "Extended Units"). Subject to certain limitations, at any time prior to January 1, 2024 (or prior to January 1, 2034 with respect to the Extended Units), the holder of each Aspen preferred OP unit at its option may convert such Aspen preferred OP unit into: (a) if the average closing price of our common stock for the preceding ten trading days is $68.00 per share or less, 0.397 common OP units; or (b) if the ten-day average closing price is greater than $68.00 per share, the number of common OP units is determined by dividing (i) the sum of (A) $27.00 plus (B) 25.0 percent of the amount by which the ten-day average closing price exceeds $68.00 per share, by (ii) the ten-day average closing price. The current preferred distribution rate is 3.8 percent on the Extended Units and 6.5 percent on all other Aspen preferred OP units. On January 2, 2024 (or January 2, 2034 with respect to the Extended Units), we are required to redeem for cash all Aspen preferred OP units that have not been converted to common OP units. As of September 30, 2021, 270,000 of the Extended Units and 1,013,819 other Aspen preferred units were outstanding. These balances are recorded within the Unsecured debt line item on the Consolidated Balance Sheets.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mortgage term loans, senior unsecured notes, New Credit Facility and floor plan are subject to various financial and other covenants. The most restrictive covenants are pursuant to (a) the terms of the New Credit Facility, which contains a minimum fixed charge coverage ratio, maximum leverage, distribution ratios and variable rate indebtedness and (b) senior unsecured notes, which contain a total debt to total assets, secured debt to total assets, consolidated income available for debt service to debt service and unencumbered total asset value to unsecured debt covenants. At September 30, 2021 we were in compliance with all covenants.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and any of our other subsidiaries or any other person or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 Nonconsolidated Affiliate Indebtedness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GTSC </w:t>
      </w:r>
      <w:r>
        <w:rPr>
          <w:rFonts w:ascii="Arial" w:cs="Arial" w:eastAsia="Arial" w:hAnsi="Arial"/>
          <w:sz w:val="18"/>
          <w:szCs w:val="18"/>
          <w:color w:val="auto"/>
        </w:rPr>
        <w:t>- During September 2019, GTSC, a nonconsolidated affiliate in which we have a 40 percent ownership interest, entered into a warehouse line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with a maximum loan amount of $125.0 million. During September 2020 and May 2021, the maximum amount was increased to $180.0 million and $230.0 million, respectively with an option to increase to $255.0 million subject to the lender's consent. As of September 30, 2021, the aggregate carrying amount of debt, including both our and our partner's share, incurred by GTSC was $218.4 million (of which our proportionate share is $87.3 million). As of December 31, 2020, the aggregate carrying amount of debt, including both our and our partner's share, incurred by GTSC was $167.7 million (of which our proportionate share is $67.1 million). The debt bears interest at a variable rate based on LIBOR plus 1.65 percent per annum and matures on September 15, 2023.</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Sungenia JV </w:t>
      </w:r>
      <w:r>
        <w:rPr>
          <w:rFonts w:ascii="Arial" w:cs="Arial" w:eastAsia="Arial" w:hAnsi="Arial"/>
          <w:sz w:val="17"/>
          <w:szCs w:val="17"/>
          <w:color w:val="auto"/>
        </w:rPr>
        <w:t>- During May 2020, Sungenia JV, a nonconsolidated affiliate in which we have a 50 percent ownership interest, entered into a debt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a maximum loan amount of $27.0 million Australian dollars, or $19.5 million converted at the September 30, 2021 exchange rate. As of September 30, 2021, the aggregate carrying amount of debt, including both our and our partners' share, incurred by Sungenia JV was $6.2 million (of which our proportionate share is $3.1 million). As of December 31, 2020, the aggregate carrying amount of debt, including both our and our partners' share, incurred by Sungenia JV was $6.7 million (of which our proportionate share is $3.3 million). The debt bears interest at a variable rate based on the BBSY rate plus 2.05 percent per annum and is available for a minimum of three years.</w:t>
      </w:r>
    </w:p>
    <w:p>
      <w:pPr>
        <w:spacing w:after="0" w:line="201"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Temporary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Permanent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Universal Shelf Registration Statement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5, 2021, in connection with the expiration of our universal shelf registration statement on Form S-3, that was filed with the SEC on April 6, 2018, we filed a new universal shelf registration statement on Form S-3 with the SEC. The new universal shelf registration statement was deemed automatically effective and provides for the registration of unspecified amounts of equity and debt securities. We have the authority to issue 200,000,000 shares of capital stock, of which 180,000,000 shares are common stock, par value $0.01 per share, and 20,000,000 are shares of preferred stock, par value $0.01 per share. As of September 30, 2021, we had 115,959,116 shares of common stock issued and outstanding and no shares of preferred stock were issued and outstanding.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2, 2021, we priced a $1.1 billion underwritten public offering of an aggregate of 8,050,000 shares at a public offering price of $140.00 per share, before underwriting discounts and commissions. The offering consisted of 4,000,000 shares offered directly by us and 4,050,000 shares offered under a forward equity sales agreement. We sold the 4,000,000 shares on March 9, 2021 and received net proceeds of $537.6 million after deducting expenses related to the offering. In May and June 2021, we completed the physical settlement of the remaining 4,050,000 shares and received net proceeds of $539.7 million after deducting expenses related to the offering. Proceeds from the offering were used to acquire assets and pay down the Safe Harbor Facility.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30, 2020 and October 1, 2020, we entered into two forward sale agreements (the "September 2020 Forward Equity Offerings") relating to an underwritten registered public offering of 9,200,000 shares of our common stock at a public offering price of $139.50 per share. The offering closed on October 5, 2020. On October 26, 2020, we physically settled the September 2020 Forward Equity Offering (by the delivery of shares of our common stock). Proceeds from the offering were approximately $1.23 billion after deducting expenses related to the offering. We used the net proceeds of this offering to fund the cash portion of the acquisition of Safe Harbor, and for working capital and general corporate purposes.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we closed an underwritten registered public offering of 4,968,000 shares of common stock. Proceeds from the offering were $633.1 million after deducting expenses related to the offering. We used the net proceeds of this offering to repay borrowings outstanding under the revolving loan under our senior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4, 2021, we entered into an At the Market Offering Sales Agreement (the "Sales Agreement") with certain sales agents, and forward sellers pursuant to which we may sell, from time to time, up to an aggregate gross sales price of $500.0 million of our common stock, through the sales agents, acting as our sales agents or, if applicable, as forward sellers, or directly to the sales agents as principals for their own accounts. The sales agents and forward sellers are entitled to compensation in an agreed amount not to exceed 2.0 percent of the gross price per share for any shares sold under the Sales Agreement. We forward sold 107,400 shares of common stock under the new Sales Agreement for $21.4 million during the three and nine months ended September 30, 2021. The forward shares are not physically settled as of September 30, 2021. The forward shares will expire if not settled by September 2022.</w:t>
      </w:r>
    </w:p>
    <w:p>
      <w:pPr>
        <w:spacing w:after="0" w:line="2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entering into the Sales Agreement, we simultaneously terminated our previous At the Market Offering Sales Agreement entered into in July 2017. There were no issuances of common stock under the prior sales agreement during the six months ended June 30, 2021 or during the year ended December 31, 2020. From inception through termination of the prior sales agreement, we sold shares of our common stock for gross proceeds of $163.8 million.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Common Stock, Common OP Units and Preferred OP Units in Connection with the Acquisition of Certain Properties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Rybovich Portfolio Common OP Units </w:t>
      </w:r>
      <w:r>
        <w:rPr>
          <w:rFonts w:ascii="Arial" w:cs="Arial" w:eastAsia="Arial" w:hAnsi="Arial"/>
          <w:sz w:val="18"/>
          <w:szCs w:val="18"/>
          <w:color w:val="auto"/>
        </w:rPr>
        <w:t>- In December 2020, in connection with the acquisition of the Rybovich Portfolio, we issued 130,475 Common OP</w:t>
      </w:r>
      <w:r>
        <w:rPr>
          <w:rFonts w:ascii="Arial" w:cs="Arial" w:eastAsia="Arial" w:hAnsi="Arial"/>
          <w:sz w:val="18"/>
          <w:szCs w:val="18"/>
          <w:i w:val="1"/>
          <w:iCs w:val="1"/>
          <w:color w:val="auto"/>
        </w:rPr>
        <w:t xml:space="preserve"> </w:t>
      </w:r>
      <w:r>
        <w:rPr>
          <w:rFonts w:ascii="Arial" w:cs="Arial" w:eastAsia="Arial" w:hAnsi="Arial"/>
          <w:sz w:val="18"/>
          <w:szCs w:val="18"/>
          <w:color w:val="auto"/>
        </w:rPr>
        <w:t>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Safe Harbor Common OP Units </w:t>
      </w:r>
      <w:r>
        <w:rPr>
          <w:rFonts w:ascii="Arial" w:cs="Arial" w:eastAsia="Arial" w:hAnsi="Arial"/>
          <w:sz w:val="18"/>
          <w:szCs w:val="18"/>
          <w:color w:val="auto"/>
        </w:rPr>
        <w:t>- In October 2020, in connection with the acquisition of Safe Harbor, we issued 55,403 Common OP units.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Forest Springs Common OP Units </w:t>
      </w:r>
      <w:r>
        <w:rPr>
          <w:rFonts w:ascii="Arial" w:cs="Arial" w:eastAsia="Arial" w:hAnsi="Arial"/>
          <w:sz w:val="18"/>
          <w:szCs w:val="18"/>
          <w:color w:val="auto"/>
        </w:rPr>
        <w:t>- In May 2020, in connection with the acquisition of the Forest Springs community, we issued 82,420 Common OP</w:t>
      </w:r>
      <w:r>
        <w:rPr>
          <w:rFonts w:ascii="Arial" w:cs="Arial" w:eastAsia="Arial" w:hAnsi="Arial"/>
          <w:sz w:val="18"/>
          <w:szCs w:val="18"/>
          <w:i w:val="1"/>
          <w:iCs w:val="1"/>
          <w:color w:val="auto"/>
        </w:rPr>
        <w:t xml:space="preserve"> </w:t>
      </w:r>
      <w:r>
        <w:rPr>
          <w:rFonts w:ascii="Arial" w:cs="Arial" w:eastAsia="Arial" w:hAnsi="Arial"/>
          <w:sz w:val="18"/>
          <w:szCs w:val="18"/>
          <w:color w:val="auto"/>
        </w:rPr>
        <w:t>units.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Issuance of Series E Preferred OP Units - </w:t>
      </w:r>
      <w:r>
        <w:rPr>
          <w:rFonts w:ascii="Arial" w:cs="Arial" w:eastAsia="Arial" w:hAnsi="Arial"/>
          <w:sz w:val="18"/>
          <w:szCs w:val="18"/>
          <w:color w:val="auto"/>
        </w:rPr>
        <w:t>In January 2020, we issued 90,000 Series E preferred OP units in connection with the acquisition of Cape Cod</w:t>
      </w:r>
      <w:r>
        <w:rPr>
          <w:rFonts w:ascii="Arial" w:cs="Arial" w:eastAsia="Arial" w:hAnsi="Arial"/>
          <w:sz w:val="18"/>
          <w:szCs w:val="18"/>
          <w:i w:val="1"/>
          <w:iCs w:val="1"/>
          <w:color w:val="auto"/>
        </w:rPr>
        <w:t xml:space="preserve"> </w:t>
      </w:r>
      <w:r>
        <w:rPr>
          <w:rFonts w:ascii="Arial" w:cs="Arial" w:eastAsia="Arial" w:hAnsi="Arial"/>
          <w:sz w:val="18"/>
          <w:szCs w:val="18"/>
          <w:color w:val="auto"/>
        </w:rPr>
        <w:t>RV Resort. The Series E preferred OP units have a stated issuance price of $100.00 per OP Unit and carry a preferred return of 5.25 percent until the second anniversary of the issuance date. Commencing with the second anniversary of the issuance date, the Series E Preferred OP Units carry a preferred return of 5.50 percent. Commencing with the first anniversary of the issuance date, subject to certain limitations, each Series E Preferred OP Unit can be exchanged for our common stock equal to the quotient obtained by dividing $100.00 by $145.00 (as such ratio is subject to adjustments for certain capital events). As of September 30, 2021, 90,000 Series E preferred OP Units were outstanding. Refer to Note 3, "Real Estate Acquisitions and Dispositions," for additional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Interests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Equity Interest - SHM South Fork JV, LLC - </w:t>
      </w:r>
      <w:r>
        <w:rPr>
          <w:rFonts w:ascii="Arial" w:cs="Arial" w:eastAsia="Arial" w:hAnsi="Arial"/>
          <w:sz w:val="17"/>
          <w:szCs w:val="17"/>
          <w:color w:val="auto"/>
        </w:rPr>
        <w:t>In October 2020, in conjunction with the acquisition of Safe Harbor, we indirectly acquired $4.3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Safe Harbor's equity interest in SHM South Fork JV, LLC, a joint venture created for the purpose of acquiring land and constructing a marina in Fort Lauderdale, Florida. The Safe Harbor Equity Interests - SHM South Fork JV, LLC balance was $4.1 million and $4.3 million at September 30, 2021 and the year ended December 31, 2020, respectively. Refer to Note 7, "Consolidated Variable Interest Entities,"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Temporary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Preferred OP Units in Connection with the Acquisition of Certain Properties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Issuance of Series J Preferred OP Units </w:t>
      </w:r>
      <w:r>
        <w:rPr>
          <w:rFonts w:ascii="Arial" w:cs="Arial" w:eastAsia="Arial" w:hAnsi="Arial"/>
          <w:sz w:val="18"/>
          <w:szCs w:val="18"/>
          <w:color w:val="auto"/>
        </w:rPr>
        <w:t>- In April 2021, we issued 240,000 Series J preferred OP units in connection with the acquisition of the Sylvan</w:t>
      </w:r>
      <w:r>
        <w:rPr>
          <w:rFonts w:ascii="Arial" w:cs="Arial" w:eastAsia="Arial" w:hAnsi="Arial"/>
          <w:sz w:val="18"/>
          <w:szCs w:val="18"/>
          <w:i w:val="1"/>
          <w:iCs w:val="1"/>
          <w:color w:val="auto"/>
        </w:rPr>
        <w:t xml:space="preserve"> </w:t>
      </w:r>
      <w:r>
        <w:rPr>
          <w:rFonts w:ascii="Arial" w:cs="Arial" w:eastAsia="Arial" w:hAnsi="Arial"/>
          <w:sz w:val="18"/>
          <w:szCs w:val="18"/>
          <w:color w:val="auto"/>
        </w:rPr>
        <w:t>Glen. The Series J preferred OP units have a stated issuance price of $100.00 per OP unit and carry a preferred return of 2.85 percent. Subject to certain limitations, at any time after the Series J issuance date, each Series J preferred OP unit can be exchanged for a number of shares of our common stock equal to the quotient obtained by dividing $100.00 by $165.00 (as such ratio is subject to adjustments for certain capital events) at the holder's option. Each holder may require redemption in cash (i) during the 30-day period following a change of control of the Company or (ii) any time after the fifth anniversary of the Series J issuance date. As of September 30, 2021, 240,000 Series J preferred OP units were outstanding. Refer to Note 3, "Real Estate Acquisitions and Dispositions," for additional information.</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Issuance of Series I Preferred OP Units </w:t>
      </w:r>
      <w:r>
        <w:rPr>
          <w:rFonts w:ascii="Arial" w:cs="Arial" w:eastAsia="Arial" w:hAnsi="Arial"/>
          <w:sz w:val="16"/>
          <w:szCs w:val="16"/>
          <w:color w:val="auto"/>
        </w:rPr>
        <w:t>- In December 2020, we issued 922,000 Series I preferred OP units in connection with the acquisition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Rybovich Portfolio. The Series I preferred OP units have a stated issuance price of $100.00 per OP unit and carry a preferred return of 3.0 percent. Subject to certain limitations, at any time after the Series I issuance date, each Series I preferred OP unit can be exchanged for a number of shares of our common stock equal to the quotient obtained by dividing $100.00 by $164.00 (as such ratio is subject to adjustments for certain capital events) at the holder's option. Each holder may require redemption in cash after the fifth anniversary of the Series I issuance date or upon the holder's death. As of September 30, 2021, 922,000 Series I preferred OP units were outstanding. Refer to Note 3, "Real Estate Acquisitions and Dispositions," for additional information.</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Issuance of Series H Preferred OP Units </w:t>
      </w:r>
      <w:r>
        <w:rPr>
          <w:rFonts w:ascii="Arial" w:cs="Arial" w:eastAsia="Arial" w:hAnsi="Arial"/>
          <w:sz w:val="16"/>
          <w:szCs w:val="16"/>
          <w:color w:val="auto"/>
        </w:rPr>
        <w:t>- In October 2020, we issued 581,407 Series H preferred OP units in connection with the acquisition of Safe</w:t>
      </w:r>
      <w:r>
        <w:rPr>
          <w:rFonts w:ascii="Arial" w:cs="Arial" w:eastAsia="Arial" w:hAnsi="Arial"/>
          <w:sz w:val="16"/>
          <w:szCs w:val="16"/>
          <w:i w:val="1"/>
          <w:iCs w:val="1"/>
          <w:color w:val="auto"/>
        </w:rPr>
        <w:t xml:space="preserve"> </w:t>
      </w:r>
      <w:r>
        <w:rPr>
          <w:rFonts w:ascii="Arial" w:cs="Arial" w:eastAsia="Arial" w:hAnsi="Arial"/>
          <w:sz w:val="16"/>
          <w:szCs w:val="16"/>
          <w:color w:val="auto"/>
        </w:rPr>
        <w:t>Harbor. The Series H preferred OP units have a stated issuance price of $100.00 per OP unit and carry a preferred return of 3.0 percent. Subject to certain limitations, at any time after the Series H issuance date, each Series H preferred OP unit can be exchanged for a number of shares of our common stock equal to the quotient obtained by dividing $100.00 by $164.00 (as such ratio is subject to adjustments for certain capital events) at the holder's option. Each holder may require redemption in cash after the fifth anniversary of the Series H issuance date or upon the holder's death. As of September 30, 2021, 581,407 Series H preferred OP units were outstanding. Refer to Note 3, "Real Estate Acquisitions and Dispositions," for additional information.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Issuance of Series G Preferred OP Units </w:t>
      </w:r>
      <w:r>
        <w:rPr>
          <w:rFonts w:ascii="Arial" w:cs="Arial" w:eastAsia="Arial" w:hAnsi="Arial"/>
          <w:sz w:val="18"/>
          <w:szCs w:val="18"/>
          <w:color w:val="auto"/>
        </w:rPr>
        <w:t>- In September 2020, we issued 260,710 Series G preferred OP units in connection with the acquisition of El</w:t>
      </w:r>
      <w:r>
        <w:rPr>
          <w:rFonts w:ascii="Arial" w:cs="Arial" w:eastAsia="Arial" w:hAnsi="Arial"/>
          <w:sz w:val="18"/>
          <w:szCs w:val="18"/>
          <w:i w:val="1"/>
          <w:iCs w:val="1"/>
          <w:color w:val="auto"/>
        </w:rPr>
        <w:t xml:space="preserve"> </w:t>
      </w:r>
      <w:r>
        <w:rPr>
          <w:rFonts w:ascii="Arial" w:cs="Arial" w:eastAsia="Arial" w:hAnsi="Arial"/>
          <w:sz w:val="18"/>
          <w:szCs w:val="18"/>
          <w:color w:val="auto"/>
        </w:rPr>
        <w:t>Capitan &amp; Ocean Mesa Resorts. The Series G preferred OP units have a stated issuance price of $100.00 per OP unit and carry a preferred return of 3.2 percent. Subject to certain limitations, at any time after the Series G issuance date, each Series G preferred OP unit can be exchanged for a number of shares of our common stock equal to the quotient obtained by dividing $100.00 by $155.00 (as such ratio is subject to adjustments for certain capital events) at the holder's option. Each holder may require redemption in cash after the fifth anniversary of the Series G issuance date or upon the holder's death. As of September 30, 2021, 240,710 Series G preferred OP units were outstanding. Refer to Note 3, "Real Estate Acquisitions and Dispositions," for additional information.</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Issuance of Series F Preferred OP Units </w:t>
      </w:r>
      <w:r>
        <w:rPr>
          <w:rFonts w:ascii="Arial" w:cs="Arial" w:eastAsia="Arial" w:hAnsi="Arial"/>
          <w:sz w:val="16"/>
          <w:szCs w:val="16"/>
          <w:color w:val="auto"/>
        </w:rPr>
        <w:t>- In May 2020, we issued 90,000 Series F preferred OP units in connection with the acquisition of Forest Springs.</w:t>
      </w:r>
      <w:r>
        <w:rPr>
          <w:rFonts w:ascii="Arial" w:cs="Arial" w:eastAsia="Arial" w:hAnsi="Arial"/>
          <w:sz w:val="16"/>
          <w:szCs w:val="16"/>
          <w:i w:val="1"/>
          <w:iCs w:val="1"/>
          <w:color w:val="auto"/>
        </w:rPr>
        <w:t xml:space="preserve"> </w:t>
      </w:r>
      <w:r>
        <w:rPr>
          <w:rFonts w:ascii="Arial" w:cs="Arial" w:eastAsia="Arial" w:hAnsi="Arial"/>
          <w:sz w:val="16"/>
          <w:szCs w:val="16"/>
          <w:color w:val="auto"/>
        </w:rPr>
        <w:t>The Series F preferred OP units have a stated issuance price of $100.00 per OP unit and carry a preferred return of 3.0 percent. Subject to certain limitations, at any time after the Series F issuance date, each Series F preferred OP unit can be exchanged for a number of shares of our common stock equal to the quotient obtained by dividing $100.00 by $160.00 (as such ratio is subject to adjustments for certain capital events) at the holder's option. Each holder may require redemption in cash after the fifth anniversary of the Series F issuance date or upon the holder's death. As of September 30, 2021, 90,000 Series F preferred OP units were outstanding. Refer to Note 3, "Real Estate Acquisitions and Dispositions," for additional information.</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Issuance of Series D Preferred OP Units </w:t>
      </w:r>
      <w:r>
        <w:rPr>
          <w:rFonts w:ascii="Arial" w:cs="Arial" w:eastAsia="Arial" w:hAnsi="Arial"/>
          <w:sz w:val="17"/>
          <w:szCs w:val="17"/>
          <w:color w:val="auto"/>
        </w:rPr>
        <w:t>- In February 2019, we issued 488,958 Series D preferred OP units in connection with the acquisition of Country</w:t>
      </w:r>
      <w:r>
        <w:rPr>
          <w:rFonts w:ascii="Arial" w:cs="Arial" w:eastAsia="Arial" w:hAnsi="Arial"/>
          <w:sz w:val="17"/>
          <w:szCs w:val="17"/>
          <w:i w:val="1"/>
          <w:iCs w:val="1"/>
          <w:color w:val="auto"/>
        </w:rPr>
        <w:t xml:space="preserve"> </w:t>
      </w:r>
      <w:r>
        <w:rPr>
          <w:rFonts w:ascii="Arial" w:cs="Arial" w:eastAsia="Arial" w:hAnsi="Arial"/>
          <w:sz w:val="17"/>
          <w:szCs w:val="17"/>
          <w:color w:val="auto"/>
        </w:rPr>
        <w:t>Village Estates. The Series D preferred OP units have a stated issuance price of $100.00 per OP unit and carry a preferred return of 3.75 percent until the second anniversary of the issuance date. Commencing with the second anniversary of the issuance date, the Series D preferred OP units carry a preferred return of 4.0 percent. Commencing with the first anniversary of the issuance date, each Series D preferred OP unit can be exchanged for our common stock equal to the quotient obtained by dividing $100.00 by $125.00 (as such ratio is subject to adjustments for certain capital events) at the holder's option. The holders may require redemption in cash after the fifth anniversary of the Series D issuance date or upon the holder's death. As of September 30, 2021, 488,958 Series D preferred OP units were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Interests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Equity Interest - Sun Solar JV - </w:t>
      </w:r>
      <w:r>
        <w:rPr>
          <w:rFonts w:ascii="Arial" w:cs="Arial" w:eastAsia="Arial" w:hAnsi="Arial"/>
          <w:sz w:val="17"/>
          <w:szCs w:val="17"/>
          <w:color w:val="auto"/>
        </w:rPr>
        <w:t>In July 2021, we entered into a joint venture with an unrelated third party to operate and maintain solar energy equipment in</w:t>
      </w:r>
      <w:r>
        <w:rPr>
          <w:rFonts w:ascii="Arial" w:cs="Arial" w:eastAsia="Arial" w:hAnsi="Arial"/>
          <w:sz w:val="17"/>
          <w:szCs w:val="17"/>
          <w:i w:val="1"/>
          <w:iCs w:val="1"/>
          <w:color w:val="auto"/>
        </w:rPr>
        <w:t xml:space="preserve"> </w:t>
      </w:r>
      <w:r>
        <w:rPr>
          <w:rFonts w:ascii="Arial" w:cs="Arial" w:eastAsia="Arial" w:hAnsi="Arial"/>
          <w:sz w:val="17"/>
          <w:szCs w:val="17"/>
          <w:color w:val="auto"/>
        </w:rPr>
        <w:t>selected California communities. The unrelated third party made an equity contribution of $1.8 million in the Solar JV (referred to as "Equity Interest - Sun Solar JV"). We are the managing member and made an equity contribution of $5.8 million. The governing documents for the joint venture contain language regarding the economic treatment of each member’s equity contribution. The Equity Interest - Sun Solar JV balance was $1.6 million at September 30, 2021. Refer to Note 7, "Consolidated Variable Interest Entities," for additional information.</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Equity Interest - FPG Sun Menifee 80 LLC </w:t>
      </w:r>
      <w:r>
        <w:rPr>
          <w:rFonts w:ascii="Arial" w:cs="Arial" w:eastAsia="Arial" w:hAnsi="Arial"/>
          <w:sz w:val="16"/>
          <w:szCs w:val="16"/>
          <w:color w:val="auto"/>
        </w:rPr>
        <w:t>- In October 2020, in connection with the investment in land for future development in the city of Menifee in</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at the property known as FPG Sun Menifee 80 LLC, Foremost Pacific Group, LLC, "FPG," purchased $0.1 million of common equity interest in the land (referred to as "Equity Interest - FPG Sun Menifee 80 LLC"). The Equity Interest - FPG Sun Menifee 80 LLC does not have a fixed maturity date. Upon the occurrence of certain events, either FPG or Sun FPG Venture LLC, our subsidiary, can trigger a process under which we may be required to purchase the Equity Interests - FPG Sun Menifee 80 LLC from FPG. The Equity Interest - FPG Sun Menifee 80 LLC balance was $0.1 million at September 30, 2021 and year ended December 31, 2020. Refer to Note 7, "Consolidated Variable Interest Entities," for additional information.</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Equity Interest - NG Sun Whitewater LLC </w:t>
      </w:r>
      <w:r>
        <w:rPr>
          <w:rFonts w:ascii="Arial" w:cs="Arial" w:eastAsia="Arial" w:hAnsi="Arial"/>
          <w:sz w:val="16"/>
          <w:szCs w:val="16"/>
          <w:color w:val="auto"/>
        </w:rPr>
        <w:t>- In August 2019, in connection with the investment in land at the property known as Whitewater, NG Sun</w:t>
      </w:r>
      <w:r>
        <w:rPr>
          <w:rFonts w:ascii="Arial" w:cs="Arial" w:eastAsia="Arial" w:hAnsi="Arial"/>
          <w:sz w:val="16"/>
          <w:szCs w:val="16"/>
          <w:i w:val="1"/>
          <w:iCs w:val="1"/>
          <w:color w:val="auto"/>
        </w:rPr>
        <w:t xml:space="preserve"> </w:t>
      </w:r>
      <w:r>
        <w:rPr>
          <w:rFonts w:ascii="Arial" w:cs="Arial" w:eastAsia="Arial" w:hAnsi="Arial"/>
          <w:sz w:val="16"/>
          <w:szCs w:val="16"/>
          <w:color w:val="auto"/>
        </w:rPr>
        <w:t>Whitewater LLC purchased $2.4 million of common equity interest in Sun NG Whitewater RV Resorts LLC (referred to as "Equity Interest - NG Sun Whitewater LLC"). The Equity Interest - NG Sun Whitewater LLC does not have a fixed maturity date. Upon the occurrence of certain events, either NG Sun Whitewater LLC or Sun NG LLC, our subsidiary, can trigger a process under which we may be required to purchase the Equity Interest - NG Sun Whitewater LLC from NG Sun Whitewater LLC. The Equity Interest - NG Sun Whitewater LLC balance was $5.0 million and $5.1 million at September 30, 2021 and year ended December 31, 2020, respectively. Refer to Note 7, "Consolidated Variable Interest Entities,"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Equity Interest - NG Sun LLC </w:t>
      </w:r>
      <w:r>
        <w:rPr>
          <w:rFonts w:ascii="Arial" w:cs="Arial" w:eastAsia="Arial" w:hAnsi="Arial"/>
          <w:sz w:val="16"/>
          <w:szCs w:val="16"/>
          <w:color w:val="auto"/>
        </w:rPr>
        <w:t>- In June 2018, in connection with the investment in Sun NG Resorts, unrelated third parties purchased $6.5 million of Series</w:t>
      </w:r>
      <w:r>
        <w:rPr>
          <w:rFonts w:ascii="Arial" w:cs="Arial" w:eastAsia="Arial" w:hAnsi="Arial"/>
          <w:sz w:val="16"/>
          <w:szCs w:val="16"/>
          <w:i w:val="1"/>
          <w:iCs w:val="1"/>
          <w:color w:val="auto"/>
        </w:rPr>
        <w:t xml:space="preserve"> </w:t>
      </w:r>
      <w:r>
        <w:rPr>
          <w:rFonts w:ascii="Arial" w:cs="Arial" w:eastAsia="Arial" w:hAnsi="Arial"/>
          <w:sz w:val="16"/>
          <w:szCs w:val="16"/>
          <w:color w:val="auto"/>
        </w:rPr>
        <w:t>B preferred equity interests and $15.4 million of common equity interest in Sun NG Resorts (herein jointly referred to as "Equity Interest - NG Sun LLC"). In April and September 2020, in connection with the acquisitions of Glen Ellis RV Park and Lone Star RV Park, $3.0 million of Series B preferred equity interests were converted to common equity interests. The Series B preferred equity interests carry a preferred return at a rate that, at any time, is equal to the interest rate on Sun NG Resorts' indebtedness at such time. The current rate of return is 5.0 percent. The Equity Interest - NG Sun LLC does not have a fixed maturity date and can be redeemed in the fourth quarters of 2024, 2025 and 2026 at the holders' option. Sun NG LLC, our subsidiary, has the right during certain periods each year, with or without cause, or for cause at any time, to elect to buy NG Sun LLC's interest. During a limited period in 2022, NG Sun LLC has the right to put its interest to Sun NG LLC. If either party exercises their option, the property management agreement will be terminated, and we are required to purchase the remaining interests of NG Sun LLC and the property management agreement at fair value. The Equity Interest - NG Sun LLC balance was $26.3 million and $23.3 million at September 30, 2021 and year ended December 31, 2020, respectively. Refer to Note 7, "Consolidated Variable Interest Entities," and Note 8, "Debt and Line of Credit," for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Conversions to Common Stock </w:t>
      </w:r>
      <w:r>
        <w:rPr>
          <w:rFonts w:ascii="Arial" w:cs="Arial" w:eastAsia="Arial" w:hAnsi="Arial"/>
          <w:sz w:val="18"/>
          <w:szCs w:val="18"/>
          <w:color w:val="auto"/>
        </w:rPr>
        <w:t>- Subject to certain limitations, holders can convert certain series of stock and OP units to shares of our common stock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Below is the activity of conversions during the nine months ended September 30,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4"/>
          </w:tcPr>
          <w:p>
            <w:pPr>
              <w:ind w:left="720"/>
              <w:spacing w:after="0"/>
              <w:rPr>
                <w:sz w:val="20"/>
                <w:szCs w:val="20"/>
                <w:color w:val="auto"/>
              </w:rPr>
            </w:pPr>
            <w:r>
              <w:rPr>
                <w:rFonts w:ascii="Arial" w:cs="Arial" w:eastAsia="Arial" w:hAnsi="Arial"/>
                <w:sz w:val="15"/>
                <w:szCs w:val="15"/>
                <w:b w:val="1"/>
                <w:bCs w:val="1"/>
                <w:color w:val="auto"/>
              </w:rPr>
              <w:t>Nine Months Ended</w:t>
            </w:r>
          </w:p>
        </w:tc>
        <w:tc>
          <w:tcPr>
            <w:tcW w:w="2760" w:type="dxa"/>
            <w:vAlign w:val="bottom"/>
            <w:gridSpan w:val="3"/>
          </w:tcPr>
          <w:p>
            <w:pPr>
              <w:jc w:val="right"/>
              <w:ind w:right="644"/>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7"/>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auto"/>
            </w:tcBorders>
            <w:gridSpan w:val="3"/>
          </w:tcPr>
          <w:p>
            <w:pPr>
              <w:jc w:val="right"/>
              <w:ind w:right="664"/>
              <w:spacing w:after="0"/>
              <w:rPr>
                <w:sz w:val="20"/>
                <w:szCs w:val="20"/>
                <w:color w:val="auto"/>
              </w:rPr>
            </w:pPr>
            <w:r>
              <w:rPr>
                <w:rFonts w:ascii="Arial" w:cs="Arial" w:eastAsia="Arial" w:hAnsi="Arial"/>
                <w:sz w:val="15"/>
                <w:szCs w:val="15"/>
                <w:b w:val="1"/>
                <w:bCs w:val="1"/>
                <w:color w:val="auto"/>
              </w:rPr>
              <w:t>September 30, 2021</w:t>
            </w:r>
          </w:p>
        </w:tc>
        <w:tc>
          <w:tcPr>
            <w:tcW w:w="100" w:type="dxa"/>
            <w:vAlign w:val="bottom"/>
          </w:tcPr>
          <w:p>
            <w:pPr>
              <w:spacing w:after="0"/>
              <w:rPr>
                <w:sz w:val="17"/>
                <w:szCs w:val="17"/>
                <w:color w:val="auto"/>
              </w:rPr>
            </w:pPr>
          </w:p>
        </w:tc>
        <w:tc>
          <w:tcPr>
            <w:tcW w:w="2760" w:type="dxa"/>
            <w:vAlign w:val="bottom"/>
            <w:tcBorders>
              <w:bottom w:val="single" w:sz="8" w:color="auto"/>
            </w:tcBorders>
            <w:gridSpan w:val="3"/>
          </w:tcPr>
          <w:p>
            <w:pPr>
              <w:jc w:val="right"/>
              <w:ind w:right="664"/>
              <w:spacing w:after="0"/>
              <w:rPr>
                <w:sz w:val="20"/>
                <w:szCs w:val="20"/>
                <w:color w:val="auto"/>
              </w:rPr>
            </w:pPr>
            <w:r>
              <w:rPr>
                <w:rFonts w:ascii="Arial" w:cs="Arial" w:eastAsia="Arial" w:hAnsi="Arial"/>
                <w:sz w:val="15"/>
                <w:szCs w:val="15"/>
                <w:b w:val="1"/>
                <w:bCs w:val="1"/>
                <w:color w:val="auto"/>
              </w:rPr>
              <w:t>September 30, 2020</w:t>
            </w:r>
          </w:p>
        </w:tc>
        <w:tc>
          <w:tcPr>
            <w:tcW w:w="0" w:type="dxa"/>
            <w:vAlign w:val="bottom"/>
          </w:tcPr>
          <w:p>
            <w:pPr>
              <w:spacing w:after="0"/>
              <w:rPr>
                <w:sz w:val="1"/>
                <w:szCs w:val="1"/>
                <w:color w:val="auto"/>
              </w:rPr>
            </w:pPr>
          </w:p>
        </w:tc>
      </w:tr>
      <w:tr>
        <w:trPr>
          <w:trHeight w:val="146"/>
        </w:trPr>
        <w:tc>
          <w:tcPr>
            <w:tcW w:w="40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Series</w:t>
            </w:r>
          </w:p>
        </w:tc>
        <w:tc>
          <w:tcPr>
            <w:tcW w:w="120" w:type="dxa"/>
            <w:vAlign w:val="bottom"/>
            <w:vMerge w:val="restart"/>
          </w:tcPr>
          <w:p>
            <w:pPr>
              <w:spacing w:after="0"/>
              <w:rPr>
                <w:sz w:val="12"/>
                <w:szCs w:val="12"/>
                <w:color w:val="auto"/>
              </w:rPr>
            </w:pPr>
          </w:p>
        </w:tc>
        <w:tc>
          <w:tcPr>
            <w:tcW w:w="13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98"/>
              </w:rPr>
              <w:t>Conversion Rate</w:t>
            </w:r>
          </w:p>
        </w:tc>
        <w:tc>
          <w:tcPr>
            <w:tcW w:w="100" w:type="dxa"/>
            <w:vAlign w:val="bottom"/>
            <w:vMerge w:val="restart"/>
          </w:tcPr>
          <w:p>
            <w:pPr>
              <w:spacing w:after="0"/>
              <w:rPr>
                <w:sz w:val="12"/>
                <w:szCs w:val="12"/>
                <w:color w:val="auto"/>
              </w:rPr>
            </w:pPr>
          </w:p>
        </w:tc>
        <w:tc>
          <w:tcPr>
            <w:tcW w:w="1440" w:type="dxa"/>
            <w:vAlign w:val="bottom"/>
            <w:gridSpan w:val="2"/>
          </w:tcPr>
          <w:p>
            <w:pPr>
              <w:ind w:left="220"/>
              <w:spacing w:after="0" w:line="146" w:lineRule="exact"/>
              <w:rPr>
                <w:sz w:val="20"/>
                <w:szCs w:val="20"/>
                <w:color w:val="auto"/>
              </w:rPr>
            </w:pPr>
            <w:r>
              <w:rPr>
                <w:rFonts w:ascii="Arial" w:cs="Arial" w:eastAsia="Arial" w:hAnsi="Arial"/>
                <w:sz w:val="15"/>
                <w:szCs w:val="15"/>
                <w:b w:val="1"/>
                <w:bCs w:val="1"/>
                <w:color w:val="auto"/>
              </w:rPr>
              <w:t>Units / Shares</w:t>
            </w:r>
          </w:p>
        </w:tc>
        <w:tc>
          <w:tcPr>
            <w:tcW w:w="132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w w:val="95"/>
              </w:rPr>
              <w:t>Common Stock</w:t>
            </w:r>
            <w:r>
              <w:rPr>
                <w:rFonts w:ascii="Arial" w:cs="Arial" w:eastAsia="Arial" w:hAnsi="Arial"/>
                <w:sz w:val="19"/>
                <w:szCs w:val="19"/>
                <w:b w:val="1"/>
                <w:bCs w:val="1"/>
                <w:color w:val="auto"/>
                <w:w w:val="95"/>
                <w:vertAlign w:val="superscript"/>
              </w:rPr>
              <w:t>(1)</w:t>
            </w:r>
          </w:p>
        </w:tc>
        <w:tc>
          <w:tcPr>
            <w:tcW w:w="100" w:type="dxa"/>
            <w:vAlign w:val="bottom"/>
            <w:vMerge w:val="restart"/>
          </w:tcPr>
          <w:p>
            <w:pPr>
              <w:spacing w:after="0"/>
              <w:rPr>
                <w:sz w:val="12"/>
                <w:szCs w:val="12"/>
                <w:color w:val="auto"/>
              </w:rPr>
            </w:pPr>
          </w:p>
        </w:tc>
        <w:tc>
          <w:tcPr>
            <w:tcW w:w="1440" w:type="dxa"/>
            <w:vAlign w:val="bottom"/>
            <w:gridSpan w:val="2"/>
          </w:tcPr>
          <w:p>
            <w:pPr>
              <w:ind w:left="220"/>
              <w:spacing w:after="0" w:line="146" w:lineRule="exact"/>
              <w:rPr>
                <w:sz w:val="20"/>
                <w:szCs w:val="20"/>
                <w:color w:val="auto"/>
              </w:rPr>
            </w:pPr>
            <w:r>
              <w:rPr>
                <w:rFonts w:ascii="Arial" w:cs="Arial" w:eastAsia="Arial" w:hAnsi="Arial"/>
                <w:sz w:val="15"/>
                <w:szCs w:val="15"/>
                <w:b w:val="1"/>
                <w:bCs w:val="1"/>
                <w:color w:val="auto"/>
              </w:rPr>
              <w:t>Units / Shares</w:t>
            </w:r>
          </w:p>
        </w:tc>
        <w:tc>
          <w:tcPr>
            <w:tcW w:w="132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w w:val="95"/>
              </w:rPr>
              <w:t>Common Stock</w:t>
            </w:r>
            <w:r>
              <w:rPr>
                <w:rFonts w:ascii="Arial" w:cs="Arial" w:eastAsia="Arial" w:hAnsi="Arial"/>
                <w:sz w:val="19"/>
                <w:szCs w:val="19"/>
                <w:b w:val="1"/>
                <w:bCs w:val="1"/>
                <w:color w:val="auto"/>
                <w:w w:val="95"/>
                <w:vertAlign w:val="superscript"/>
              </w:rPr>
              <w:t>(1)</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Converted</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Converted</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OP unit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78,724</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78,724</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29,886</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29,886</w:t>
            </w:r>
          </w:p>
        </w:tc>
        <w:tc>
          <w:tcPr>
            <w:tcW w:w="0" w:type="dxa"/>
            <w:vAlign w:val="bottom"/>
          </w:tcPr>
          <w:p>
            <w:pPr>
              <w:spacing w:after="0"/>
              <w:rPr>
                <w:sz w:val="1"/>
                <w:szCs w:val="1"/>
                <w:color w:val="auto"/>
              </w:rPr>
            </w:pPr>
          </w:p>
        </w:tc>
      </w:tr>
      <w:tr>
        <w:trPr>
          <w:trHeight w:val="198"/>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Series A-1 preferred OP unit</w:t>
            </w:r>
          </w:p>
        </w:tc>
        <w:tc>
          <w:tcPr>
            <w:tcW w:w="1320" w:type="dxa"/>
            <w:vAlign w:val="bottom"/>
          </w:tcPr>
          <w:p>
            <w:pPr>
              <w:jc w:val="right"/>
              <w:spacing w:after="0"/>
              <w:rPr>
                <w:sz w:val="20"/>
                <w:szCs w:val="20"/>
                <w:color w:val="auto"/>
              </w:rPr>
            </w:pPr>
            <w:r>
              <w:rPr>
                <w:rFonts w:ascii="Arial" w:cs="Arial" w:eastAsia="Arial" w:hAnsi="Arial"/>
                <w:sz w:val="15"/>
                <w:szCs w:val="15"/>
                <w:color w:val="auto"/>
              </w:rPr>
              <w:t>2.4390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19,296</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47,058</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10,614</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25,884</w:t>
            </w:r>
          </w:p>
        </w:tc>
        <w:tc>
          <w:tcPr>
            <w:tcW w:w="0" w:type="dxa"/>
            <w:vAlign w:val="bottom"/>
          </w:tcPr>
          <w:p>
            <w:pPr>
              <w:spacing w:after="0"/>
              <w:rPr>
                <w:sz w:val="1"/>
                <w:szCs w:val="1"/>
                <w:color w:val="auto"/>
              </w:rPr>
            </w:pPr>
          </w:p>
        </w:tc>
      </w:tr>
      <w:tr>
        <w:trPr>
          <w:trHeight w:val="207"/>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Series C preferred OP unit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1.1100</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1,648</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Calculation may yield minor differences due to rounding incorporated in the above numbers.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for the three months ended September 30, 2021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Distributions</w:t>
            </w:r>
          </w:p>
        </w:tc>
        <w:tc>
          <w:tcPr>
            <w:tcW w:w="100" w:type="dxa"/>
            <w:vAlign w:val="bottom"/>
            <w:vMerge w:val="restart"/>
          </w:tcPr>
          <w:p>
            <w:pPr>
              <w:spacing w:after="0"/>
              <w:rPr>
                <w:sz w:val="15"/>
                <w:szCs w:val="15"/>
                <w:color w:val="auto"/>
              </w:rPr>
            </w:pPr>
          </w:p>
        </w:tc>
        <w:tc>
          <w:tcPr>
            <w:tcW w:w="1480" w:type="dxa"/>
            <w:vAlign w:val="bottom"/>
            <w:vMerge w:val="restart"/>
          </w:tcPr>
          <w:p>
            <w:pPr>
              <w:jc w:val="right"/>
              <w:ind w:right="264"/>
              <w:spacing w:after="0"/>
              <w:rPr>
                <w:sz w:val="20"/>
                <w:szCs w:val="20"/>
                <w:color w:val="auto"/>
              </w:rPr>
            </w:pPr>
            <w:r>
              <w:rPr>
                <w:rFonts w:ascii="Arial" w:cs="Arial" w:eastAsia="Arial" w:hAnsi="Arial"/>
                <w:sz w:val="15"/>
                <w:szCs w:val="15"/>
                <w:b w:val="1"/>
                <w:bCs w:val="1"/>
                <w:color w:val="auto"/>
              </w:rPr>
              <w:t>Record Date</w:t>
            </w:r>
          </w:p>
        </w:tc>
        <w:tc>
          <w:tcPr>
            <w:tcW w:w="100" w:type="dxa"/>
            <w:vAlign w:val="bottom"/>
            <w:vMerge w:val="restart"/>
          </w:tcPr>
          <w:p>
            <w:pPr>
              <w:spacing w:after="0"/>
              <w:rPr>
                <w:sz w:val="15"/>
                <w:szCs w:val="15"/>
                <w:color w:val="auto"/>
              </w:rPr>
            </w:pPr>
          </w:p>
        </w:tc>
        <w:tc>
          <w:tcPr>
            <w:tcW w:w="148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Payment Date</w:t>
            </w:r>
          </w:p>
        </w:tc>
        <w:tc>
          <w:tcPr>
            <w:tcW w:w="10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Distribution Per</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Total Distribution (in</w:t>
            </w:r>
          </w:p>
        </w:tc>
        <w:tc>
          <w:tcPr>
            <w:tcW w:w="0" w:type="dxa"/>
            <w:vAlign w:val="bottom"/>
          </w:tcPr>
          <w:p>
            <w:pPr>
              <w:spacing w:after="0"/>
              <w:rPr>
                <w:sz w:val="1"/>
                <w:szCs w:val="1"/>
                <w:color w:val="auto"/>
              </w:rPr>
            </w:pPr>
          </w:p>
        </w:tc>
      </w:tr>
      <w:tr>
        <w:trPr>
          <w:trHeight w:val="200"/>
        </w:trPr>
        <w:tc>
          <w:tcPr>
            <w:tcW w:w="4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Share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89"/>
              </w:rPr>
              <w:t>Thousands)</w:t>
            </w:r>
          </w:p>
        </w:tc>
        <w:tc>
          <w:tcPr>
            <w:tcW w:w="0" w:type="dxa"/>
            <w:vAlign w:val="bottom"/>
          </w:tcPr>
          <w:p>
            <w:pPr>
              <w:spacing w:after="0"/>
              <w:rPr>
                <w:sz w:val="1"/>
                <w:szCs w:val="1"/>
                <w:color w:val="auto"/>
              </w:rPr>
            </w:pPr>
          </w:p>
        </w:tc>
      </w:tr>
      <w:tr>
        <w:trPr>
          <w:trHeight w:val="198"/>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Stock, Common OP units and Restricted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9/30/2021</w:t>
            </w:r>
          </w:p>
        </w:tc>
        <w:tc>
          <w:tcPr>
            <w:tcW w:w="10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10/15/2021  $</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September 30, 2021, we had two share-based compensation plans: the Sun Communities, Inc. 2015 Equity Incentive Plan ("2015 Equity Incentive Plan") and the First Amended and Restated 2004 Non-Employee Director Option Plan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and 2020, shares were granted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164"/>
              <w:spacing w:after="0"/>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5"/>
                <w:szCs w:val="15"/>
                <w:b w:val="1"/>
                <w:bCs w:val="1"/>
                <w:color w:val="auto"/>
                <w:w w:val="96"/>
              </w:rPr>
              <w:t>Grant Date</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ind w:left="320"/>
              <w:spacing w:after="0"/>
              <w:rPr>
                <w:sz w:val="20"/>
                <w:szCs w:val="20"/>
                <w:color w:val="auto"/>
              </w:rPr>
            </w:pPr>
            <w:r>
              <w:rPr>
                <w:rFonts w:ascii="Arial" w:cs="Arial" w:eastAsia="Arial" w:hAnsi="Arial"/>
                <w:sz w:val="15"/>
                <w:szCs w:val="15"/>
                <w:b w:val="1"/>
                <w:bCs w:val="1"/>
                <w:color w:val="auto"/>
              </w:rPr>
              <w:t>Vesting</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Grant Period</w:t>
            </w:r>
          </w:p>
        </w:tc>
        <w:tc>
          <w:tcPr>
            <w:tcW w:w="100" w:type="dxa"/>
            <w:vAlign w:val="bottom"/>
            <w:vMerge w:val="restart"/>
          </w:tcPr>
          <w:p>
            <w:pPr>
              <w:spacing w:after="0"/>
              <w:rPr>
                <w:sz w:val="12"/>
                <w:szCs w:val="12"/>
                <w:color w:val="auto"/>
              </w:rPr>
            </w:pPr>
          </w:p>
        </w:tc>
        <w:tc>
          <w:tcPr>
            <w:tcW w:w="1440" w:type="dxa"/>
            <w:vAlign w:val="bottom"/>
            <w:vMerge w:val="restart"/>
          </w:tcPr>
          <w:p>
            <w:pPr>
              <w:ind w:left="560"/>
              <w:spacing w:after="0"/>
              <w:rPr>
                <w:sz w:val="20"/>
                <w:szCs w:val="20"/>
                <w:color w:val="auto"/>
              </w:rPr>
            </w:pPr>
            <w:r>
              <w:rPr>
                <w:rFonts w:ascii="Arial" w:cs="Arial" w:eastAsia="Arial" w:hAnsi="Arial"/>
                <w:sz w:val="15"/>
                <w:szCs w:val="15"/>
                <w:b w:val="1"/>
                <w:bCs w:val="1"/>
                <w:color w:val="auto"/>
              </w:rPr>
              <w:t>Type</w:t>
            </w:r>
          </w:p>
        </w:tc>
        <w:tc>
          <w:tcPr>
            <w:tcW w:w="1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vMerge w:val="restart"/>
          </w:tcPr>
          <w:p>
            <w:pPr>
              <w:ind w:left="560"/>
              <w:spacing w:after="0"/>
              <w:rPr>
                <w:sz w:val="20"/>
                <w:szCs w:val="20"/>
                <w:color w:val="auto"/>
              </w:rPr>
            </w:pPr>
            <w:r>
              <w:rPr>
                <w:rFonts w:ascii="Arial" w:cs="Arial" w:eastAsia="Arial" w:hAnsi="Arial"/>
                <w:sz w:val="15"/>
                <w:szCs w:val="15"/>
                <w:b w:val="1"/>
                <w:bCs w:val="1"/>
                <w:color w:val="auto"/>
              </w:rPr>
              <w:t>Plan</w:t>
            </w:r>
          </w:p>
        </w:tc>
        <w:tc>
          <w:tcPr>
            <w:tcW w:w="120" w:type="dxa"/>
            <w:vAlign w:val="bottom"/>
            <w:vMerge w:val="restart"/>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5"/>
              </w:rPr>
              <w:t>Fair Value Per</w:t>
            </w:r>
          </w:p>
        </w:tc>
        <w:tc>
          <w:tcPr>
            <w:tcW w:w="280" w:type="dxa"/>
            <w:vAlign w:val="bottom"/>
          </w:tcPr>
          <w:p>
            <w:pPr>
              <w:spacing w:after="0"/>
              <w:rPr>
                <w:sz w:val="12"/>
                <w:szCs w:val="12"/>
                <w:color w:val="auto"/>
              </w:rPr>
            </w:pPr>
          </w:p>
        </w:tc>
        <w:tc>
          <w:tcPr>
            <w:tcW w:w="14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Vesting Type</w:t>
            </w:r>
          </w:p>
        </w:tc>
        <w:tc>
          <w:tcPr>
            <w:tcW w:w="100" w:type="dxa"/>
            <w:vAlign w:val="bottom"/>
            <w:vMerge w:val="restart"/>
          </w:tcPr>
          <w:p>
            <w:pPr>
              <w:spacing w:after="0"/>
              <w:rPr>
                <w:sz w:val="12"/>
                <w:szCs w:val="12"/>
                <w:color w:val="auto"/>
              </w:rPr>
            </w:pPr>
          </w:p>
        </w:tc>
        <w:tc>
          <w:tcPr>
            <w:tcW w:w="1180" w:type="dxa"/>
            <w:vAlign w:val="bottom"/>
            <w:vMerge w:val="continue"/>
          </w:tcPr>
          <w:p>
            <w:pPr>
              <w:spacing w:after="0"/>
              <w:rPr>
                <w:sz w:val="12"/>
                <w:szCs w:val="12"/>
                <w:color w:val="auto"/>
              </w:rPr>
            </w:pPr>
          </w:p>
        </w:tc>
        <w:tc>
          <w:tcPr>
            <w:tcW w:w="11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Percentage</w:t>
            </w:r>
          </w:p>
        </w:tc>
        <w:tc>
          <w:tcPr>
            <w:tcW w:w="0" w:type="dxa"/>
            <w:vAlign w:val="bottom"/>
          </w:tcPr>
          <w:p>
            <w:pPr>
              <w:spacing w:after="0"/>
              <w:rPr>
                <w:sz w:val="1"/>
                <w:szCs w:val="1"/>
                <w:color w:val="auto"/>
              </w:rPr>
            </w:pPr>
          </w:p>
        </w:tc>
      </w:tr>
      <w:tr>
        <w:trPr>
          <w:trHeight w:val="200"/>
        </w:trPr>
        <w:tc>
          <w:tcPr>
            <w:tcW w:w="9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Granted</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Share</w:t>
            </w:r>
          </w:p>
        </w:tc>
        <w:tc>
          <w:tcPr>
            <w:tcW w:w="280" w:type="dxa"/>
            <w:vAlign w:val="bottom"/>
            <w:vMerge w:val="restart"/>
          </w:tcPr>
          <w:p>
            <w:pPr>
              <w:jc w:val="right"/>
              <w:ind w:right="110"/>
              <w:spacing w:after="0"/>
              <w:rPr>
                <w:sz w:val="20"/>
                <w:szCs w:val="20"/>
                <w:color w:val="auto"/>
              </w:rPr>
            </w:pPr>
            <w:r>
              <w:rPr>
                <w:rFonts w:ascii="Arial" w:cs="Arial" w:eastAsia="Arial" w:hAnsi="Arial"/>
                <w:sz w:val="10"/>
                <w:szCs w:val="10"/>
                <w:color w:val="auto"/>
                <w:w w:val="81"/>
              </w:rPr>
              <w:t>(1)</w:t>
            </w: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Anniversary</w:t>
            </w: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60" w:type="dxa"/>
            <w:vAlign w:val="bottom"/>
          </w:tcPr>
          <w:p>
            <w:pPr>
              <w:jc w:val="center"/>
              <w:spacing w:after="0" w:line="156" w:lineRule="exact"/>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3"/>
                <w:szCs w:val="13"/>
                <w:color w:val="auto"/>
              </w:rPr>
            </w:pPr>
          </w:p>
        </w:tc>
        <w:tc>
          <w:tcPr>
            <w:tcW w:w="154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line="156" w:lineRule="exact"/>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line="156" w:lineRule="exact"/>
              <w:rPr>
                <w:sz w:val="20"/>
                <w:szCs w:val="20"/>
                <w:color w:val="auto"/>
              </w:rPr>
            </w:pPr>
            <w:r>
              <w:rPr>
                <w:rFonts w:ascii="Arial" w:cs="Arial" w:eastAsia="Arial" w:hAnsi="Arial"/>
                <w:sz w:val="15"/>
                <w:szCs w:val="15"/>
                <w:color w:val="auto"/>
              </w:rPr>
              <w:t>54,000</w:t>
            </w:r>
          </w:p>
        </w:tc>
        <w:tc>
          <w:tcPr>
            <w:tcW w:w="28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line="156" w:lineRule="exact"/>
              <w:rPr>
                <w:sz w:val="20"/>
                <w:szCs w:val="20"/>
                <w:color w:val="auto"/>
              </w:rPr>
            </w:pPr>
            <w:r>
              <w:rPr>
                <w:rFonts w:ascii="Arial" w:cs="Arial" w:eastAsia="Arial" w:hAnsi="Arial"/>
                <w:sz w:val="15"/>
                <w:szCs w:val="15"/>
                <w:color w:val="auto"/>
              </w:rPr>
              <w:t>151.89</w:t>
            </w:r>
          </w:p>
        </w:tc>
        <w:tc>
          <w:tcPr>
            <w:tcW w:w="280" w:type="dxa"/>
            <w:vAlign w:val="bottom"/>
            <w:vMerge w:val="continue"/>
          </w:tcPr>
          <w:p>
            <w:pPr>
              <w:spacing w:after="0"/>
              <w:rPr>
                <w:sz w:val="13"/>
                <w:szCs w:val="13"/>
                <w:color w:val="auto"/>
              </w:rPr>
            </w:pPr>
          </w:p>
        </w:tc>
        <w:tc>
          <w:tcPr>
            <w:tcW w:w="152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line="156" w:lineRule="exact"/>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60" w:type="dxa"/>
            <w:vAlign w:val="bottom"/>
          </w:tcPr>
          <w:p>
            <w:pPr>
              <w:jc w:val="center"/>
              <w:spacing w:after="0"/>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81,000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94.32</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(2)</w:t>
            </w: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3"/>
        </w:trPr>
        <w:tc>
          <w:tcPr>
            <w:tcW w:w="960" w:type="dxa"/>
            <w:vAlign w:val="bottom"/>
          </w:tcPr>
          <w:p>
            <w:pPr>
              <w:jc w:val="center"/>
              <w:spacing w:after="0"/>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15,000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151.89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33.3% annually over 3 years</w:t>
            </w:r>
          </w:p>
        </w:tc>
        <w:tc>
          <w:tcPr>
            <w:tcW w:w="0" w:type="dxa"/>
            <w:vAlign w:val="bottom"/>
          </w:tcPr>
          <w:p>
            <w:pPr>
              <w:spacing w:after="0"/>
              <w:rPr>
                <w:sz w:val="1"/>
                <w:szCs w:val="1"/>
                <w:color w:val="auto"/>
              </w:rPr>
            </w:pPr>
          </w:p>
        </w:tc>
      </w:tr>
      <w:tr>
        <w:trPr>
          <w:trHeight w:val="203"/>
        </w:trPr>
        <w:tc>
          <w:tcPr>
            <w:tcW w:w="960" w:type="dxa"/>
            <w:vAlign w:val="bottom"/>
          </w:tcPr>
          <w:p>
            <w:pPr>
              <w:jc w:val="center"/>
              <w:spacing w:after="0"/>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15,000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87.49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(3)</w:t>
            </w: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3"/>
        </w:trPr>
        <w:tc>
          <w:tcPr>
            <w:tcW w:w="960" w:type="dxa"/>
            <w:vAlign w:val="bottom"/>
          </w:tcPr>
          <w:p>
            <w:pPr>
              <w:jc w:val="center"/>
              <w:spacing w:after="0"/>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28,856</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151.89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33.3% annually over 3 years</w:t>
            </w:r>
          </w:p>
        </w:tc>
        <w:tc>
          <w:tcPr>
            <w:tcW w:w="0" w:type="dxa"/>
            <w:vAlign w:val="bottom"/>
          </w:tcPr>
          <w:p>
            <w:pPr>
              <w:spacing w:after="0"/>
              <w:rPr>
                <w:sz w:val="1"/>
                <w:szCs w:val="1"/>
                <w:color w:val="auto"/>
              </w:rPr>
            </w:pPr>
          </w:p>
        </w:tc>
      </w:tr>
      <w:tr>
        <w:trPr>
          <w:trHeight w:val="203"/>
        </w:trPr>
        <w:tc>
          <w:tcPr>
            <w:tcW w:w="960" w:type="dxa"/>
            <w:vAlign w:val="bottom"/>
          </w:tcPr>
          <w:p>
            <w:pPr>
              <w:jc w:val="center"/>
              <w:spacing w:after="0"/>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61,550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143.28</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60" w:type="dxa"/>
            <w:vAlign w:val="bottom"/>
          </w:tcPr>
          <w:p>
            <w:pPr>
              <w:jc w:val="center"/>
              <w:spacing w:after="0"/>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3,400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147.19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60" w:type="dxa"/>
            <w:vAlign w:val="bottom"/>
          </w:tcPr>
          <w:p>
            <w:pPr>
              <w:jc w:val="center"/>
              <w:spacing w:after="0"/>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5,100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96.41</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(4)</w:t>
            </w: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191"/>
        </w:trPr>
        <w:tc>
          <w:tcPr>
            <w:tcW w:w="960" w:type="dxa"/>
            <w:vAlign w:val="bottom"/>
          </w:tcPr>
          <w:p>
            <w:pPr>
              <w:jc w:val="center"/>
              <w:spacing w:after="0"/>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2004</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Non-Employee Director</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1,509</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147.19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tcPr>
          <w:p>
            <w:pPr>
              <w:ind w:left="20"/>
              <w:spacing w:after="0"/>
              <w:rPr>
                <w:sz w:val="20"/>
                <w:szCs w:val="20"/>
                <w:color w:val="auto"/>
              </w:rPr>
            </w:pPr>
            <w:r>
              <w:rPr>
                <w:rFonts w:ascii="Arial" w:cs="Arial" w:eastAsia="Arial" w:hAnsi="Arial"/>
                <w:sz w:val="15"/>
                <w:szCs w:val="15"/>
                <w:color w:val="auto"/>
              </w:rPr>
              <w:t>Option Plan</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vMerge w:val="restart"/>
          </w:tcPr>
          <w:p>
            <w:pPr>
              <w:jc w:val="right"/>
              <w:ind w:right="110"/>
              <w:spacing w:after="0"/>
              <w:rPr>
                <w:sz w:val="20"/>
                <w:szCs w:val="20"/>
                <w:color w:val="auto"/>
              </w:rPr>
            </w:pPr>
            <w:r>
              <w:rPr>
                <w:rFonts w:ascii="Arial" w:cs="Arial" w:eastAsia="Arial" w:hAnsi="Arial"/>
                <w:sz w:val="10"/>
                <w:szCs w:val="10"/>
                <w:color w:val="auto"/>
                <w:w w:val="81"/>
              </w:rPr>
              <w:t>(1)</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3"/>
                <w:szCs w:val="13"/>
                <w:color w:val="auto"/>
              </w:rPr>
            </w:pPr>
          </w:p>
        </w:tc>
        <w:tc>
          <w:tcPr>
            <w:tcW w:w="154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Directors</w:t>
            </w:r>
          </w:p>
        </w:tc>
        <w:tc>
          <w:tcPr>
            <w:tcW w:w="340" w:type="dxa"/>
            <w:vAlign w:val="bottom"/>
          </w:tcPr>
          <w:p>
            <w:pPr>
              <w:ind w:left="20"/>
              <w:spacing w:after="0" w:line="157" w:lineRule="exact"/>
              <w:rPr>
                <w:sz w:val="20"/>
                <w:szCs w:val="20"/>
                <w:color w:val="auto"/>
              </w:rPr>
            </w:pPr>
            <w:r>
              <w:rPr>
                <w:rFonts w:ascii="Arial" w:cs="Arial" w:eastAsia="Arial" w:hAnsi="Arial"/>
                <w:sz w:val="15"/>
                <w:szCs w:val="15"/>
                <w:color w:val="auto"/>
                <w:w w:val="89"/>
              </w:rPr>
              <w:t>2004</w:t>
            </w:r>
          </w:p>
        </w:tc>
        <w:tc>
          <w:tcPr>
            <w:tcW w:w="188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Non-Employee Director</w:t>
            </w:r>
          </w:p>
        </w:tc>
        <w:tc>
          <w:tcPr>
            <w:tcW w:w="920" w:type="dxa"/>
            <w:vAlign w:val="bottom"/>
          </w:tcPr>
          <w:p>
            <w:pPr>
              <w:jc w:val="right"/>
              <w:ind w:right="4"/>
              <w:spacing w:after="0" w:line="157" w:lineRule="exact"/>
              <w:rPr>
                <w:sz w:val="20"/>
                <w:szCs w:val="20"/>
                <w:color w:val="auto"/>
              </w:rPr>
            </w:pPr>
            <w:r>
              <w:rPr>
                <w:rFonts w:ascii="Arial" w:cs="Arial" w:eastAsia="Arial" w:hAnsi="Arial"/>
                <w:sz w:val="15"/>
                <w:szCs w:val="15"/>
                <w:color w:val="auto"/>
              </w:rPr>
              <w:t>10,200</w:t>
            </w:r>
          </w:p>
        </w:tc>
        <w:tc>
          <w:tcPr>
            <w:tcW w:w="280" w:type="dxa"/>
            <w:vAlign w:val="bottom"/>
          </w:tcPr>
          <w:p>
            <w:pPr>
              <w:spacing w:after="0"/>
              <w:rPr>
                <w:sz w:val="13"/>
                <w:szCs w:val="13"/>
                <w:color w:val="auto"/>
              </w:rPr>
            </w:pPr>
          </w:p>
        </w:tc>
        <w:tc>
          <w:tcPr>
            <w:tcW w:w="120" w:type="dxa"/>
            <w:vAlign w:val="bottom"/>
          </w:tcPr>
          <w:p>
            <w:pPr>
              <w:jc w:val="right"/>
              <w:spacing w:after="0" w:line="157" w:lineRule="exact"/>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line="157" w:lineRule="exact"/>
              <w:rPr>
                <w:sz w:val="20"/>
                <w:szCs w:val="20"/>
                <w:color w:val="auto"/>
              </w:rPr>
            </w:pPr>
            <w:r>
              <w:rPr>
                <w:rFonts w:ascii="Arial" w:cs="Arial" w:eastAsia="Arial" w:hAnsi="Arial"/>
                <w:sz w:val="15"/>
                <w:szCs w:val="15"/>
                <w:color w:val="auto"/>
              </w:rPr>
              <w:t>148.44</w:t>
            </w:r>
          </w:p>
        </w:tc>
        <w:tc>
          <w:tcPr>
            <w:tcW w:w="280" w:type="dxa"/>
            <w:vAlign w:val="bottom"/>
            <w:vMerge w:val="continue"/>
          </w:tcPr>
          <w:p>
            <w:pPr>
              <w:spacing w:after="0"/>
              <w:rPr>
                <w:sz w:val="13"/>
                <w:szCs w:val="13"/>
                <w:color w:val="auto"/>
              </w:rPr>
            </w:pPr>
          </w:p>
        </w:tc>
        <w:tc>
          <w:tcPr>
            <w:tcW w:w="152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Time Based</w:t>
            </w:r>
          </w:p>
        </w:tc>
        <w:tc>
          <w:tcPr>
            <w:tcW w:w="1180" w:type="dxa"/>
            <w:vAlign w:val="bottom"/>
          </w:tcPr>
          <w:p>
            <w:pPr>
              <w:ind w:left="440"/>
              <w:spacing w:after="0" w:line="157" w:lineRule="exact"/>
              <w:rPr>
                <w:sz w:val="20"/>
                <w:szCs w:val="20"/>
                <w:color w:val="auto"/>
              </w:rPr>
            </w:pPr>
            <w:r>
              <w:rPr>
                <w:rFonts w:ascii="Arial" w:cs="Arial" w:eastAsia="Arial" w:hAnsi="Arial"/>
                <w:sz w:val="15"/>
                <w:szCs w:val="15"/>
                <w:color w:val="auto"/>
              </w:rPr>
              <w:t>3rd</w:t>
            </w:r>
          </w:p>
        </w:tc>
        <w:tc>
          <w:tcPr>
            <w:tcW w:w="1160" w:type="dxa"/>
            <w:vAlign w:val="bottom"/>
          </w:tcPr>
          <w:p>
            <w:pPr>
              <w:jc w:val="right"/>
              <w:spacing w:after="0" w:line="157" w:lineRule="exact"/>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tcPr>
          <w:p>
            <w:pPr>
              <w:ind w:left="20"/>
              <w:spacing w:after="0"/>
              <w:rPr>
                <w:sz w:val="20"/>
                <w:szCs w:val="20"/>
                <w:color w:val="auto"/>
              </w:rPr>
            </w:pPr>
            <w:r>
              <w:rPr>
                <w:rFonts w:ascii="Arial" w:cs="Arial" w:eastAsia="Arial" w:hAnsi="Arial"/>
                <w:sz w:val="15"/>
                <w:szCs w:val="15"/>
                <w:color w:val="auto"/>
              </w:rPr>
              <w:t>Option Plan</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vMerge w:val="restart"/>
          </w:tcPr>
          <w:p>
            <w:pPr>
              <w:jc w:val="right"/>
              <w:ind w:right="110"/>
              <w:spacing w:after="0"/>
              <w:rPr>
                <w:sz w:val="20"/>
                <w:szCs w:val="20"/>
                <w:color w:val="auto"/>
              </w:rPr>
            </w:pPr>
            <w:r>
              <w:rPr>
                <w:rFonts w:ascii="Arial" w:cs="Arial" w:eastAsia="Arial" w:hAnsi="Arial"/>
                <w:sz w:val="10"/>
                <w:szCs w:val="10"/>
                <w:color w:val="auto"/>
                <w:w w:val="81"/>
              </w:rPr>
              <w:t>(1)</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960" w:type="dxa"/>
            <w:vAlign w:val="bottom"/>
          </w:tcPr>
          <w:p>
            <w:pPr>
              <w:jc w:val="center"/>
              <w:spacing w:after="0" w:line="168" w:lineRule="exact"/>
              <w:rPr>
                <w:sz w:val="20"/>
                <w:szCs w:val="20"/>
                <w:color w:val="auto"/>
              </w:rPr>
            </w:pPr>
            <w:r>
              <w:rPr>
                <w:rFonts w:ascii="Arial" w:cs="Arial" w:eastAsia="Arial" w:hAnsi="Arial"/>
                <w:sz w:val="15"/>
                <w:szCs w:val="15"/>
                <w:color w:val="auto"/>
                <w:w w:val="95"/>
              </w:rPr>
              <w:t>2020</w:t>
            </w:r>
          </w:p>
        </w:tc>
        <w:tc>
          <w:tcPr>
            <w:tcW w:w="100" w:type="dxa"/>
            <w:vAlign w:val="bottom"/>
          </w:tcPr>
          <w:p>
            <w:pPr>
              <w:spacing w:after="0"/>
              <w:rPr>
                <w:sz w:val="14"/>
                <w:szCs w:val="14"/>
                <w:color w:val="auto"/>
              </w:rPr>
            </w:pPr>
          </w:p>
        </w:tc>
        <w:tc>
          <w:tcPr>
            <w:tcW w:w="1540" w:type="dxa"/>
            <w:vAlign w:val="bottom"/>
            <w:gridSpan w:val="2"/>
          </w:tcPr>
          <w:p>
            <w:pPr>
              <w:ind w:left="20"/>
              <w:spacing w:after="0" w:line="168" w:lineRule="exact"/>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line="168" w:lineRule="exact"/>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line="168" w:lineRule="exact"/>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line="168" w:lineRule="exact"/>
              <w:rPr>
                <w:sz w:val="20"/>
                <w:szCs w:val="20"/>
                <w:color w:val="auto"/>
              </w:rPr>
            </w:pPr>
            <w:r>
              <w:rPr>
                <w:rFonts w:ascii="Arial" w:cs="Arial" w:eastAsia="Arial" w:hAnsi="Arial"/>
                <w:sz w:val="15"/>
                <w:szCs w:val="15"/>
                <w:color w:val="auto"/>
              </w:rPr>
              <w:t>1,500</w:t>
            </w:r>
          </w:p>
        </w:tc>
        <w:tc>
          <w:tcPr>
            <w:tcW w:w="28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line="168" w:lineRule="exact"/>
              <w:rPr>
                <w:sz w:val="20"/>
                <w:szCs w:val="20"/>
                <w:color w:val="auto"/>
              </w:rPr>
            </w:pPr>
            <w:r>
              <w:rPr>
                <w:rFonts w:ascii="Arial" w:cs="Arial" w:eastAsia="Arial" w:hAnsi="Arial"/>
                <w:sz w:val="15"/>
                <w:szCs w:val="15"/>
                <w:color w:val="auto"/>
              </w:rPr>
              <w:t>143.20</w:t>
            </w:r>
          </w:p>
        </w:tc>
        <w:tc>
          <w:tcPr>
            <w:tcW w:w="280" w:type="dxa"/>
            <w:vAlign w:val="bottom"/>
            <w:vMerge w:val="continue"/>
          </w:tcPr>
          <w:p>
            <w:pPr>
              <w:spacing w:after="0"/>
              <w:rPr>
                <w:sz w:val="14"/>
                <w:szCs w:val="14"/>
                <w:color w:val="auto"/>
              </w:rPr>
            </w:pPr>
          </w:p>
        </w:tc>
        <w:tc>
          <w:tcPr>
            <w:tcW w:w="1520" w:type="dxa"/>
            <w:vAlign w:val="bottom"/>
            <w:gridSpan w:val="2"/>
          </w:tcPr>
          <w:p>
            <w:pPr>
              <w:ind w:left="20"/>
              <w:spacing w:after="0" w:line="168" w:lineRule="exact"/>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line="168" w:lineRule="exact"/>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60" w:type="dxa"/>
            <w:vAlign w:val="bottom"/>
          </w:tcPr>
          <w:p>
            <w:pPr>
              <w:jc w:val="center"/>
              <w:spacing w:after="0"/>
              <w:rPr>
                <w:sz w:val="20"/>
                <w:szCs w:val="20"/>
                <w:color w:val="auto"/>
              </w:rPr>
            </w:pPr>
            <w:r>
              <w:rPr>
                <w:rFonts w:ascii="Arial" w:cs="Arial" w:eastAsia="Arial" w:hAnsi="Arial"/>
                <w:sz w:val="15"/>
                <w:szCs w:val="15"/>
                <w:color w:val="auto"/>
                <w:w w:val="95"/>
              </w:rPr>
              <w:t>2020</w:t>
            </w: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51,790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162.42</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60" w:type="dxa"/>
            <w:vAlign w:val="bottom"/>
          </w:tcPr>
          <w:p>
            <w:pPr>
              <w:jc w:val="center"/>
              <w:spacing w:after="0"/>
              <w:rPr>
                <w:sz w:val="20"/>
                <w:szCs w:val="20"/>
                <w:color w:val="auto"/>
              </w:rPr>
            </w:pPr>
            <w:r>
              <w:rPr>
                <w:rFonts w:ascii="Arial" w:cs="Arial" w:eastAsia="Arial" w:hAnsi="Arial"/>
                <w:sz w:val="15"/>
                <w:szCs w:val="15"/>
                <w:color w:val="auto"/>
                <w:w w:val="95"/>
              </w:rPr>
              <w:t>2020</w:t>
            </w: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46,000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165.97</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60" w:type="dxa"/>
            <w:vAlign w:val="bottom"/>
          </w:tcPr>
          <w:p>
            <w:pPr>
              <w:jc w:val="center"/>
              <w:spacing w:after="0"/>
              <w:rPr>
                <w:sz w:val="20"/>
                <w:szCs w:val="20"/>
                <w:color w:val="auto"/>
              </w:rPr>
            </w:pPr>
            <w:r>
              <w:rPr>
                <w:rFonts w:ascii="Arial" w:cs="Arial" w:eastAsia="Arial" w:hAnsi="Arial"/>
                <w:sz w:val="15"/>
                <w:szCs w:val="15"/>
                <w:color w:val="auto"/>
                <w:w w:val="95"/>
              </w:rPr>
              <w:t>2020</w:t>
            </w: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69,000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(5)</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125.47</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(5)</w:t>
            </w: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3"/>
        </w:trPr>
        <w:tc>
          <w:tcPr>
            <w:tcW w:w="960" w:type="dxa"/>
            <w:vAlign w:val="bottom"/>
          </w:tcPr>
          <w:p>
            <w:pPr>
              <w:jc w:val="center"/>
              <w:spacing w:after="0"/>
              <w:rPr>
                <w:sz w:val="20"/>
                <w:szCs w:val="20"/>
                <w:color w:val="auto"/>
              </w:rPr>
            </w:pPr>
            <w:r>
              <w:rPr>
                <w:rFonts w:ascii="Arial" w:cs="Arial" w:eastAsia="Arial" w:hAnsi="Arial"/>
                <w:sz w:val="15"/>
                <w:szCs w:val="15"/>
                <w:color w:val="auto"/>
                <w:w w:val="95"/>
              </w:rPr>
              <w:t>2020</w:t>
            </w: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2004</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Non-Employee Director</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10,200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147.97</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-2098675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-1833245</wp:posOffset>
            </wp:positionV>
            <wp:extent cx="71323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-1576070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-1318895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-1061720</wp:posOffset>
            </wp:positionV>
            <wp:extent cx="713232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ind w:left="2620"/>
        <w:spacing w:after="0"/>
        <w:rPr>
          <w:sz w:val="20"/>
          <w:szCs w:val="20"/>
          <w:color w:val="auto"/>
        </w:rPr>
      </w:pPr>
      <w:r>
        <w:rPr>
          <w:rFonts w:ascii="Arial" w:cs="Arial" w:eastAsia="Arial" w:hAnsi="Arial"/>
          <w:sz w:val="15"/>
          <w:szCs w:val="15"/>
          <w:color w:val="auto"/>
        </w:rPr>
        <w:t>Option Plan</w:t>
      </w:r>
    </w:p>
    <w:p>
      <w:pPr>
        <w:spacing w:after="0" w:line="82"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The fair values of the grants were determined by using the average closing price of our common stock on the dates the shares were issued.</w:t>
      </w:r>
    </w:p>
    <w:p>
      <w:pPr>
        <w:spacing w:after="0" w:line="45" w:lineRule="exact"/>
        <w:rPr>
          <w:rFonts w:ascii="Arial" w:cs="Arial" w:eastAsia="Arial" w:hAnsi="Arial"/>
          <w:sz w:val="18"/>
          <w:szCs w:val="18"/>
          <w:color w:val="auto"/>
          <w:vertAlign w:val="superscript"/>
        </w:rPr>
      </w:pPr>
    </w:p>
    <w:p>
      <w:pPr>
        <w:jc w:val="both"/>
        <w:ind w:left="180" w:hanging="172"/>
        <w:spacing w:after="0" w:line="219" w:lineRule="auto"/>
        <w:tabs>
          <w:tab w:leader="none" w:pos="167"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$151.89. Based on the Monte Carlo simulation we expect 62.1 percent of the 81,000 shares to vest.</w:t>
      </w:r>
    </w:p>
    <w:p>
      <w:pPr>
        <w:spacing w:after="0" w:line="34" w:lineRule="exact"/>
        <w:rPr>
          <w:rFonts w:ascii="Arial" w:cs="Arial" w:eastAsia="Arial" w:hAnsi="Arial"/>
          <w:sz w:val="19"/>
          <w:szCs w:val="19"/>
          <w:color w:val="auto"/>
          <w:vertAlign w:val="superscript"/>
        </w:rPr>
      </w:pPr>
    </w:p>
    <w:p>
      <w:pPr>
        <w:jc w:val="both"/>
        <w:ind w:left="180" w:hanging="172"/>
        <w:spacing w:after="0" w:line="224" w:lineRule="auto"/>
        <w:tabs>
          <w:tab w:leader="none" w:pos="167"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$151.89. Based on the Monte Carlo simulation we expect 57.6 percent of the 15,000 shares to vest.</w:t>
      </w:r>
    </w:p>
    <w:p>
      <w:pPr>
        <w:spacing w:after="0" w:line="35" w:lineRule="exact"/>
        <w:rPr>
          <w:rFonts w:ascii="Arial" w:cs="Arial" w:eastAsia="Arial" w:hAnsi="Arial"/>
          <w:sz w:val="19"/>
          <w:szCs w:val="19"/>
          <w:color w:val="auto"/>
          <w:vertAlign w:val="superscript"/>
        </w:rPr>
      </w:pPr>
    </w:p>
    <w:p>
      <w:pPr>
        <w:jc w:val="both"/>
        <w:ind w:left="180" w:hanging="172"/>
        <w:spacing w:after="0" w:line="224" w:lineRule="auto"/>
        <w:tabs>
          <w:tab w:leader="none" w:pos="167"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$147.19. Based on the Monte Carlo simulation we expect 65.5 percent of the 5,100 shares to vest.</w:t>
      </w:r>
    </w:p>
    <w:p>
      <w:pPr>
        <w:spacing w:after="0" w:line="35" w:lineRule="exact"/>
        <w:rPr>
          <w:rFonts w:ascii="Arial" w:cs="Arial" w:eastAsia="Arial" w:hAnsi="Arial"/>
          <w:sz w:val="19"/>
          <w:szCs w:val="19"/>
          <w:color w:val="auto"/>
          <w:vertAlign w:val="superscript"/>
        </w:rPr>
      </w:pPr>
    </w:p>
    <w:p>
      <w:pPr>
        <w:jc w:val="both"/>
        <w:ind w:left="180" w:hanging="172"/>
        <w:spacing w:after="0" w:line="224" w:lineRule="auto"/>
        <w:tabs>
          <w:tab w:leader="none" w:pos="167"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$165.97. Based on the Monte Carlo simulation we expect 75.6 percent of the 69,000 shares to vest.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vesting requirements for 288,024 and 256,380 restricted shares granted to our executives, directors and employees were satisfied during the nine months ended September 30, 2021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1,500 shares of common stock were issued in connection with the exercise of stock options with net proceeds of less than $0.1 million. There were no stock options outstanding as of September 30, 2021. During the nine months ended September 30, 2020, no stock options were exercised.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("ASC 280"), establishes standards for the way the business enterprises report information about operating segments in its financial statements. As described in Note 1, "Basis of Presentation," effective January 1, 2021, we transitioned from a two-segment to a three-segment structure as a result of the recent acquisition of Safe Harbor and its internal organization.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MH segment owns, operates, develops, or has an interest in, a portfolio of MH communities and is in the business of acquiring, operating and developing ground up MH communities to provide affordable housing solutions to residents. The MH segment also provides manufactured home sales and leasing services to tenants and prospective tenants of our communities.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RV segment owns, operates, develops, or has an interest in, a portfolio of RV resorts and is in the business of acquiring, operating and developing ground up RV resorts throughout the U.S. and in Canada. It also provides leasing services for vacation rentals within the RV resorts.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marina segment owns, operates, has an interest in a portfolio, and develops marinas, and is in the business of acquiring, and operating marinas throughout the U.S. with the majority of such marinas concentrated in coastal regions and others located in various inland regions.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Hybrid properties are classified to a segment based on the predominant site counts at the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 presentation of segment financial information is summarized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ind w:left="160"/>
              <w:spacing w:after="0" w:line="200" w:lineRule="exact"/>
              <w:rPr>
                <w:sz w:val="20"/>
                <w:szCs w:val="20"/>
                <w:color w:val="auto"/>
              </w:rPr>
            </w:pPr>
            <w:r>
              <w:rPr>
                <w:rFonts w:ascii="Arial" w:cs="Arial" w:eastAsia="Arial" w:hAnsi="Arial"/>
                <w:sz w:val="15"/>
                <w:szCs w:val="15"/>
                <w:b w:val="1"/>
                <w:bCs w:val="1"/>
                <w:color w:val="auto"/>
                <w:w w:val="98"/>
              </w:rPr>
              <w:t>September 30, 2020</w:t>
            </w:r>
            <w:r>
              <w:rPr>
                <w:rFonts w:ascii="Arial" w:cs="Arial" w:eastAsia="Arial" w:hAnsi="Arial"/>
                <w:sz w:val="19"/>
                <w:szCs w:val="19"/>
                <w:b w:val="1"/>
                <w:bCs w:val="1"/>
                <w:color w:val="auto"/>
                <w:w w:val="98"/>
                <w:vertAlign w:val="superscript"/>
              </w:rPr>
              <w:t>(1)</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RV</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8"/>
              </w:rPr>
              <w:t>Marinas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Marinas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revenues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5"/>
                <w:szCs w:val="15"/>
                <w:color w:val="auto"/>
              </w:rPr>
              <w:t>275,597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233,844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163,322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672,763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229,369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162,640</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392,009</w:t>
            </w:r>
          </w:p>
        </w:tc>
        <w:tc>
          <w:tcPr>
            <w:tcW w:w="0" w:type="dxa"/>
            <w:vAlign w:val="bottom"/>
          </w:tcPr>
          <w:p>
            <w:pPr>
              <w:spacing w:after="0"/>
              <w:rPr>
                <w:sz w:val="1"/>
                <w:szCs w:val="1"/>
                <w:color w:val="auto"/>
              </w:rPr>
            </w:pPr>
          </w:p>
        </w:tc>
      </w:tr>
      <w:tr>
        <w:trPr>
          <w:trHeight w:val="20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Property operating expenses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w w:val="99"/>
              </w:rPr>
              <w:t>118,441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109,219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98,859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326,519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95,350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78,381</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N/A</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173,731</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Net Operating Income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5"/>
                <w:szCs w:val="15"/>
                <w:color w:val="auto"/>
              </w:rPr>
              <w:t>157,156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124,625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346,244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134,019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84,259</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218,278</w:t>
            </w:r>
          </w:p>
        </w:tc>
        <w:tc>
          <w:tcPr>
            <w:tcW w:w="0" w:type="dxa"/>
            <w:vAlign w:val="bottom"/>
          </w:tcPr>
          <w:p>
            <w:pPr>
              <w:spacing w:after="0"/>
              <w:rPr>
                <w:sz w:val="1"/>
                <w:szCs w:val="1"/>
                <w:color w:val="auto"/>
              </w:rPr>
            </w:pPr>
          </w:p>
        </w:tc>
      </w:tr>
      <w:tr>
        <w:trPr>
          <w:trHeight w:val="200"/>
        </w:trPr>
        <w:tc>
          <w:tcPr>
            <w:tcW w:w="3280" w:type="dxa"/>
            <w:vAlign w:val="bottom"/>
          </w:tcPr>
          <w:p>
            <w:pPr>
              <w:ind w:left="20"/>
              <w:spacing w:after="0"/>
              <w:rPr>
                <w:sz w:val="20"/>
                <w:szCs w:val="20"/>
                <w:color w:val="auto"/>
              </w:rPr>
            </w:pPr>
            <w:r>
              <w:rPr>
                <w:rFonts w:ascii="Arial" w:cs="Arial" w:eastAsia="Arial" w:hAnsi="Arial"/>
                <w:sz w:val="15"/>
                <w:szCs w:val="15"/>
                <w:b w:val="1"/>
                <w:bCs w:val="1"/>
                <w:color w:val="auto"/>
              </w:rPr>
              <w:t>Adjustments to arrive at net income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2,624</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w w:val="96"/>
              </w:rPr>
              <w:t>Brokerage commissions and other revenues,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8,841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5,881</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(43,276)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(26,834)</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rPr>
              <w:t>Catastrophic event-related charges,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(127,091)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(88,499)</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(39,026)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(30,214)</w:t>
            </w: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5"/>
              </w:rPr>
              <w:t>Interest on mandatorily redeemable preferred OP</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(1,047)</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(1,047)</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units / equity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w w:val="96"/>
              </w:rPr>
              <w:t>Gain on remeasurement of marketable securities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12,072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1,492</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Gain / (loss) on foreign currency translation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5,023</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rPr>
              <w:t>Gain on dispositions of properties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108,104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5,595</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expense, net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(3,511)</w:t>
            </w: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5"/>
                <w:szCs w:val="15"/>
                <w:color w:val="auto"/>
              </w:rPr>
              <w:t>Gain / (loss) on remeasurement of notes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92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(445)</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rPr>
              <w:t>receivable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5"/>
              </w:rPr>
              <w:t>Income from nonconsolidated affiliates (see Note</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962</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1,204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6)</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5"/>
                <w:szCs w:val="15"/>
                <w:color w:val="auto"/>
              </w:rPr>
              <w:t>Loss on remeasurement of investment in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(119)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(446)</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rPr>
              <w:t>nonconsolidated affiliates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tax benefit / (expense) (see Note 12)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198"/>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Deferred tax benefit / (expense) (see Note 12)</w:t>
            </w: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w:t>
            </w:r>
          </w:p>
        </w:tc>
        <w:tc>
          <w:tcPr>
            <w:tcW w:w="0" w:type="dxa"/>
            <w:vAlign w:val="bottom"/>
          </w:tcPr>
          <w:p>
            <w:pPr>
              <w:spacing w:after="0"/>
              <w:rPr>
                <w:sz w:val="1"/>
                <w:szCs w:val="1"/>
                <w:color w:val="auto"/>
              </w:rPr>
            </w:pPr>
          </w:p>
        </w:tc>
      </w:tr>
      <w:tr>
        <w:trPr>
          <w:trHeight w:val="200"/>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Net Income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250,161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89,756</w:t>
            </w:r>
          </w:p>
        </w:tc>
        <w:tc>
          <w:tcPr>
            <w:tcW w:w="0" w:type="dxa"/>
            <w:vAlign w:val="bottom"/>
          </w:tcPr>
          <w:p>
            <w:pPr>
              <w:spacing w:after="0"/>
              <w:rPr>
                <w:sz w:val="1"/>
                <w:szCs w:val="1"/>
                <w:color w:val="auto"/>
              </w:rPr>
            </w:pPr>
          </w:p>
        </w:tc>
      </w:tr>
      <w:tr>
        <w:trPr>
          <w:trHeight w:val="149"/>
        </w:trPr>
        <w:tc>
          <w:tcPr>
            <w:tcW w:w="3280" w:type="dxa"/>
            <w:vAlign w:val="bottom"/>
          </w:tcPr>
          <w:p>
            <w:pPr>
              <w:ind w:left="360"/>
              <w:spacing w:after="0" w:line="149" w:lineRule="exact"/>
              <w:rPr>
                <w:sz w:val="20"/>
                <w:szCs w:val="20"/>
                <w:color w:val="auto"/>
              </w:rPr>
            </w:pPr>
            <w:r>
              <w:rPr>
                <w:rFonts w:ascii="Arial" w:cs="Arial" w:eastAsia="Arial" w:hAnsi="Arial"/>
                <w:sz w:val="15"/>
                <w:szCs w:val="15"/>
                <w:color w:val="auto"/>
                <w:w w:val="97"/>
              </w:rPr>
              <w:t>Less: Preferred return to preferred OP units /</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3,101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1,645</w:t>
            </w:r>
          </w:p>
        </w:tc>
        <w:tc>
          <w:tcPr>
            <w:tcW w:w="0" w:type="dxa"/>
            <w:vAlign w:val="bottom"/>
          </w:tcPr>
          <w:p>
            <w:pPr>
              <w:spacing w:after="0"/>
              <w:rPr>
                <w:sz w:val="1"/>
                <w:szCs w:val="1"/>
                <w:color w:val="auto"/>
              </w:rPr>
            </w:pPr>
          </w:p>
        </w:tc>
      </w:tr>
      <w:tr>
        <w:trPr>
          <w:trHeight w:val="198"/>
        </w:trPr>
        <w:tc>
          <w:tcPr>
            <w:tcW w:w="3280" w:type="dxa"/>
            <w:vAlign w:val="bottom"/>
          </w:tcPr>
          <w:p>
            <w:pPr>
              <w:ind w:left="360"/>
              <w:spacing w:after="0"/>
              <w:rPr>
                <w:sz w:val="20"/>
                <w:szCs w:val="20"/>
                <w:color w:val="auto"/>
              </w:rPr>
            </w:pPr>
            <w:r>
              <w:rPr>
                <w:rFonts w:ascii="Arial" w:cs="Arial" w:eastAsia="Arial" w:hAnsi="Arial"/>
                <w:sz w:val="15"/>
                <w:szCs w:val="15"/>
                <w:color w:val="auto"/>
              </w:rPr>
              <w:t>equity interests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ind w:left="360"/>
              <w:spacing w:after="0" w:line="153" w:lineRule="exact"/>
              <w:rPr>
                <w:sz w:val="20"/>
                <w:szCs w:val="20"/>
                <w:color w:val="auto"/>
              </w:rPr>
            </w:pPr>
            <w:r>
              <w:rPr>
                <w:rFonts w:ascii="Arial" w:cs="Arial" w:eastAsia="Arial" w:hAnsi="Arial"/>
                <w:sz w:val="15"/>
                <w:szCs w:val="15"/>
                <w:color w:val="auto"/>
              </w:rPr>
              <w:t>Less: Income attributable to noncontrolling</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15,290</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6,907</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328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Net Income Attributable to Sun Communities,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231,770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81,204</w:t>
            </w:r>
          </w:p>
        </w:tc>
        <w:tc>
          <w:tcPr>
            <w:tcW w:w="0" w:type="dxa"/>
            <w:vAlign w:val="bottom"/>
          </w:tcPr>
          <w:p>
            <w:pPr>
              <w:spacing w:after="0"/>
              <w:rPr>
                <w:sz w:val="1"/>
                <w:szCs w:val="1"/>
                <w:color w:val="auto"/>
              </w:rPr>
            </w:pPr>
          </w:p>
        </w:tc>
      </w:tr>
      <w:tr>
        <w:trPr>
          <w:trHeight w:val="180"/>
        </w:trPr>
        <w:tc>
          <w:tcPr>
            <w:tcW w:w="3280" w:type="dxa"/>
            <w:vAlign w:val="bottom"/>
          </w:tcPr>
          <w:p>
            <w:pPr>
              <w:ind w:left="140"/>
              <w:spacing w:after="0"/>
              <w:rPr>
                <w:sz w:val="20"/>
                <w:szCs w:val="20"/>
                <w:color w:val="auto"/>
              </w:rPr>
            </w:pPr>
            <w:r>
              <w:rPr>
                <w:rFonts w:ascii="Arial" w:cs="Arial" w:eastAsia="Arial" w:hAnsi="Arial"/>
                <w:sz w:val="15"/>
                <w:szCs w:val="15"/>
                <w:b w:val="1"/>
                <w:bCs w:val="1"/>
                <w:color w:val="auto"/>
              </w:rPr>
              <w:t>Inc. Common Stockholders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Recast to reflect segment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Nine Months Ended</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ind w:left="140"/>
              <w:spacing w:after="0" w:line="200" w:lineRule="exact"/>
              <w:rPr>
                <w:sz w:val="20"/>
                <w:szCs w:val="20"/>
                <w:color w:val="auto"/>
              </w:rPr>
            </w:pPr>
            <w:r>
              <w:rPr>
                <w:rFonts w:ascii="Arial" w:cs="Arial" w:eastAsia="Arial" w:hAnsi="Arial"/>
                <w:sz w:val="15"/>
                <w:szCs w:val="15"/>
                <w:b w:val="1"/>
                <w:bCs w:val="1"/>
                <w:color w:val="auto"/>
                <w:w w:val="96"/>
              </w:rPr>
              <w:t>September 30, 2020</w:t>
            </w:r>
            <w:r>
              <w:rPr>
                <w:rFonts w:ascii="Arial" w:cs="Arial" w:eastAsia="Arial" w:hAnsi="Arial"/>
                <w:sz w:val="19"/>
                <w:szCs w:val="19"/>
                <w:b w:val="1"/>
                <w:bCs w:val="1"/>
                <w:color w:val="auto"/>
                <w:w w:val="96"/>
                <w:vertAlign w:val="superscript"/>
              </w:rPr>
              <w:t>(1)</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Marinas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Marinas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98"/>
        </w:trPr>
        <w:tc>
          <w:tcPr>
            <w:tcW w:w="3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5"/>
                <w:szCs w:val="15"/>
                <w:color w:val="auto"/>
                <w:w w:val="99"/>
              </w:rPr>
              <w:t>793,286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492,464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414,642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1,700,392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5"/>
                <w:szCs w:val="15"/>
                <w:color w:val="auto"/>
                <w:w w:val="99"/>
              </w:rPr>
              <w:t>668,390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325,015</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993,405</w:t>
            </w:r>
          </w:p>
        </w:tc>
        <w:tc>
          <w:tcPr>
            <w:tcW w:w="0" w:type="dxa"/>
            <w:vAlign w:val="bottom"/>
          </w:tcPr>
          <w:p>
            <w:pPr>
              <w:spacing w:after="0"/>
              <w:rPr>
                <w:sz w:val="1"/>
                <w:szCs w:val="1"/>
                <w:color w:val="auto"/>
              </w:rPr>
            </w:pPr>
          </w:p>
        </w:tc>
      </w:tr>
      <w:tr>
        <w:trPr>
          <w:trHeight w:val="198"/>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Operating expenses / Cost of sales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w w:val="99"/>
              </w:rPr>
              <w:t>326,758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247,284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255,970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830,012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w w:val="99"/>
              </w:rPr>
              <w:t>263,852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165,430</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N/A</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429,282</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Net Operating Income / Gross Profit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5"/>
                <w:szCs w:val="15"/>
                <w:color w:val="auto"/>
                <w:w w:val="99"/>
              </w:rPr>
              <w:t>466,528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245,180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158,672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870,380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5"/>
                <w:szCs w:val="15"/>
                <w:color w:val="auto"/>
                <w:w w:val="99"/>
              </w:rPr>
              <w:t>404,538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159,585</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564,123</w:t>
            </w:r>
          </w:p>
        </w:tc>
        <w:tc>
          <w:tcPr>
            <w:tcW w:w="0" w:type="dxa"/>
            <w:vAlign w:val="bottom"/>
          </w:tcPr>
          <w:p>
            <w:pPr>
              <w:spacing w:after="0"/>
              <w:rPr>
                <w:sz w:val="1"/>
                <w:szCs w:val="1"/>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5"/>
                <w:szCs w:val="15"/>
                <w:color w:val="auto"/>
              </w:rPr>
              <w:t>Adjustments to arrive at net income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7,609</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w w:val="99"/>
              </w:rPr>
              <w:t>Brokerage commissions and other revenues,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21,740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13,068</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(78,710)</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Catastrophic event-related charges,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(3,097)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Business combination expense, net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(378,068)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(259,453)</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extinguishment of debt (see Note 8)</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(5,209)</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(116,224)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(94,058)</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7"/>
              </w:rPr>
              <w:t>Interest on mandatorily redeemable preferred OP</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(3,124)</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(3,130)</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units / equity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60" w:type="dxa"/>
            <w:vAlign w:val="bottom"/>
          </w:tcPr>
          <w:p>
            <w:pPr>
              <w:ind w:left="140"/>
              <w:spacing w:after="0" w:line="149" w:lineRule="exact"/>
              <w:rPr>
                <w:sz w:val="20"/>
                <w:szCs w:val="20"/>
                <w:color w:val="auto"/>
              </w:rPr>
            </w:pPr>
            <w:r>
              <w:rPr>
                <w:rFonts w:ascii="Arial" w:cs="Arial" w:eastAsia="Arial" w:hAnsi="Arial"/>
                <w:sz w:val="15"/>
                <w:szCs w:val="15"/>
                <w:color w:val="auto"/>
              </w:rPr>
              <w:t>Gain / (loss) on remeasurement of marketable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43,227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(2,636)</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securities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foreign currency translation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(2,496)</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5"/>
                <w:szCs w:val="15"/>
                <w:color w:val="auto"/>
              </w:rPr>
              <w:t>Gain on dispositions of properties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108,104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5,595</w:t>
            </w: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expense, net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(4,890)</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5"/>
                <w:szCs w:val="15"/>
                <w:color w:val="auto"/>
                <w:w w:val="93"/>
              </w:rPr>
              <w:t>Gain / (loss) on remeasurement of notes receivable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(2,311)</w:t>
            </w: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Income from nonconsolidated affiliates (see Note 6)</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1,348</w:t>
            </w:r>
          </w:p>
        </w:tc>
        <w:tc>
          <w:tcPr>
            <w:tcW w:w="0" w:type="dxa"/>
            <w:vAlign w:val="bottom"/>
          </w:tcPr>
          <w:p>
            <w:pPr>
              <w:spacing w:after="0"/>
              <w:rPr>
                <w:sz w:val="1"/>
                <w:szCs w:val="1"/>
                <w:color w:val="auto"/>
              </w:rPr>
            </w:pPr>
          </w:p>
        </w:tc>
      </w:tr>
      <w:tr>
        <w:trPr>
          <w:trHeight w:val="149"/>
        </w:trPr>
        <w:tc>
          <w:tcPr>
            <w:tcW w:w="3360" w:type="dxa"/>
            <w:vAlign w:val="bottom"/>
          </w:tcPr>
          <w:p>
            <w:pPr>
              <w:ind w:left="140"/>
              <w:spacing w:after="0" w:line="149" w:lineRule="exact"/>
              <w:rPr>
                <w:sz w:val="20"/>
                <w:szCs w:val="20"/>
                <w:color w:val="auto"/>
              </w:rPr>
            </w:pPr>
            <w:r>
              <w:rPr>
                <w:rFonts w:ascii="Arial" w:cs="Arial" w:eastAsia="Arial" w:hAnsi="Arial"/>
                <w:sz w:val="15"/>
                <w:szCs w:val="15"/>
                <w:color w:val="auto"/>
              </w:rPr>
              <w:t>Loss on remeasurement of investment in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(130)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(1,505)</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nonconsolidated affiliates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tax expense (see Note 12)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w:t>
            </w:r>
          </w:p>
        </w:tc>
        <w:tc>
          <w:tcPr>
            <w:tcW w:w="0" w:type="dxa"/>
            <w:vAlign w:val="bottom"/>
          </w:tcPr>
          <w:p>
            <w:pPr>
              <w:spacing w:after="0"/>
              <w:rPr>
                <w:sz w:val="1"/>
                <w:szCs w:val="1"/>
                <w:color w:val="auto"/>
              </w:rPr>
            </w:pPr>
          </w:p>
        </w:tc>
      </w:tr>
      <w:tr>
        <w:trPr>
          <w:trHeight w:val="198"/>
        </w:trPr>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Deferred tax benefit / (expense) (see Note 12)</w:t>
            </w: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804</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Net Income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398,951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137,633</w:t>
            </w:r>
          </w:p>
        </w:tc>
        <w:tc>
          <w:tcPr>
            <w:tcW w:w="0" w:type="dxa"/>
            <w:vAlign w:val="bottom"/>
          </w:tcPr>
          <w:p>
            <w:pPr>
              <w:spacing w:after="0"/>
              <w:rPr>
                <w:sz w:val="1"/>
                <w:szCs w:val="1"/>
                <w:color w:val="auto"/>
              </w:rPr>
            </w:pPr>
          </w:p>
        </w:tc>
      </w:tr>
      <w:tr>
        <w:trPr>
          <w:trHeight w:val="149"/>
        </w:trPr>
        <w:tc>
          <w:tcPr>
            <w:tcW w:w="3360" w:type="dxa"/>
            <w:vAlign w:val="bottom"/>
          </w:tcPr>
          <w:p>
            <w:pPr>
              <w:ind w:left="360"/>
              <w:spacing w:after="0" w:line="149" w:lineRule="exact"/>
              <w:rPr>
                <w:sz w:val="20"/>
                <w:szCs w:val="20"/>
                <w:color w:val="auto"/>
              </w:rPr>
            </w:pPr>
            <w:r>
              <w:rPr>
                <w:rFonts w:ascii="Arial" w:cs="Arial" w:eastAsia="Arial" w:hAnsi="Arial"/>
                <w:sz w:val="15"/>
                <w:szCs w:val="15"/>
                <w:color w:val="auto"/>
              </w:rPr>
              <w:t>Less: Preferred return to preferred OP units /</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9,000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4,799</w:t>
            </w:r>
          </w:p>
        </w:tc>
        <w:tc>
          <w:tcPr>
            <w:tcW w:w="0" w:type="dxa"/>
            <w:vAlign w:val="bottom"/>
          </w:tcPr>
          <w:p>
            <w:pPr>
              <w:spacing w:after="0"/>
              <w:rPr>
                <w:sz w:val="1"/>
                <w:szCs w:val="1"/>
                <w:color w:val="auto"/>
              </w:rPr>
            </w:pPr>
          </w:p>
        </w:tc>
      </w:tr>
      <w:tr>
        <w:trPr>
          <w:trHeight w:val="198"/>
        </w:trPr>
        <w:tc>
          <w:tcPr>
            <w:tcW w:w="3360" w:type="dxa"/>
            <w:vAlign w:val="bottom"/>
          </w:tcPr>
          <w:p>
            <w:pPr>
              <w:ind w:left="360"/>
              <w:spacing w:after="0"/>
              <w:rPr>
                <w:sz w:val="20"/>
                <w:szCs w:val="20"/>
                <w:color w:val="auto"/>
              </w:rPr>
            </w:pPr>
            <w:r>
              <w:rPr>
                <w:rFonts w:ascii="Arial" w:cs="Arial" w:eastAsia="Arial" w:hAnsi="Arial"/>
                <w:sz w:val="15"/>
                <w:szCs w:val="15"/>
                <w:color w:val="auto"/>
              </w:rPr>
              <w:t>equity interests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360"/>
              <w:spacing w:after="0" w:line="153" w:lineRule="exact"/>
              <w:rPr>
                <w:sz w:val="20"/>
                <w:szCs w:val="20"/>
                <w:color w:val="auto"/>
              </w:rPr>
            </w:pPr>
            <w:r>
              <w:rPr>
                <w:rFonts w:ascii="Arial" w:cs="Arial" w:eastAsia="Arial" w:hAnsi="Arial"/>
                <w:sz w:val="15"/>
                <w:szCs w:val="15"/>
                <w:color w:val="auto"/>
              </w:rPr>
              <w:t>Less: Income attributable to noncontrolling</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22,629</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8,806</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336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Net Income Attributable to Sun Communities,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367,322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124,028</w:t>
            </w:r>
          </w:p>
        </w:tc>
        <w:tc>
          <w:tcPr>
            <w:tcW w:w="0" w:type="dxa"/>
            <w:vAlign w:val="bottom"/>
          </w:tcPr>
          <w:p>
            <w:pPr>
              <w:spacing w:after="0"/>
              <w:rPr>
                <w:sz w:val="1"/>
                <w:szCs w:val="1"/>
                <w:color w:val="auto"/>
              </w:rPr>
            </w:pPr>
          </w:p>
        </w:tc>
      </w:tr>
      <w:tr>
        <w:trPr>
          <w:trHeight w:val="180"/>
        </w:trPr>
        <w:tc>
          <w:tcPr>
            <w:tcW w:w="3360" w:type="dxa"/>
            <w:vAlign w:val="bottom"/>
          </w:tcPr>
          <w:p>
            <w:pPr>
              <w:ind w:left="140"/>
              <w:spacing w:after="0"/>
              <w:rPr>
                <w:sz w:val="20"/>
                <w:szCs w:val="20"/>
                <w:color w:val="auto"/>
              </w:rPr>
            </w:pPr>
            <w:r>
              <w:rPr>
                <w:rFonts w:ascii="Arial" w:cs="Arial" w:eastAsia="Arial" w:hAnsi="Arial"/>
                <w:sz w:val="15"/>
                <w:szCs w:val="15"/>
                <w:b w:val="1"/>
                <w:bCs w:val="1"/>
                <w:color w:val="auto"/>
              </w:rPr>
              <w:t>Inc. Common Stockholders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Recast to reflect segment changes.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5"/>
                <w:szCs w:val="15"/>
                <w:b w:val="1"/>
                <w:bCs w:val="1"/>
                <w:color w:val="auto"/>
                <w:w w:val="91"/>
              </w:rPr>
              <w:t>September 30, 2021</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December 31, 2020</w:t>
            </w:r>
            <w:r>
              <w:rPr>
                <w:rFonts w:ascii="Arial" w:cs="Arial" w:eastAsia="Arial" w:hAnsi="Arial"/>
                <w:sz w:val="19"/>
                <w:szCs w:val="19"/>
                <w:b w:val="1"/>
                <w:bCs w:val="1"/>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0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Arial" w:cs="Arial" w:eastAsia="Arial" w:hAnsi="Arial"/>
                <w:sz w:val="15"/>
                <w:szCs w:val="15"/>
                <w:b w:val="1"/>
                <w:bCs w:val="1"/>
                <w:color w:val="auto"/>
              </w:rPr>
              <w:t>RV</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5"/>
                <w:szCs w:val="15"/>
                <w:b w:val="1"/>
                <w:bCs w:val="1"/>
                <w:color w:val="auto"/>
              </w:rPr>
              <w:t>Marinas</w:t>
            </w:r>
          </w:p>
        </w:tc>
        <w:tc>
          <w:tcPr>
            <w:tcW w:w="120" w:type="dxa"/>
            <w:vAlign w:val="bottom"/>
          </w:tcPr>
          <w:p>
            <w:pPr>
              <w:spacing w:after="0"/>
              <w:rPr>
                <w:sz w:val="16"/>
                <w:szCs w:val="16"/>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Consolidated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0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RV</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5"/>
                <w:szCs w:val="15"/>
                <w:b w:val="1"/>
                <w:bCs w:val="1"/>
                <w:color w:val="auto"/>
              </w:rPr>
              <w:t>Marinas</w:t>
            </w:r>
          </w:p>
        </w:tc>
        <w:tc>
          <w:tcPr>
            <w:tcW w:w="10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5"/>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Identifiable Assets</w:t>
            </w: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80" w:type="dxa"/>
            <w:vAlign w:val="bottom"/>
          </w:tcPr>
          <w:p>
            <w:pPr>
              <w:ind w:left="140"/>
              <w:spacing w:after="0"/>
              <w:rPr>
                <w:sz w:val="20"/>
                <w:szCs w:val="20"/>
                <w:color w:val="auto"/>
              </w:rPr>
            </w:pPr>
            <w:r>
              <w:rPr>
                <w:rFonts w:ascii="Arial" w:cs="Arial" w:eastAsia="Arial" w:hAnsi="Arial"/>
                <w:sz w:val="15"/>
                <w:szCs w:val="15"/>
                <w:color w:val="auto"/>
              </w:rPr>
              <w:t>Investment property, net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4,983,329</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3,373,068</w:t>
            </w:r>
          </w:p>
        </w:tc>
        <w:tc>
          <w:tcPr>
            <w:tcW w:w="80" w:type="dxa"/>
            <w:vAlign w:val="bottom"/>
          </w:tcPr>
          <w:p>
            <w:pPr>
              <w:spacing w:after="0"/>
              <w:rPr>
                <w:sz w:val="17"/>
                <w:szCs w:val="17"/>
                <w:color w:val="auto"/>
              </w:rPr>
            </w:pP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2,520,039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10,876,436</w:t>
            </w:r>
          </w:p>
        </w:tc>
        <w:tc>
          <w:tcPr>
            <w:tcW w:w="16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4,823,174</w:t>
            </w:r>
          </w:p>
        </w:tc>
        <w:tc>
          <w:tcPr>
            <w:tcW w:w="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3,038,686</w:t>
            </w:r>
          </w:p>
        </w:tc>
        <w:tc>
          <w:tcPr>
            <w:tcW w:w="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1,853,931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9,715,791</w:t>
            </w: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Cash, cash equivalents and</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38,538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20,968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26,113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85,619</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53,152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28,919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10,570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92,641</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restricted cash</w:t>
            </w: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80" w:type="dxa"/>
            <w:vAlign w:val="bottom"/>
          </w:tcPr>
          <w:p>
            <w:pPr>
              <w:ind w:left="140"/>
              <w:spacing w:after="0"/>
              <w:rPr>
                <w:sz w:val="20"/>
                <w:szCs w:val="20"/>
                <w:color w:val="auto"/>
              </w:rPr>
            </w:pPr>
            <w:r>
              <w:rPr>
                <w:rFonts w:ascii="Arial" w:cs="Arial" w:eastAsia="Arial" w:hAnsi="Arial"/>
                <w:sz w:val="15"/>
                <w:szCs w:val="15"/>
                <w:color w:val="auto"/>
              </w:rPr>
              <w:t>Marketable securities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103,829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56,492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160,321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80,776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43,950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124,726</w:t>
            </w:r>
          </w:p>
        </w:tc>
        <w:tc>
          <w:tcPr>
            <w:tcW w:w="0" w:type="dxa"/>
            <w:vAlign w:val="bottom"/>
          </w:tcPr>
          <w:p>
            <w:pPr>
              <w:spacing w:after="0"/>
              <w:rPr>
                <w:sz w:val="1"/>
                <w:szCs w:val="1"/>
                <w:color w:val="auto"/>
              </w:rPr>
            </w:pPr>
          </w:p>
        </w:tc>
      </w:tr>
      <w:tr>
        <w:trPr>
          <w:trHeight w:val="206"/>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9"/>
              </w:rPr>
              <w:t>Inventory of manufactured homes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43,708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33,448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13,195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46,643</w:t>
            </w:r>
          </w:p>
        </w:tc>
        <w:tc>
          <w:tcPr>
            <w:tcW w:w="0" w:type="dxa"/>
            <w:vAlign w:val="bottom"/>
          </w:tcPr>
          <w:p>
            <w:pPr>
              <w:spacing w:after="0"/>
              <w:rPr>
                <w:sz w:val="1"/>
                <w:szCs w:val="1"/>
                <w:color w:val="auto"/>
              </w:rPr>
            </w:pPr>
          </w:p>
        </w:tc>
      </w:tr>
      <w:tr>
        <w:trPr>
          <w:trHeight w:val="199"/>
        </w:trPr>
        <w:tc>
          <w:tcPr>
            <w:tcW w:w="2380" w:type="dxa"/>
            <w:vAlign w:val="bottom"/>
          </w:tcPr>
          <w:p>
            <w:pPr>
              <w:ind w:left="140"/>
              <w:spacing w:after="0"/>
              <w:rPr>
                <w:sz w:val="20"/>
                <w:szCs w:val="20"/>
                <w:color w:val="auto"/>
              </w:rPr>
            </w:pPr>
            <w:r>
              <w:rPr>
                <w:rFonts w:ascii="Arial" w:cs="Arial" w:eastAsia="Arial" w:hAnsi="Arial"/>
                <w:sz w:val="15"/>
                <w:szCs w:val="15"/>
                <w:color w:val="auto"/>
              </w:rPr>
              <w:t>Notes and other receivables, net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160,593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58,750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37,581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256,924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144,027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44,002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33,621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221,650</w:t>
            </w:r>
          </w:p>
        </w:tc>
        <w:tc>
          <w:tcPr>
            <w:tcW w:w="0" w:type="dxa"/>
            <w:vAlign w:val="bottom"/>
          </w:tcPr>
          <w:p>
            <w:pPr>
              <w:spacing w:after="0"/>
              <w:rPr>
                <w:sz w:val="1"/>
                <w:szCs w:val="1"/>
                <w:color w:val="auto"/>
              </w:rPr>
            </w:pPr>
          </w:p>
        </w:tc>
      </w:tr>
      <w:tr>
        <w:trPr>
          <w:trHeight w:val="206"/>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Goodwill</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461,609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461,609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428,833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428,833</w:t>
            </w:r>
          </w:p>
        </w:tc>
        <w:tc>
          <w:tcPr>
            <w:tcW w:w="0" w:type="dxa"/>
            <w:vAlign w:val="bottom"/>
          </w:tcPr>
          <w:p>
            <w:pPr>
              <w:spacing w:after="0"/>
              <w:rPr>
                <w:sz w:val="1"/>
                <w:szCs w:val="1"/>
                <w:color w:val="auto"/>
              </w:rPr>
            </w:pPr>
          </w:p>
        </w:tc>
      </w:tr>
      <w:tr>
        <w:trPr>
          <w:trHeight w:val="199"/>
        </w:trPr>
        <w:tc>
          <w:tcPr>
            <w:tcW w:w="2380" w:type="dxa"/>
            <w:vAlign w:val="bottom"/>
          </w:tcPr>
          <w:p>
            <w:pPr>
              <w:ind w:left="140"/>
              <w:spacing w:after="0"/>
              <w:rPr>
                <w:sz w:val="20"/>
                <w:szCs w:val="20"/>
                <w:color w:val="auto"/>
              </w:rPr>
            </w:pPr>
            <w:r>
              <w:rPr>
                <w:rFonts w:ascii="Arial" w:cs="Arial" w:eastAsia="Arial" w:hAnsi="Arial"/>
                <w:sz w:val="15"/>
                <w:szCs w:val="15"/>
                <w:color w:val="auto"/>
              </w:rPr>
              <w:t>Other intangible assets, net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30,247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23,854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243,524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297,625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33,998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23,819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247,794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305,611</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assets, net</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178,491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40,882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181,681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401,054</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184,917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38,075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47,699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270,691</w:t>
            </w:r>
          </w:p>
        </w:tc>
        <w:tc>
          <w:tcPr>
            <w:tcW w:w="0" w:type="dxa"/>
            <w:vAlign w:val="bottom"/>
          </w:tcPr>
          <w:p>
            <w:pPr>
              <w:spacing w:after="0"/>
              <w:rPr>
                <w:sz w:val="1"/>
                <w:szCs w:val="1"/>
                <w:color w:val="auto"/>
              </w:rPr>
            </w:pPr>
          </w:p>
        </w:tc>
      </w:tr>
      <w:tr>
        <w:trPr>
          <w:trHeight w:val="200"/>
        </w:trPr>
        <w:tc>
          <w:tcPr>
            <w:tcW w:w="238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5,531,553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3,581,196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3,470,547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12,583,296</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5,353,492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3,230,646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2,622,448</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11,206,586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Recast to reflect segment changes.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be taxed as a real estate investment trust ("REIT") pursuant to Section 856(c) of the Internal Revenue Code of 1986, as amended ("Code"). In order for us to qualify as a REIT, at least 95 percent of our gross income in any year must be derived from qualifying sources. In addition, a REIT must distribute annually at least 90 percent of its REIT taxable income (calculated without any deduction for dividends paid and excluding capital gain) to its stockholders and meet other tests.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nine months ended September 30, 2021.</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REIT, we generally will not be subject to United States ("U.S.") federal income taxes at the corporate level on the ordinary taxable income we distribute to our stockholders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as a result of the acquisition in 2016 of certain properties located in Canada. We do not provide for withholding taxes on our undistributed earnings from our Canadian subsidiaries as they are reinvested and will continue to be reinvested indefinitely outside of the U.S. However, we are subject to Australian withholding taxes on distributions from our investment in Ingenia Communities Group.</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and depreciation and basis differences between tax and GAAP. Our deferred tax assets that have a full valuation allowance relate to our taxable REIT subsidiaries. Net deferred tax liabilities of $21.5 million and $20.5 million for Canadian entities have been recorded in relation to corporate entities and included in other liabilities in our Consolidated Balance Sheets as of September 30, 2021 and December 31, 2020, respectively. U.S. federal deferred tax liabilities of $0.1 million have been recorded and included in our Consolidated Balance Sheets as of September 30, 2021 and December 31, 2020.</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no unrecognized tax benefits as of September 30, 2021 and 2020. We do not expect significant changes in tax positions that would result in unrecognized tax benefits within one year of September 30, 2021.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2021, we recorded a current tax expense for federal, state, and Canadian income taxes and Australian withholding taxes of $0.4 million and $1.4 million, respectively. For the three months ended September 30, 2020, we recorded a current tax benefit for federal, state and Canadian income taxes of $0.1 million. For the nine months ended September 30, 2020, we recorded a current tax expense for federal, state and Canadian income taxes of $0.5 million.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2021, we recorded a deferred tax expense of $1.2 million and $1.1 million, respectively. For the three and nine months ended September 30, 2020, we recorded a deferred tax benefit of $0.6 million and $0.8 million,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Earnings per share is computed by dividing net income by the weighted average number of common shares outstanding during the period on a basic and diluted basis. We calculate diluted earnings per share using the more dilutive of the treasury stock method and the two-class method.</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enter into forward equity sales agreements, which are discussed in Note 9, "Equity and Temporary Equity," We considered the potential dilution resulting from the forward equity sales agreements on the EPS calculations. At inception, the agreements do not have an effect on the computation of basic EPS as no shares are delivered until settlement. The common shares issued upon the settlement of the forward equity sales agreements, weighted for the period these common shares are outstanding, are usually included in the denominator of basic EPS. To determine the dilution resulting from the forward equity sales agreements during the period of time prior to settlement, we calculate the number of weighted-average shares outstanding - diluted.</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potentially dilutive securities include potential common shares related to our forward equity offerings,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Series H preferred OP units, Series I preferred OP units, Series J preferred OP units and Aspen preferred OP Units, which, if converted or exercised, may impact dilution.</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Diluted earnings per share considers the impact of potentially dilutive securities except when the potential common shares have an antidilutive effect. Our unvested restricted stock common shares contain rights to receive non-forfeitable dividends and participate equally with common stock with respect to dividends issued or declared, and thus, are participating securities, requiring the two-class method of computing earnings per share. The two-class method determines earnings per share by dividing the sum of distributed earnings to common stockholders and undistributed earnings allocated to common stockholders by the weighted average number of shares of common stock outstanding for the period. In calculating the two-class method, undistributed earnings are allocated to both common shares and participating securities based on the weighted average number of shares outstanding during the period. The remaining potential dilutive common shares do not contain rights to dividends and are included in the computation of diluted earnings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Computations of basic and diluted earnings per share were as follows (in thousands, except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jc w:val="right"/>
              <w:ind w:right="44"/>
              <w:spacing w:after="0"/>
              <w:rPr>
                <w:sz w:val="20"/>
                <w:szCs w:val="20"/>
                <w:color w:val="auto"/>
              </w:rPr>
            </w:pPr>
            <w:r>
              <w:rPr>
                <w:rFonts w:ascii="Arial" w:cs="Arial" w:eastAsia="Arial" w:hAnsi="Arial"/>
                <w:sz w:val="15"/>
                <w:szCs w:val="15"/>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Nine Months Ended</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4"/>
          </w:tcPr>
          <w:p>
            <w:pPr>
              <w:ind w:left="40"/>
              <w:spacing w:after="0"/>
              <w:rPr>
                <w:sz w:val="20"/>
                <w:szCs w:val="20"/>
                <w:color w:val="auto"/>
              </w:rPr>
            </w:pPr>
            <w:r>
              <w:rPr>
                <w:rFonts w:ascii="Arial" w:cs="Arial" w:eastAsia="Arial" w:hAnsi="Arial"/>
                <w:sz w:val="15"/>
                <w:szCs w:val="15"/>
                <w:b w:val="1"/>
                <w:bCs w:val="1"/>
                <w:color w:val="auto"/>
              </w:rPr>
              <w:t>September 30, 2021</w:t>
            </w:r>
          </w:p>
        </w:tc>
        <w:tc>
          <w:tcPr>
            <w:tcW w:w="2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September 30, 2020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2021</w:t>
            </w:r>
          </w:p>
        </w:tc>
        <w:tc>
          <w:tcPr>
            <w:tcW w:w="144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w w:val="95"/>
              </w:rPr>
              <w:t>September 30, 2020</w:t>
            </w:r>
          </w:p>
        </w:tc>
        <w:tc>
          <w:tcPr>
            <w:tcW w:w="0" w:type="dxa"/>
            <w:vAlign w:val="bottom"/>
          </w:tcPr>
          <w:p>
            <w:pPr>
              <w:spacing w:after="0"/>
              <w:rPr>
                <w:sz w:val="1"/>
                <w:szCs w:val="1"/>
                <w:color w:val="auto"/>
              </w:rPr>
            </w:pPr>
          </w:p>
        </w:tc>
      </w:tr>
      <w:tr>
        <w:trPr>
          <w:trHeight w:val="183"/>
        </w:trPr>
        <w:tc>
          <w:tcPr>
            <w:tcW w:w="5140" w:type="dxa"/>
            <w:vAlign w:val="bottom"/>
          </w:tcPr>
          <w:p>
            <w:pPr>
              <w:ind w:left="20"/>
              <w:spacing w:after="0"/>
              <w:rPr>
                <w:sz w:val="20"/>
                <w:szCs w:val="20"/>
                <w:color w:val="auto"/>
              </w:rPr>
            </w:pPr>
            <w:r>
              <w:rPr>
                <w:rFonts w:ascii="Arial" w:cs="Arial" w:eastAsia="Arial" w:hAnsi="Arial"/>
                <w:sz w:val="15"/>
                <w:szCs w:val="15"/>
                <w:b w:val="1"/>
                <w:bCs w:val="1"/>
                <w:color w:val="auto"/>
              </w:rPr>
              <w:t>Numerator</w:t>
            </w:r>
          </w:p>
        </w:tc>
        <w:tc>
          <w:tcPr>
            <w:tcW w:w="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440" w:type="dxa"/>
            <w:vAlign w:val="bottom"/>
            <w:gridSpan w:val="2"/>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231,770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81,204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367,322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124,028</w:t>
            </w:r>
          </w:p>
        </w:tc>
        <w:tc>
          <w:tcPr>
            <w:tcW w:w="0" w:type="dxa"/>
            <w:vAlign w:val="bottom"/>
          </w:tcPr>
          <w:p>
            <w:pPr>
              <w:spacing w:after="0"/>
              <w:rPr>
                <w:sz w:val="1"/>
                <w:szCs w:val="1"/>
                <w:color w:val="auto"/>
              </w:rPr>
            </w:pPr>
          </w:p>
        </w:tc>
      </w:tr>
      <w:tr>
        <w:trPr>
          <w:trHeight w:val="198"/>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Less: allocation to restricted stock awards</w:t>
            </w: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536</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2,352</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821</w:t>
            </w:r>
          </w:p>
        </w:tc>
        <w:tc>
          <w:tcPr>
            <w:tcW w:w="0" w:type="dxa"/>
            <w:vAlign w:val="bottom"/>
          </w:tcPr>
          <w:p>
            <w:pPr>
              <w:spacing w:after="0"/>
              <w:rPr>
                <w:sz w:val="1"/>
                <w:szCs w:val="1"/>
                <w:color w:val="auto"/>
              </w:rPr>
            </w:pPr>
          </w:p>
        </w:tc>
      </w:tr>
      <w:tr>
        <w:trPr>
          <w:trHeight w:val="133"/>
        </w:trPr>
        <w:tc>
          <w:tcPr>
            <w:tcW w:w="5140" w:type="dxa"/>
            <w:vAlign w:val="bottom"/>
            <w:shd w:val="clear" w:color="auto" w:fill="CCEEFF"/>
          </w:tcPr>
          <w:p>
            <w:pPr>
              <w:ind w:left="140"/>
              <w:spacing w:after="0" w:line="133" w:lineRule="exact"/>
              <w:rPr>
                <w:sz w:val="20"/>
                <w:szCs w:val="20"/>
                <w:color w:val="auto"/>
              </w:rPr>
            </w:pPr>
            <w:r>
              <w:rPr>
                <w:rFonts w:ascii="Arial" w:cs="Arial" w:eastAsia="Arial" w:hAnsi="Arial"/>
                <w:sz w:val="15"/>
                <w:szCs w:val="15"/>
                <w:color w:val="auto"/>
              </w:rPr>
              <w:t>Basic earnings - Net Income attributable to common stockholders after</w:t>
            </w:r>
          </w:p>
        </w:tc>
        <w:tc>
          <w:tcPr>
            <w:tcW w:w="440" w:type="dxa"/>
            <w:vAlign w:val="bottom"/>
            <w:gridSpan w:val="2"/>
            <w:vMerge w:val="restart"/>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230,262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6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80,668</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364,970</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123,207</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allocation to restricted stock awards</w:t>
            </w:r>
          </w:p>
        </w:tc>
        <w:tc>
          <w:tcPr>
            <w:tcW w:w="4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140"/>
              <w:spacing w:after="0"/>
              <w:rPr>
                <w:sz w:val="20"/>
                <w:szCs w:val="20"/>
                <w:color w:val="auto"/>
              </w:rPr>
            </w:pPr>
            <w:r>
              <w:rPr>
                <w:rFonts w:ascii="Arial" w:cs="Arial" w:eastAsia="Arial" w:hAnsi="Arial"/>
                <w:sz w:val="15"/>
                <w:szCs w:val="15"/>
                <w:color w:val="auto"/>
              </w:rPr>
              <w:t>Add: allocation to common and preferred OP units dilutive effect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5,641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8,269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3"/>
        </w:trPr>
        <w:tc>
          <w:tcPr>
            <w:tcW w:w="5140" w:type="dxa"/>
            <w:vAlign w:val="bottom"/>
            <w:tcBorders>
              <w:top w:val="single" w:sz="8" w:color="CCEEFF"/>
            </w:tcBorders>
            <w:shd w:val="clear" w:color="auto" w:fill="CCEEFF"/>
          </w:tcPr>
          <w:p>
            <w:pPr>
              <w:ind w:left="140"/>
              <w:spacing w:after="0" w:line="133" w:lineRule="exact"/>
              <w:rPr>
                <w:sz w:val="20"/>
                <w:szCs w:val="20"/>
                <w:color w:val="auto"/>
              </w:rPr>
            </w:pPr>
            <w:r>
              <w:rPr>
                <w:rFonts w:ascii="Arial" w:cs="Arial" w:eastAsia="Arial" w:hAnsi="Arial"/>
                <w:sz w:val="15"/>
                <w:szCs w:val="15"/>
                <w:color w:val="auto"/>
              </w:rPr>
              <w:t>Diluted earnings - Net Income attributable to common stockholders after</w:t>
            </w:r>
          </w:p>
        </w:tc>
        <w:tc>
          <w:tcPr>
            <w:tcW w:w="440" w:type="dxa"/>
            <w:vAlign w:val="bottom"/>
            <w:tcBorders>
              <w:top w:val="single" w:sz="8" w:color="auto"/>
            </w:tcBorders>
            <w:gridSpan w:val="2"/>
            <w:vMerge w:val="restart"/>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235,903</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gridSpan w:val="2"/>
            <w:vMerge w:val="restart"/>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80,668</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gridSpan w:val="2"/>
            <w:vMerge w:val="restart"/>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373,239</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123,207</w:t>
            </w:r>
          </w:p>
        </w:tc>
        <w:tc>
          <w:tcPr>
            <w:tcW w:w="0" w:type="dxa"/>
            <w:vAlign w:val="bottom"/>
          </w:tcPr>
          <w:p>
            <w:pPr>
              <w:spacing w:after="0"/>
              <w:rPr>
                <w:sz w:val="1"/>
                <w:szCs w:val="1"/>
                <w:color w:val="auto"/>
              </w:rPr>
            </w:pPr>
          </w:p>
        </w:tc>
      </w:tr>
      <w:tr>
        <w:trPr>
          <w:trHeight w:val="195"/>
        </w:trPr>
        <w:tc>
          <w:tcPr>
            <w:tcW w:w="5140" w:type="dxa"/>
            <w:vAlign w:val="bottom"/>
            <w:tcBorders>
              <w:bottom w:val="single" w:sz="8" w:color="CCEEFF"/>
            </w:tcBorders>
            <w:shd w:val="clear" w:color="auto" w:fill="CCEEFF"/>
          </w:tcPr>
          <w:p>
            <w:pPr>
              <w:ind w:left="140"/>
              <w:spacing w:after="0" w:line="175" w:lineRule="exact"/>
              <w:rPr>
                <w:sz w:val="20"/>
                <w:szCs w:val="20"/>
                <w:color w:val="auto"/>
              </w:rPr>
            </w:pPr>
            <w:r>
              <w:rPr>
                <w:rFonts w:ascii="Arial" w:cs="Arial" w:eastAsia="Arial" w:hAnsi="Arial"/>
                <w:sz w:val="15"/>
                <w:szCs w:val="15"/>
                <w:color w:val="auto"/>
              </w:rPr>
              <w:t>allocation to common and preferred OP units</w:t>
            </w:r>
            <w:r>
              <w:rPr>
                <w:rFonts w:ascii="Arial" w:cs="Arial" w:eastAsia="Arial" w:hAnsi="Arial"/>
                <w:sz w:val="19"/>
                <w:szCs w:val="19"/>
                <w:color w:val="auto"/>
                <w:vertAlign w:val="superscript"/>
              </w:rPr>
              <w:t>(1)</w:t>
            </w:r>
          </w:p>
        </w:tc>
        <w:tc>
          <w:tcPr>
            <w:tcW w:w="440" w:type="dxa"/>
            <w:vAlign w:val="bottom"/>
            <w:tcBorders>
              <w:bottom w:val="single" w:sz="8" w:color="auto"/>
            </w:tcBorders>
            <w:gridSpan w:val="2"/>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gridSpan w:val="2"/>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gridSpan w:val="2"/>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Denominator</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5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Weighted average common shares outstanding</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115,136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97,542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111,717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95,270</w:t>
            </w:r>
          </w:p>
        </w:tc>
        <w:tc>
          <w:tcPr>
            <w:tcW w:w="0" w:type="dxa"/>
            <w:vAlign w:val="bottom"/>
          </w:tcPr>
          <w:p>
            <w:pPr>
              <w:spacing w:after="0"/>
              <w:rPr>
                <w:sz w:val="1"/>
                <w:szCs w:val="1"/>
                <w:color w:val="auto"/>
              </w:rPr>
            </w:pPr>
          </w:p>
        </w:tc>
      </w:tr>
      <w:tr>
        <w:trPr>
          <w:trHeight w:val="198"/>
        </w:trPr>
        <w:tc>
          <w:tcPr>
            <w:tcW w:w="5140" w:type="dxa"/>
            <w:vAlign w:val="bottom"/>
          </w:tcPr>
          <w:p>
            <w:pPr>
              <w:ind w:left="140"/>
              <w:spacing w:after="0"/>
              <w:rPr>
                <w:sz w:val="20"/>
                <w:szCs w:val="20"/>
                <w:color w:val="auto"/>
              </w:rPr>
            </w:pPr>
            <w:r>
              <w:rPr>
                <w:rFonts w:ascii="Arial" w:cs="Arial" w:eastAsia="Arial" w:hAnsi="Arial"/>
                <w:sz w:val="15"/>
                <w:szCs w:val="15"/>
                <w:color w:val="auto"/>
              </w:rPr>
              <w:t>Add: common shares dilutive effect: Forward Equity Offering</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 dilutive stock options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5140" w:type="dxa"/>
            <w:vAlign w:val="bottom"/>
          </w:tcPr>
          <w:p>
            <w:pPr>
              <w:ind w:left="140"/>
              <w:spacing w:after="0"/>
              <w:rPr>
                <w:sz w:val="20"/>
                <w:szCs w:val="20"/>
                <w:color w:val="auto"/>
              </w:rPr>
            </w:pPr>
            <w:r>
              <w:rPr>
                <w:rFonts w:ascii="Arial" w:cs="Arial" w:eastAsia="Arial" w:hAnsi="Arial"/>
                <w:sz w:val="15"/>
                <w:szCs w:val="15"/>
                <w:color w:val="auto"/>
              </w:rPr>
              <w:t>Add: common and preferred OP units dilutive effect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2,574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5140" w:type="dxa"/>
            <w:vAlign w:val="bottom"/>
            <w:tcBorders>
              <w:top w:val="single" w:sz="8" w:color="CCEEFF"/>
              <w:bottom w:val="single" w:sz="8" w:color="CCEEFF"/>
            </w:tcBorders>
            <w:shd w:val="clear" w:color="auto" w:fill="CCEEFF"/>
          </w:tcPr>
          <w:p>
            <w:pPr>
              <w:ind w:left="140"/>
              <w:spacing w:after="0" w:line="200" w:lineRule="exact"/>
              <w:rPr>
                <w:sz w:val="20"/>
                <w:szCs w:val="20"/>
                <w:color w:val="auto"/>
              </w:rPr>
            </w:pPr>
            <w:r>
              <w:rPr>
                <w:rFonts w:ascii="Arial" w:cs="Arial" w:eastAsia="Arial" w:hAnsi="Arial"/>
                <w:sz w:val="15"/>
                <w:szCs w:val="15"/>
                <w:color w:val="auto"/>
              </w:rPr>
              <w:t>Diluted weighted average common shares and securities</w:t>
            </w:r>
            <w:r>
              <w:rPr>
                <w:rFonts w:ascii="Arial" w:cs="Arial" w:eastAsia="Arial" w:hAnsi="Arial"/>
                <w:sz w:val="19"/>
                <w:szCs w:val="19"/>
                <w:color w:val="auto"/>
                <w:vertAlign w:val="superscript"/>
              </w:rPr>
              <w:t>(1)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118,072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97,549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114,291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95,273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w w:val="99"/>
              </w:rPr>
              <w:t>Earnings Per Share Available to Common Stockholders After Allocation</w:t>
            </w: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 earnings per share</w:t>
            </w:r>
          </w:p>
        </w:tc>
        <w:tc>
          <w:tcPr>
            <w:tcW w:w="440" w:type="dxa"/>
            <w:vAlign w:val="bottom"/>
            <w:gridSpan w:val="2"/>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584"/>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6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259"/>
        </w:trPr>
        <w:tc>
          <w:tcPr>
            <w:tcW w:w="5140" w:type="dxa"/>
            <w:vAlign w:val="bottom"/>
          </w:tcPr>
          <w:p>
            <w:pPr>
              <w:ind w:left="140"/>
              <w:spacing w:after="0"/>
              <w:rPr>
                <w:sz w:val="20"/>
                <w:szCs w:val="20"/>
                <w:color w:val="auto"/>
              </w:rPr>
            </w:pPr>
            <w:r>
              <w:rPr>
                <w:rFonts w:ascii="Arial" w:cs="Arial" w:eastAsia="Arial" w:hAnsi="Arial"/>
                <w:sz w:val="15"/>
                <w:szCs w:val="15"/>
                <w:color w:val="auto"/>
              </w:rPr>
              <w:t>Diluted earnings per share</w:t>
            </w:r>
            <w:r>
              <w:rPr>
                <w:rFonts w:ascii="Arial" w:cs="Arial" w:eastAsia="Arial" w:hAnsi="Arial"/>
                <w:sz w:val="19"/>
                <w:szCs w:val="19"/>
                <w:color w:val="auto"/>
                <w:vertAlign w:val="superscript"/>
              </w:rPr>
              <w:t>(1)</w:t>
            </w:r>
          </w:p>
        </w:tc>
        <w:tc>
          <w:tcPr>
            <w:tcW w:w="440" w:type="dxa"/>
            <w:vAlign w:val="bottom"/>
            <w:gridSpan w:val="2"/>
          </w:tcPr>
          <w:p>
            <w:pPr>
              <w:jc w:val="right"/>
              <w:ind w:right="26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584"/>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0.83</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gridSpan w:val="2"/>
          </w:tcPr>
          <w:p>
            <w:pPr>
              <w:jc w:val="right"/>
              <w:ind w:right="26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3.27</w:t>
            </w:r>
          </w:p>
        </w:tc>
        <w:tc>
          <w:tcPr>
            <w:tcW w:w="100" w:type="dxa"/>
            <w:vAlign w:val="bottom"/>
          </w:tcPr>
          <w:p>
            <w:pPr>
              <w:spacing w:after="0"/>
              <w:rPr>
                <w:sz w:val="22"/>
                <w:szCs w:val="22"/>
                <w:color w:val="auto"/>
              </w:rPr>
            </w:pPr>
          </w:p>
        </w:tc>
        <w:tc>
          <w:tcPr>
            <w:tcW w:w="740" w:type="dxa"/>
            <w:vAlign w:val="bottom"/>
          </w:tcPr>
          <w:p>
            <w:pPr>
              <w:jc w:val="right"/>
              <w:ind w:right="56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hanging="172"/>
        <w:spacing w:after="0" w:line="239" w:lineRule="auto"/>
        <w:tabs>
          <w:tab w:leader="none" w:pos="150" w:val="left"/>
        </w:tabs>
        <w:numPr>
          <w:ilvl w:val="0"/>
          <w:numId w:val="29"/>
        </w:numPr>
        <w:rPr>
          <w:rFonts w:ascii="Arial" w:cs="Arial" w:eastAsia="Arial" w:hAnsi="Arial"/>
          <w:sz w:val="17"/>
          <w:szCs w:val="17"/>
          <w:color w:val="auto"/>
          <w:vertAlign w:val="superscript"/>
        </w:rPr>
      </w:pPr>
      <w:r>
        <w:rPr>
          <w:rFonts w:ascii="Arial" w:cs="Arial" w:eastAsia="Arial" w:hAnsi="Arial"/>
          <w:sz w:val="13"/>
          <w:szCs w:val="13"/>
          <w:color w:val="auto"/>
        </w:rPr>
        <w:t>For the three and nine months ended September 30, 2021 and 2020, diluted earnings per share was calculated using the two-class method as the application of this method resulted in a more dilutive earnings per share for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excluded certain convertible securities from the computation of diluted earnings per share because the inclusion of those securities would have been anti-dilutive for the periods presented. The following table presents the outstanding securities that were excluded from the computation of diluted earnings per share as of September 30, 2021 and 2020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60" w:type="dxa"/>
            <w:vAlign w:val="bottom"/>
          </w:tcPr>
          <w:p>
            <w:pPr>
              <w:spacing w:after="0"/>
              <w:rPr>
                <w:sz w:val="17"/>
                <w:szCs w:val="17"/>
                <w:color w:val="auto"/>
              </w:rPr>
            </w:pPr>
          </w:p>
        </w:tc>
        <w:tc>
          <w:tcPr>
            <w:tcW w:w="3180" w:type="dxa"/>
            <w:vAlign w:val="bottom"/>
            <w:tcBorders>
              <w:bottom w:val="single" w:sz="8" w:color="auto"/>
            </w:tcBorders>
            <w:gridSpan w:val="3"/>
          </w:tcPr>
          <w:p>
            <w:pPr>
              <w:jc w:val="right"/>
              <w:ind w:right="864"/>
              <w:spacing w:after="0"/>
              <w:rPr>
                <w:sz w:val="20"/>
                <w:szCs w:val="20"/>
                <w:color w:val="auto"/>
              </w:rPr>
            </w:pPr>
            <w:r>
              <w:rPr>
                <w:rFonts w:ascii="Arial" w:cs="Arial" w:eastAsia="Arial" w:hAnsi="Arial"/>
                <w:sz w:val="15"/>
                <w:szCs w:val="15"/>
                <w:b w:val="1"/>
                <w:bCs w:val="1"/>
                <w:color w:val="auto"/>
              </w:rPr>
              <w:t>Nine Months Ended</w:t>
            </w:r>
          </w:p>
        </w:tc>
      </w:tr>
      <w:tr>
        <w:trPr>
          <w:trHeight w:val="198"/>
        </w:trPr>
        <w:tc>
          <w:tcPr>
            <w:tcW w:w="80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95"/>
              </w:rPr>
              <w:t>September 30, 2021</w:t>
            </w:r>
          </w:p>
        </w:tc>
        <w:tc>
          <w:tcPr>
            <w:tcW w:w="2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7"/>
              </w:rPr>
              <w:t>September 30, 2020</w:t>
            </w:r>
          </w:p>
        </w:tc>
      </w:tr>
      <w:tr>
        <w:trPr>
          <w:trHeight w:val="198"/>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2,473</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A-1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275</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299</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A-3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Aspen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1,284</w:t>
            </w:r>
          </w:p>
        </w:tc>
        <w:tc>
          <w:tcPr>
            <w:tcW w:w="260" w:type="dxa"/>
            <w:vAlign w:val="bottom"/>
          </w:tcPr>
          <w:p>
            <w:pPr>
              <w:jc w:val="right"/>
              <w:ind w:right="90"/>
              <w:spacing w:after="0"/>
              <w:rPr>
                <w:sz w:val="20"/>
                <w:szCs w:val="20"/>
                <w:color w:val="auto"/>
              </w:rPr>
            </w:pPr>
            <w:r>
              <w:rPr>
                <w:rFonts w:ascii="Arial" w:cs="Arial" w:eastAsia="Arial" w:hAnsi="Arial"/>
                <w:sz w:val="10"/>
                <w:szCs w:val="10"/>
                <w:color w:val="auto"/>
                <w:w w:val="81"/>
              </w:rPr>
              <w:t>(1)</w:t>
            </w:r>
          </w:p>
        </w:tc>
        <w:tc>
          <w:tcPr>
            <w:tcW w:w="1460" w:type="dxa"/>
            <w:vAlign w:val="bottom"/>
          </w:tcPr>
          <w:p>
            <w:pPr>
              <w:jc w:val="right"/>
              <w:spacing w:after="0"/>
              <w:rPr>
                <w:sz w:val="20"/>
                <w:szCs w:val="20"/>
                <w:color w:val="auto"/>
              </w:rPr>
            </w:pPr>
            <w:r>
              <w:rPr>
                <w:rFonts w:ascii="Arial" w:cs="Arial" w:eastAsia="Arial" w:hAnsi="Arial"/>
                <w:sz w:val="15"/>
                <w:szCs w:val="15"/>
                <w:color w:val="auto"/>
              </w:rPr>
              <w:t>1,284</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306</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Series D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489</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489</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E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Series F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90</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G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241</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Series H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581</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I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922</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Series J preferred OP units</w:t>
            </w: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240</w:t>
            </w:r>
          </w:p>
        </w:tc>
        <w:tc>
          <w:tcPr>
            <w:tcW w:w="2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b w:val="1"/>
                <w:bCs w:val="1"/>
                <w:color w:val="auto"/>
              </w:rPr>
              <w:t>Total Securities</w:t>
            </w: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4,558</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line="217" w:lineRule="auto"/>
        <w:tabs>
          <w:tab w:leader="none" w:pos="165"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2021, Aspen preferred OP units were included in the computation of diluted earnings per share because the inclusion of those securities was dilutive for the period.</w:t>
      </w:r>
    </w:p>
    <w:p>
      <w:pPr>
        <w:spacing w:after="0" w:line="22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instruments consist primarily of cash, cash equivalents and restricted cash, marketable securities, notes and other receivables, debt, and other liabilities. We utilize fair value measurements to record fair value adjustments to certain assets and liabilities and to determine fair value disclosures, pursuant to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The following methods and assumptions were used in order to estimate the fair value of each class of financial instruments for which it is practicable to estimate that value:</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 This hierarchy requires the use of observable market data when available. These two types of inputs have created the following fair value hierarchy: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unadjusted prices for identical instruments in active markets that we have the ability to access;</w:t>
      </w:r>
    </w:p>
    <w:p>
      <w:pPr>
        <w:spacing w:after="0" w:line="25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spacing w:after="0" w:line="19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derived from valuation techniques in which one or more significant inputs or significant value drivers are unobservable. The unobservable inputs reflect our assumptions about the assumptions that market participants would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by Hierarchy Level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below sets forth our financial assets and liabilities (in thousands) that required disclosure of fair value on a recurring basis as of September 30, 2021. The table presents the carrying values and fair values of our financial instruments as of September 30, 2021 and December 31, 2020, that were measured using the valuation techniques described above. The table excludes other financial instruments such as other receivables and accounts payable as the carrying values associated with these instruments approximate their fair value since their maturities are less than one year. These are classified as Level 1 in the hierarchy.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5"/>
                <w:szCs w:val="15"/>
                <w:b w:val="1"/>
                <w:bCs w:val="1"/>
                <w:color w:val="auto"/>
                <w:w w:val="91"/>
              </w:rPr>
              <w:t>September 30, 2021</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44"/>
              <w:spacing w:after="0" w:line="146" w:lineRule="exact"/>
              <w:rPr>
                <w:sz w:val="20"/>
                <w:szCs w:val="20"/>
                <w:color w:val="auto"/>
              </w:rPr>
            </w:pPr>
            <w:r>
              <w:rPr>
                <w:rFonts w:ascii="Arial" w:cs="Arial" w:eastAsia="Arial" w:hAnsi="Arial"/>
                <w:sz w:val="15"/>
                <w:szCs w:val="15"/>
                <w:b w:val="1"/>
                <w:bCs w:val="1"/>
                <w:color w:val="auto"/>
                <w:w w:val="92"/>
              </w:rPr>
              <w:t>Quoted Prices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5"/>
                <w:szCs w:val="15"/>
                <w:b w:val="1"/>
                <w:bCs w:val="1"/>
                <w:color w:val="auto"/>
                <w:w w:val="91"/>
              </w:rPr>
              <w:t>Significant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64"/>
              <w:spacing w:after="0" w:line="149" w:lineRule="exact"/>
              <w:rPr>
                <w:sz w:val="20"/>
                <w:szCs w:val="20"/>
                <w:color w:val="auto"/>
              </w:rPr>
            </w:pPr>
            <w:r>
              <w:rPr>
                <w:rFonts w:ascii="Arial" w:cs="Arial" w:eastAsia="Arial" w:hAnsi="Arial"/>
                <w:sz w:val="15"/>
                <w:szCs w:val="15"/>
                <w:b w:val="1"/>
                <w:bCs w:val="1"/>
                <w:color w:val="auto"/>
                <w:w w:val="95"/>
              </w:rPr>
              <w:t>Active Markets for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restart"/>
          </w:tcPr>
          <w:p>
            <w:pPr>
              <w:jc w:val="center"/>
              <w:ind w:right="120"/>
              <w:spacing w:after="0"/>
              <w:rPr>
                <w:sz w:val="20"/>
                <w:szCs w:val="20"/>
                <w:color w:val="auto"/>
              </w:rPr>
            </w:pPr>
            <w:r>
              <w:rPr>
                <w:rFonts w:ascii="Arial" w:cs="Arial" w:eastAsia="Arial" w:hAnsi="Arial"/>
                <w:sz w:val="15"/>
                <w:szCs w:val="15"/>
                <w:b w:val="1"/>
                <w:bCs w:val="1"/>
                <w:color w:val="auto"/>
                <w:w w:val="92"/>
              </w:rPr>
              <w:t>Significant 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9"/>
              </w:rPr>
              <w:t>Identical Assets and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240"/>
              <w:spacing w:after="0" w:line="149" w:lineRule="exact"/>
              <w:rPr>
                <w:sz w:val="20"/>
                <w:szCs w:val="20"/>
                <w:color w:val="auto"/>
              </w:rPr>
            </w:pPr>
            <w:r>
              <w:rPr>
                <w:rFonts w:ascii="Arial" w:cs="Arial" w:eastAsia="Arial" w:hAnsi="Arial"/>
                <w:sz w:val="15"/>
                <w:szCs w:val="15"/>
                <w:b w:val="1"/>
                <w:bCs w:val="1"/>
                <w:color w:val="auto"/>
                <w:w w:val="90"/>
              </w:rPr>
              <w:t>Unobservable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Financial Assets</w:t>
            </w:r>
          </w:p>
        </w:tc>
        <w:tc>
          <w:tcPr>
            <w:tcW w:w="11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8"/>
              </w:rPr>
              <w:t>Carrying Value</w:t>
            </w:r>
          </w:p>
        </w:tc>
        <w:tc>
          <w:tcPr>
            <w:tcW w:w="10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ind w:right="364"/>
              <w:spacing w:after="0" w:line="149" w:lineRule="exact"/>
              <w:rPr>
                <w:sz w:val="20"/>
                <w:szCs w:val="20"/>
                <w:color w:val="auto"/>
              </w:rPr>
            </w:pPr>
            <w:r>
              <w:rPr>
                <w:rFonts w:ascii="Arial" w:cs="Arial" w:eastAsia="Arial" w:hAnsi="Arial"/>
                <w:sz w:val="15"/>
                <w:szCs w:val="15"/>
                <w:b w:val="1"/>
                <w:bCs w:val="1"/>
                <w:color w:val="auto"/>
              </w:rPr>
              <w:t>Liabilities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ind w:left="20"/>
              <w:spacing w:after="0" w:line="149" w:lineRule="exact"/>
              <w:rPr>
                <w:sz w:val="20"/>
                <w:szCs w:val="20"/>
                <w:color w:val="auto"/>
              </w:rPr>
            </w:pPr>
            <w:r>
              <w:rPr>
                <w:rFonts w:ascii="Arial" w:cs="Arial" w:eastAsia="Arial" w:hAnsi="Arial"/>
                <w:sz w:val="15"/>
                <w:szCs w:val="15"/>
                <w:b w:val="1"/>
                <w:bCs w:val="1"/>
                <w:color w:val="auto"/>
              </w:rPr>
              <w:t>Observable 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5"/>
                <w:szCs w:val="15"/>
                <w:b w:val="1"/>
                <w:bCs w:val="1"/>
                <w:color w:val="auto"/>
                <w:w w:val="93"/>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5"/>
              </w:rPr>
              <w:t>(Level 1)</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1"/>
              </w:rPr>
              <w:t>(Level 2)</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5"/>
              </w:rPr>
              <w:t>(Level 3)</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cash equivalents and restricted cash</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85,619</w:t>
            </w: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85,619</w:t>
            </w:r>
          </w:p>
        </w:tc>
        <w:tc>
          <w:tcPr>
            <w:tcW w:w="0" w:type="dxa"/>
            <w:vAlign w:val="bottom"/>
          </w:tcPr>
          <w:p>
            <w:pPr>
              <w:spacing w:after="0"/>
              <w:rPr>
                <w:sz w:val="1"/>
                <w:szCs w:val="1"/>
                <w:color w:val="auto"/>
              </w:rPr>
            </w:pPr>
          </w:p>
        </w:tc>
      </w:tr>
      <w:tr>
        <w:trPr>
          <w:trHeight w:val="198"/>
        </w:trPr>
        <w:tc>
          <w:tcPr>
            <w:tcW w:w="4440" w:type="dxa"/>
            <w:vAlign w:val="bottom"/>
          </w:tcPr>
          <w:p>
            <w:pPr>
              <w:ind w:left="140"/>
              <w:spacing w:after="0"/>
              <w:rPr>
                <w:sz w:val="20"/>
                <w:szCs w:val="20"/>
                <w:color w:val="auto"/>
              </w:rPr>
            </w:pPr>
            <w:r>
              <w:rPr>
                <w:rFonts w:ascii="Arial" w:cs="Arial" w:eastAsia="Arial" w:hAnsi="Arial"/>
                <w:sz w:val="15"/>
                <w:szCs w:val="15"/>
                <w:color w:val="auto"/>
              </w:rPr>
              <w:t>Marketable securities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160,321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160,321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160,321</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Installment notes receivable on manufactured homes, net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81,001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81,001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81,001</w:t>
            </w: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Notes receivable from real estate developers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64,593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64,593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64,593</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 measured at fair value</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391,534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245,940</w:t>
            </w: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145,594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391,534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Financial Liabilities</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tcPr>
          <w:p>
            <w:pPr>
              <w:ind w:left="140"/>
              <w:spacing w:after="0"/>
              <w:rPr>
                <w:sz w:val="20"/>
                <w:szCs w:val="20"/>
                <w:color w:val="auto"/>
              </w:rPr>
            </w:pPr>
            <w:r>
              <w:rPr>
                <w:rFonts w:ascii="Arial" w:cs="Arial" w:eastAsia="Arial" w:hAnsi="Arial"/>
                <w:sz w:val="15"/>
                <w:szCs w:val="15"/>
                <w:color w:val="auto"/>
              </w:rPr>
              <w:t>Secured debt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3,403,436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tcPr>
          <w:p>
            <w:pPr>
              <w:ind w:left="140"/>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3,403,436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3,434,376</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Unsecured debt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tcPr>
          <w:p>
            <w:pPr>
              <w:ind w:left="260"/>
              <w:spacing w:after="0"/>
              <w:rPr>
                <w:sz w:val="20"/>
                <w:szCs w:val="20"/>
                <w:color w:val="auto"/>
              </w:rPr>
            </w:pPr>
            <w:r>
              <w:rPr>
                <w:rFonts w:ascii="Arial" w:cs="Arial" w:eastAsia="Arial" w:hAnsi="Arial"/>
                <w:sz w:val="15"/>
                <w:szCs w:val="15"/>
                <w:color w:val="auto"/>
              </w:rPr>
              <w:t>Senior unsecured notes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591,252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591,252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606,352</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Line of credit and other unsecured debt</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694,749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694,749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694,749</w:t>
            </w:r>
          </w:p>
        </w:tc>
        <w:tc>
          <w:tcPr>
            <w:tcW w:w="0" w:type="dxa"/>
            <w:vAlign w:val="bottom"/>
          </w:tcPr>
          <w:p>
            <w:pPr>
              <w:spacing w:after="0"/>
              <w:rPr>
                <w:sz w:val="1"/>
                <w:szCs w:val="1"/>
                <w:color w:val="auto"/>
              </w:rPr>
            </w:pPr>
          </w:p>
        </w:tc>
      </w:tr>
      <w:tr>
        <w:trPr>
          <w:trHeight w:val="192"/>
        </w:trPr>
        <w:tc>
          <w:tcPr>
            <w:tcW w:w="4440" w:type="dxa"/>
            <w:vAlign w:val="bottom"/>
          </w:tcPr>
          <w:p>
            <w:pPr>
              <w:ind w:left="360"/>
              <w:spacing w:after="0"/>
              <w:rPr>
                <w:sz w:val="20"/>
                <w:szCs w:val="20"/>
                <w:color w:val="auto"/>
              </w:rPr>
            </w:pPr>
            <w:r>
              <w:rPr>
                <w:rFonts w:ascii="Arial" w:cs="Arial" w:eastAsia="Arial" w:hAnsi="Arial"/>
                <w:sz w:val="15"/>
                <w:szCs w:val="15"/>
                <w:color w:val="auto"/>
              </w:rPr>
              <w:t>Total unsecured debt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1,286,001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1,286,001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1,301,101</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financial liabilities (contingent consideration)</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38,970</w:t>
            </w:r>
          </w:p>
        </w:tc>
        <w:tc>
          <w:tcPr>
            <w:tcW w:w="0" w:type="dxa"/>
            <w:vAlign w:val="bottom"/>
          </w:tcPr>
          <w:p>
            <w:pPr>
              <w:spacing w:after="0"/>
              <w:rPr>
                <w:sz w:val="1"/>
                <w:szCs w:val="1"/>
                <w:color w:val="auto"/>
              </w:rPr>
            </w:pPr>
          </w:p>
        </w:tc>
      </w:tr>
      <w:tr>
        <w:trPr>
          <w:trHeight w:val="200"/>
        </w:trPr>
        <w:tc>
          <w:tcPr>
            <w:tcW w:w="4440" w:type="dxa"/>
            <w:vAlign w:val="bottom"/>
          </w:tcPr>
          <w:p>
            <w:pPr>
              <w:ind w:left="140"/>
              <w:spacing w:after="0"/>
              <w:rPr>
                <w:sz w:val="20"/>
                <w:szCs w:val="20"/>
                <w:color w:val="auto"/>
              </w:rPr>
            </w:pPr>
            <w:r>
              <w:rPr>
                <w:rFonts w:ascii="Arial" w:cs="Arial" w:eastAsia="Arial" w:hAnsi="Arial"/>
                <w:sz w:val="15"/>
                <w:szCs w:val="15"/>
                <w:b w:val="1"/>
                <w:bCs w:val="1"/>
                <w:color w:val="auto"/>
              </w:rPr>
              <w:t>Total liabilities measured at fair value</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4,728,407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tcPr>
          <w:p>
            <w:pPr>
              <w:ind w:left="140"/>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4,689,437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38,970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4,774,447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6"/>
        </w:trPr>
        <w:tc>
          <w:tcPr>
            <w:tcW w:w="4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5"/>
                <w:szCs w:val="15"/>
                <w:b w:val="1"/>
                <w:bCs w:val="1"/>
                <w:color w:val="auto"/>
                <w:w w:val="91"/>
              </w:rPr>
              <w:t>December 31, 2020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0"/>
              </w:rPr>
              <w:t>Quoted Prices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5"/>
                <w:szCs w:val="15"/>
                <w:b w:val="1"/>
                <w:bCs w:val="1"/>
                <w:color w:val="auto"/>
                <w:w w:val="91"/>
              </w:rPr>
              <w:t>Significant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5"/>
              </w:rPr>
              <w:t>Active Markets for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94"/>
              </w:rPr>
              <w:t>Significant 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4"/>
              <w:spacing w:after="0" w:line="149" w:lineRule="exact"/>
              <w:rPr>
                <w:sz w:val="20"/>
                <w:szCs w:val="20"/>
                <w:color w:val="auto"/>
              </w:rPr>
            </w:pPr>
            <w:r>
              <w:rPr>
                <w:rFonts w:ascii="Arial" w:cs="Arial" w:eastAsia="Arial" w:hAnsi="Arial"/>
                <w:sz w:val="15"/>
                <w:szCs w:val="15"/>
                <w:b w:val="1"/>
                <w:bCs w:val="1"/>
                <w:color w:val="auto"/>
                <w:w w:val="89"/>
              </w:rPr>
              <w:t>Identical Assets and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5"/>
                <w:szCs w:val="15"/>
                <w:b w:val="1"/>
                <w:bCs w:val="1"/>
                <w:color w:val="auto"/>
                <w:w w:val="90"/>
              </w:rPr>
              <w:t>Unobservable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Financial Assets</w:t>
            </w:r>
          </w:p>
        </w:tc>
        <w:tc>
          <w:tcPr>
            <w:tcW w:w="114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w w:val="98"/>
              </w:rPr>
              <w:t>Carrying Value</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44"/>
              <w:spacing w:after="0" w:line="149" w:lineRule="exact"/>
              <w:rPr>
                <w:sz w:val="20"/>
                <w:szCs w:val="20"/>
                <w:color w:val="auto"/>
              </w:rPr>
            </w:pPr>
            <w:r>
              <w:rPr>
                <w:rFonts w:ascii="Arial" w:cs="Arial" w:eastAsia="Arial" w:hAnsi="Arial"/>
                <w:sz w:val="15"/>
                <w:szCs w:val="15"/>
                <w:b w:val="1"/>
                <w:bCs w:val="1"/>
                <w:color w:val="auto"/>
                <w:w w:val="95"/>
              </w:rPr>
              <w:t>Liabilities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right="100"/>
              <w:spacing w:after="0" w:line="149" w:lineRule="exact"/>
              <w:rPr>
                <w:sz w:val="20"/>
                <w:szCs w:val="20"/>
                <w:color w:val="auto"/>
              </w:rPr>
            </w:pPr>
            <w:r>
              <w:rPr>
                <w:rFonts w:ascii="Arial" w:cs="Arial" w:eastAsia="Arial" w:hAnsi="Arial"/>
                <w:sz w:val="15"/>
                <w:szCs w:val="15"/>
                <w:b w:val="1"/>
                <w:bCs w:val="1"/>
                <w:color w:val="auto"/>
                <w:w w:val="93"/>
              </w:rPr>
              <w:t>Observable 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240"/>
              <w:spacing w:after="0" w:line="149" w:lineRule="exact"/>
              <w:rPr>
                <w:sz w:val="20"/>
                <w:szCs w:val="20"/>
                <w:color w:val="auto"/>
              </w:rPr>
            </w:pPr>
            <w:r>
              <w:rPr>
                <w:rFonts w:ascii="Arial" w:cs="Arial" w:eastAsia="Arial" w:hAnsi="Arial"/>
                <w:sz w:val="15"/>
                <w:szCs w:val="15"/>
                <w:b w:val="1"/>
                <w:bCs w:val="1"/>
                <w:color w:val="auto"/>
                <w:w w:val="93"/>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vMerge w:val="continue"/>
          </w:tcPr>
          <w:p>
            <w:pPr>
              <w:spacing w:after="0"/>
              <w:rPr>
                <w:sz w:val="17"/>
                <w:szCs w:val="17"/>
                <w:color w:val="auto"/>
              </w:rPr>
            </w:pPr>
          </w:p>
        </w:tc>
        <w:tc>
          <w:tcPr>
            <w:tcW w:w="114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b w:val="1"/>
                <w:bCs w:val="1"/>
                <w:color w:val="auto"/>
                <w:w w:val="95"/>
              </w:rPr>
              <w:t>(Level 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5"/>
                <w:szCs w:val="15"/>
                <w:b w:val="1"/>
                <w:bCs w:val="1"/>
                <w:color w:val="auto"/>
                <w:w w:val="95"/>
              </w:rPr>
              <w:t>(Level 2)</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95"/>
              </w:rPr>
              <w:t>(Level 3)</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cash equivalents and restricted cash</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92,641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92,641</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92,641</w:t>
            </w:r>
          </w:p>
        </w:tc>
        <w:tc>
          <w:tcPr>
            <w:tcW w:w="0" w:type="dxa"/>
            <w:vAlign w:val="bottom"/>
          </w:tcPr>
          <w:p>
            <w:pPr>
              <w:spacing w:after="0"/>
              <w:rPr>
                <w:sz w:val="1"/>
                <w:szCs w:val="1"/>
                <w:color w:val="auto"/>
              </w:rPr>
            </w:pPr>
          </w:p>
        </w:tc>
      </w:tr>
      <w:tr>
        <w:trPr>
          <w:trHeight w:val="198"/>
        </w:trPr>
        <w:tc>
          <w:tcPr>
            <w:tcW w:w="4440" w:type="dxa"/>
            <w:vAlign w:val="bottom"/>
          </w:tcPr>
          <w:p>
            <w:pPr>
              <w:ind w:left="140"/>
              <w:spacing w:after="0"/>
              <w:rPr>
                <w:sz w:val="20"/>
                <w:szCs w:val="20"/>
                <w:color w:val="auto"/>
              </w:rPr>
            </w:pPr>
            <w:r>
              <w:rPr>
                <w:rFonts w:ascii="Arial" w:cs="Arial" w:eastAsia="Arial" w:hAnsi="Arial"/>
                <w:sz w:val="15"/>
                <w:szCs w:val="15"/>
                <w:color w:val="auto"/>
              </w:rPr>
              <w:t>Marketable securities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124,726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124,726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124,726</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Installment notes receivable on manufactured homes, net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85,866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85,866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85,866</w:t>
            </w: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Notes receivable from real estate developers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52,638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52,638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52,638</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 measured at fair value</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355,871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217,367</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138,504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355,871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Financial Liabilities</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tcPr>
          <w:p>
            <w:pPr>
              <w:ind w:left="140"/>
              <w:spacing w:after="0"/>
              <w:rPr>
                <w:sz w:val="20"/>
                <w:szCs w:val="20"/>
                <w:color w:val="auto"/>
              </w:rPr>
            </w:pPr>
            <w:r>
              <w:rPr>
                <w:rFonts w:ascii="Arial" w:cs="Arial" w:eastAsia="Arial" w:hAnsi="Arial"/>
                <w:sz w:val="15"/>
                <w:szCs w:val="15"/>
                <w:color w:val="auto"/>
              </w:rPr>
              <w:t>Secured debt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3,489,983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tcPr>
          <w:p>
            <w:pPr>
              <w:ind w:left="16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3,489,983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3,588,901</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Unsecured debt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Line of credit and other unsecured debt</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1,267,093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1,267,093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1,267,093</w:t>
            </w:r>
          </w:p>
        </w:tc>
        <w:tc>
          <w:tcPr>
            <w:tcW w:w="0" w:type="dxa"/>
            <w:vAlign w:val="bottom"/>
          </w:tcPr>
          <w:p>
            <w:pPr>
              <w:spacing w:after="0"/>
              <w:rPr>
                <w:sz w:val="1"/>
                <w:szCs w:val="1"/>
                <w:color w:val="auto"/>
              </w:rPr>
            </w:pPr>
          </w:p>
        </w:tc>
      </w:tr>
      <w:tr>
        <w:trPr>
          <w:trHeight w:val="200"/>
        </w:trPr>
        <w:tc>
          <w:tcPr>
            <w:tcW w:w="44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unsecured debt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1,267,093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1,267,093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1,267,093</w:t>
            </w: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financial liabilities (contingent consideration)</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15,842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15,842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15,842</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 measured at fair value</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4,772,918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4,757,076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4,871,836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cash equivalents and restricted cash approximate their fair market values due to the short-term nature of the instrument. These are classified as Level 1 in the hierarchy.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Marketable securities held by us and accounted for under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are measured at fair value. Any change in fair value is recognized in the Consolidated Statement of Operations in Remeasurement of marketable securities in accordance with ASU 2016-01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Overall (Subtopic 825-10): Recognition and measurement of financial assets and financial liabilities</w:t>
      </w:r>
      <w:r>
        <w:rPr>
          <w:rFonts w:ascii="Arial" w:cs="Arial" w:eastAsia="Arial" w:hAnsi="Arial"/>
          <w:sz w:val="18"/>
          <w:szCs w:val="18"/>
          <w:color w:val="auto"/>
        </w:rPr>
        <w:t>." The fair value is measured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quoted unadjusted share price which is readily available in active markets (Level 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marketable securities balance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Nine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2020</w:t>
            </w:r>
          </w:p>
        </w:tc>
      </w:tr>
      <w:tr>
        <w:trPr>
          <w:trHeight w:val="200"/>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124,725</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94,727</w:t>
            </w:r>
          </w:p>
        </w:tc>
      </w:tr>
      <w:tr>
        <w:trPr>
          <w:trHeight w:val="198"/>
        </w:trPr>
        <w:tc>
          <w:tcPr>
            <w:tcW w:w="7280" w:type="dxa"/>
            <w:vAlign w:val="bottom"/>
          </w:tcPr>
          <w:p>
            <w:pPr>
              <w:ind w:left="220"/>
              <w:spacing w:after="0"/>
              <w:rPr>
                <w:sz w:val="20"/>
                <w:szCs w:val="20"/>
                <w:color w:val="auto"/>
              </w:rPr>
            </w:pPr>
            <w:r>
              <w:rPr>
                <w:rFonts w:ascii="Arial" w:cs="Arial" w:eastAsia="Arial" w:hAnsi="Arial"/>
                <w:sz w:val="15"/>
                <w:szCs w:val="15"/>
                <w:color w:val="auto"/>
              </w:rPr>
              <w:t>Additional purchases</w:t>
            </w:r>
          </w:p>
        </w:tc>
        <w:tc>
          <w:tcPr>
            <w:tcW w:w="200" w:type="dxa"/>
            <w:vAlign w:val="bottom"/>
          </w:tcPr>
          <w:p>
            <w:pPr>
              <w:spacing w:after="0"/>
              <w:rPr>
                <w:sz w:val="17"/>
                <w:szCs w:val="17"/>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11,757</w:t>
            </w:r>
          </w:p>
        </w:tc>
      </w:tr>
      <w:tr>
        <w:trPr>
          <w:trHeight w:val="207"/>
        </w:trPr>
        <w:tc>
          <w:tcPr>
            <w:tcW w:w="7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fair value measurement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43,202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6,132</w:t>
            </w:r>
          </w:p>
        </w:tc>
      </w:tr>
      <w:tr>
        <w:trPr>
          <w:trHeight w:val="199"/>
        </w:trPr>
        <w:tc>
          <w:tcPr>
            <w:tcW w:w="728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(10,052)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10,138</w:t>
            </w:r>
          </w:p>
        </w:tc>
      </w:tr>
      <w:tr>
        <w:trPr>
          <w:trHeight w:val="203"/>
        </w:trPr>
        <w:tc>
          <w:tcPr>
            <w:tcW w:w="7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 reinvestment, net of tax</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2,446</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1,971</w:t>
            </w:r>
          </w:p>
        </w:tc>
      </w:tr>
      <w:tr>
        <w:trPr>
          <w:trHeight w:val="200"/>
        </w:trPr>
        <w:tc>
          <w:tcPr>
            <w:tcW w:w="7280" w:type="dxa"/>
            <w:vAlign w:val="bottom"/>
          </w:tcPr>
          <w:p>
            <w:pPr>
              <w:ind w:left="20"/>
              <w:spacing w:after="0"/>
              <w:rPr>
                <w:sz w:val="20"/>
                <w:szCs w:val="20"/>
                <w:color w:val="auto"/>
              </w:rPr>
            </w:pPr>
            <w:r>
              <w:rPr>
                <w:rFonts w:ascii="Arial" w:cs="Arial" w:eastAsia="Arial" w:hAnsi="Arial"/>
                <w:sz w:val="15"/>
                <w:szCs w:val="15"/>
                <w:b w:val="1"/>
                <w:bCs w:val="1"/>
                <w:color w:val="auto"/>
              </w:rPr>
              <w:t>Ending Balance</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160,321</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124,725</w:t>
            </w: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Installment notes receivable on manufactured homes are recorded at fair value and are measured using model-derived indicative pricing using primarily unobservable inputs, inclusive of default rates, interest rates and recovery rates (Level 3). Refer to Note 4, "Notes and Other Receivables,"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receivable from real estate developers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by underlying collateral and / or personal guarantees. Refer to Note 4, "Notes and Other Receivables,"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Debt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Secured debt consists primarily of our mortgage term loans. The fair value of mortgage term loans is based on the estimates of management and on rates currently quoted, rates currently prevailing for comparable loans and instruments of comparable maturities (Level 2). Refer to Note 8, "Debt and Line of Credit,"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Debt</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Senior unsecured notes - the fair value of senior unsecured notes is based on the estimates of management and on rates currently quoted, rates currently prevailing for comparable loans and instruments of comparable maturities (Level 2). Refer to Note 8, "Debt and Line of Credit," for additional information.</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Line of credit and other unsecured debt - consists primarily of our New Credit Facility. We have variable rates on our New Credit Facility. The fair value of the debt with variable rates approximates carrying value as the interest rates of these amounts approximate market rates. The estimated fair value of our indebtedness as of September 30, 2021 approximated its gross carrying value.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Liabilities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estimate the fair value of our contingent consideration liability based on valuation models using significant unobservable inputs that generally consider discounting of future cash flows using market interest rates and adjusting for non-performance risk over the remaining term of the liability (Level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Reconciliation, Measurements and Transfers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assessment resulted in a net transfer into Level 3 of $138.5 million related to installment notes receivable on manufactured homes and notes from real estate developers during the nine months ended September 30, 2021.</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Inputs that are used to derive the fair value for installment notes receivables on manufactured homes and notes receivable from real estate developers transferred to Level 3 from Level 2 during the quarter ended March 31, 2021 as significant inputs used to value those instruments inclusive of default rates, interest rates, recovery rates, and counterparty performance rely heavily on internally sourced assumptions as opposed to observable market-based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changes to our financial instruments carried at fair value and classified within Level 3 of the fair value hierarchy for the three and nine months ended September 30,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94"/>
              </w:rPr>
              <w:t>Three Months Ended</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7"/>
        </w:trPr>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5"/>
                <w:szCs w:val="15"/>
                <w:b w:val="1"/>
                <w:bCs w:val="1"/>
                <w:color w:val="auto"/>
                <w:w w:val="91"/>
              </w:rPr>
              <w:t>September 30, 2021</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146"/>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140"/>
              <w:spacing w:after="0" w:line="146" w:lineRule="exact"/>
              <w:rPr>
                <w:sz w:val="20"/>
                <w:szCs w:val="20"/>
                <w:color w:val="auto"/>
              </w:rPr>
            </w:pPr>
            <w:r>
              <w:rPr>
                <w:rFonts w:ascii="Arial" w:cs="Arial" w:eastAsia="Arial" w:hAnsi="Arial"/>
                <w:sz w:val="15"/>
                <w:szCs w:val="15"/>
                <w:b w:val="1"/>
                <w:bCs w:val="1"/>
                <w:color w:val="auto"/>
                <w:w w:val="91"/>
              </w:rPr>
              <w:t>Installment Notes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jc w:val="center"/>
              <w:ind w:right="200"/>
              <w:spacing w:after="0" w:line="146" w:lineRule="exact"/>
              <w:rPr>
                <w:sz w:val="20"/>
                <w:szCs w:val="20"/>
                <w:color w:val="auto"/>
              </w:rPr>
            </w:pPr>
            <w:r>
              <w:rPr>
                <w:rFonts w:ascii="Arial" w:cs="Arial" w:eastAsia="Arial" w:hAnsi="Arial"/>
                <w:sz w:val="15"/>
                <w:szCs w:val="15"/>
                <w:b w:val="1"/>
                <w:bCs w:val="1"/>
                <w:color w:val="auto"/>
                <w:w w:val="90"/>
              </w:rPr>
              <w:t>Notes Receivable From</w:t>
            </w:r>
          </w:p>
        </w:tc>
        <w:tc>
          <w:tcPr>
            <w:tcW w:w="240" w:type="dxa"/>
            <w:vAlign w:val="bottom"/>
          </w:tcPr>
          <w:p>
            <w:pPr>
              <w:spacing w:after="0"/>
              <w:rPr>
                <w:sz w:val="12"/>
                <w:szCs w:val="12"/>
                <w:color w:val="auto"/>
              </w:rPr>
            </w:pPr>
          </w:p>
        </w:tc>
        <w:tc>
          <w:tcPr>
            <w:tcW w:w="1620" w:type="dxa"/>
            <w:vAlign w:val="bottom"/>
          </w:tcPr>
          <w:p>
            <w:pPr>
              <w:jc w:val="right"/>
              <w:ind w:right="304"/>
              <w:spacing w:after="0" w:line="146" w:lineRule="exact"/>
              <w:rPr>
                <w:sz w:val="20"/>
                <w:szCs w:val="20"/>
                <w:color w:val="auto"/>
              </w:rPr>
            </w:pPr>
            <w:r>
              <w:rPr>
                <w:rFonts w:ascii="Arial" w:cs="Arial" w:eastAsia="Arial" w:hAnsi="Arial"/>
                <w:sz w:val="15"/>
                <w:szCs w:val="15"/>
                <w:b w:val="1"/>
                <w:bCs w:val="1"/>
                <w:color w:val="auto"/>
              </w:rPr>
              <w:t>Other Liabilities</w:t>
            </w:r>
          </w:p>
        </w:tc>
      </w:tr>
      <w:tr>
        <w:trPr>
          <w:trHeight w:val="200"/>
        </w:trPr>
        <w:tc>
          <w:tcPr>
            <w:tcW w:w="5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92"/>
              </w:rPr>
              <w:t>Receivable on MH, net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90"/>
              </w:rPr>
              <w:t>Real Estate Developers</w:t>
            </w:r>
          </w:p>
        </w:tc>
        <w:tc>
          <w:tcPr>
            <w:tcW w:w="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2"/>
              </w:rPr>
              <w:t>(Contingent Consideration)</w:t>
            </w:r>
          </w:p>
        </w:tc>
      </w:tr>
      <w:tr>
        <w:trPr>
          <w:trHeight w:val="198"/>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3 beginning balance at June 30, 2021</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82,506</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61,955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18,101</w:t>
            </w:r>
          </w:p>
        </w:tc>
      </w:tr>
      <w:tr>
        <w:trPr>
          <w:trHeight w:val="198"/>
        </w:trPr>
        <w:tc>
          <w:tcPr>
            <w:tcW w:w="5460" w:type="dxa"/>
            <w:vAlign w:val="bottom"/>
          </w:tcPr>
          <w:p>
            <w:pPr>
              <w:ind w:left="20"/>
              <w:spacing w:after="0"/>
              <w:rPr>
                <w:sz w:val="20"/>
                <w:szCs w:val="20"/>
                <w:color w:val="auto"/>
              </w:rPr>
            </w:pPr>
            <w:r>
              <w:rPr>
                <w:rFonts w:ascii="Arial" w:cs="Arial" w:eastAsia="Arial" w:hAnsi="Arial"/>
                <w:sz w:val="15"/>
                <w:szCs w:val="15"/>
                <w:color w:val="auto"/>
              </w:rPr>
              <w:t>Transfer to level 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Transfer out of level 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5460" w:type="dxa"/>
            <w:vAlign w:val="bottom"/>
          </w:tcPr>
          <w:p>
            <w:pPr>
              <w:ind w:left="20"/>
              <w:spacing w:after="0"/>
              <w:rPr>
                <w:sz w:val="20"/>
                <w:szCs w:val="20"/>
                <w:color w:val="auto"/>
              </w:rPr>
            </w:pPr>
            <w:r>
              <w:rPr>
                <w:rFonts w:ascii="Arial" w:cs="Arial" w:eastAsia="Arial" w:hAnsi="Arial"/>
                <w:sz w:val="15"/>
                <w:szCs w:val="15"/>
                <w:color w:val="auto"/>
              </w:rPr>
              <w:t>Net gain / loss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9,196</w:t>
            </w:r>
          </w:p>
        </w:tc>
      </w:tr>
      <w:tr>
        <w:trPr>
          <w:trHeight w:val="207"/>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and issuances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11,893</w:t>
            </w:r>
          </w:p>
        </w:tc>
      </w:tr>
      <w:tr>
        <w:trPr>
          <w:trHeight w:val="198"/>
        </w:trPr>
        <w:tc>
          <w:tcPr>
            <w:tcW w:w="5460" w:type="dxa"/>
            <w:vAlign w:val="bottom"/>
          </w:tcPr>
          <w:p>
            <w:pPr>
              <w:ind w:left="20"/>
              <w:spacing w:after="0"/>
              <w:rPr>
                <w:sz w:val="20"/>
                <w:szCs w:val="20"/>
                <w:color w:val="auto"/>
              </w:rPr>
            </w:pPr>
            <w:r>
              <w:rPr>
                <w:rFonts w:ascii="Arial" w:cs="Arial" w:eastAsia="Arial" w:hAnsi="Arial"/>
                <w:sz w:val="15"/>
                <w:szCs w:val="15"/>
                <w:color w:val="auto"/>
              </w:rPr>
              <w:t>Sales and settlements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5"/>
                <w:szCs w:val="15"/>
                <w:color w:val="auto"/>
              </w:rPr>
              <w:t>(3,405)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5"/>
                <w:szCs w:val="15"/>
                <w:color w:val="auto"/>
              </w:rPr>
              <w:t>(542)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Dispositions of properties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(1,918)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adjustments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(203)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w:t>
            </w:r>
          </w:p>
        </w:tc>
      </w:tr>
      <w:tr>
        <w:trPr>
          <w:trHeight w:val="220"/>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3 ending balance at September 30, 2021</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81,001</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38,970</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533"/>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2"/>
              </w:rPr>
              <w:t>Nine Months Ended</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6"/>
        </w:trPr>
        <w:tc>
          <w:tcPr>
            <w:tcW w:w="54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5"/>
                <w:szCs w:val="15"/>
                <w:b w:val="1"/>
                <w:bCs w:val="1"/>
                <w:color w:val="auto"/>
                <w:w w:val="91"/>
              </w:rPr>
              <w:t>September 30, 2021</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146"/>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ind w:left="200"/>
              <w:spacing w:after="0" w:line="146" w:lineRule="exact"/>
              <w:rPr>
                <w:sz w:val="20"/>
                <w:szCs w:val="20"/>
                <w:color w:val="auto"/>
              </w:rPr>
            </w:pPr>
            <w:r>
              <w:rPr>
                <w:rFonts w:ascii="Arial" w:cs="Arial" w:eastAsia="Arial" w:hAnsi="Arial"/>
                <w:sz w:val="15"/>
                <w:szCs w:val="15"/>
                <w:b w:val="1"/>
                <w:bCs w:val="1"/>
                <w:color w:val="auto"/>
              </w:rPr>
              <w:t>Installment Notes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ind w:left="20"/>
              <w:spacing w:after="0" w:line="146" w:lineRule="exact"/>
              <w:rPr>
                <w:sz w:val="20"/>
                <w:szCs w:val="20"/>
                <w:color w:val="auto"/>
              </w:rPr>
            </w:pPr>
            <w:r>
              <w:rPr>
                <w:rFonts w:ascii="Arial" w:cs="Arial" w:eastAsia="Arial" w:hAnsi="Arial"/>
                <w:sz w:val="15"/>
                <w:szCs w:val="15"/>
                <w:b w:val="1"/>
                <w:bCs w:val="1"/>
                <w:color w:val="auto"/>
              </w:rPr>
              <w:t>Notes Receivable From</w:t>
            </w:r>
          </w:p>
        </w:tc>
        <w:tc>
          <w:tcPr>
            <w:tcW w:w="240" w:type="dxa"/>
            <w:vAlign w:val="bottom"/>
          </w:tcPr>
          <w:p>
            <w:pPr>
              <w:spacing w:after="0"/>
              <w:rPr>
                <w:sz w:val="12"/>
                <w:szCs w:val="12"/>
                <w:color w:val="auto"/>
              </w:rPr>
            </w:pPr>
          </w:p>
        </w:tc>
        <w:tc>
          <w:tcPr>
            <w:tcW w:w="1620" w:type="dxa"/>
            <w:vAlign w:val="bottom"/>
          </w:tcPr>
          <w:p>
            <w:pPr>
              <w:jc w:val="right"/>
              <w:ind w:right="304"/>
              <w:spacing w:after="0" w:line="146" w:lineRule="exact"/>
              <w:rPr>
                <w:sz w:val="20"/>
                <w:szCs w:val="20"/>
                <w:color w:val="auto"/>
              </w:rPr>
            </w:pPr>
            <w:r>
              <w:rPr>
                <w:rFonts w:ascii="Arial" w:cs="Arial" w:eastAsia="Arial" w:hAnsi="Arial"/>
                <w:sz w:val="15"/>
                <w:szCs w:val="15"/>
                <w:b w:val="1"/>
                <w:bCs w:val="1"/>
                <w:color w:val="auto"/>
              </w:rPr>
              <w:t>Other Liabilities</w:t>
            </w:r>
          </w:p>
        </w:tc>
      </w:tr>
      <w:tr>
        <w:trPr>
          <w:trHeight w:val="200"/>
        </w:trPr>
        <w:tc>
          <w:tcPr>
            <w:tcW w:w="54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4"/>
              </w:rPr>
              <w:t>Receivable on MH, net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98"/>
              </w:rPr>
              <w:t>Real Estate Developers</w:t>
            </w:r>
          </w:p>
        </w:tc>
        <w:tc>
          <w:tcPr>
            <w:tcW w:w="120" w:type="dxa"/>
            <w:vAlign w:val="bottom"/>
            <w:tcBorders>
              <w:bottom w:val="single" w:sz="8" w:color="CCEEFF"/>
            </w:tcBorders>
            <w:gridSpan w:val="2"/>
          </w:tcPr>
          <w:p>
            <w:pPr>
              <w:spacing w:after="0"/>
              <w:rPr>
                <w:sz w:val="17"/>
                <w:szCs w:val="17"/>
                <w:color w:val="auto"/>
              </w:rPr>
            </w:pPr>
          </w:p>
        </w:tc>
        <w:tc>
          <w:tcPr>
            <w:tcW w:w="18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2"/>
              </w:rPr>
              <w:t>(Contingent Consideration)</w:t>
            </w:r>
          </w:p>
        </w:tc>
      </w:tr>
      <w:tr>
        <w:trPr>
          <w:trHeight w:val="198"/>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3 beginning balance at December 31, 2020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15,842</w:t>
            </w:r>
          </w:p>
        </w:tc>
      </w:tr>
      <w:tr>
        <w:trPr>
          <w:trHeight w:val="198"/>
        </w:trPr>
        <w:tc>
          <w:tcPr>
            <w:tcW w:w="5460" w:type="dxa"/>
            <w:vAlign w:val="bottom"/>
          </w:tcPr>
          <w:p>
            <w:pPr>
              <w:ind w:left="20"/>
              <w:spacing w:after="0"/>
              <w:rPr>
                <w:sz w:val="20"/>
                <w:szCs w:val="20"/>
                <w:color w:val="auto"/>
              </w:rPr>
            </w:pPr>
            <w:r>
              <w:rPr>
                <w:rFonts w:ascii="Arial" w:cs="Arial" w:eastAsia="Arial" w:hAnsi="Arial"/>
                <w:sz w:val="15"/>
                <w:szCs w:val="15"/>
                <w:color w:val="auto"/>
              </w:rPr>
              <w:t>Transfer to level 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85,866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52,638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Transfer out of level 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5460" w:type="dxa"/>
            <w:vAlign w:val="bottom"/>
          </w:tcPr>
          <w:p>
            <w:pPr>
              <w:ind w:left="20"/>
              <w:spacing w:after="0"/>
              <w:rPr>
                <w:sz w:val="20"/>
                <w:szCs w:val="20"/>
                <w:color w:val="auto"/>
              </w:rPr>
            </w:pPr>
            <w:r>
              <w:rPr>
                <w:rFonts w:ascii="Arial" w:cs="Arial" w:eastAsia="Arial" w:hAnsi="Arial"/>
                <w:sz w:val="15"/>
                <w:szCs w:val="15"/>
                <w:color w:val="auto"/>
              </w:rPr>
              <w:t>Net gain / loss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560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9,339</w:t>
            </w:r>
          </w:p>
        </w:tc>
      </w:tr>
      <w:tr>
        <w:trPr>
          <w:trHeight w:val="207"/>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and issuances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14,523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15,332</w:t>
            </w:r>
          </w:p>
        </w:tc>
      </w:tr>
      <w:tr>
        <w:trPr>
          <w:trHeight w:val="198"/>
        </w:trPr>
        <w:tc>
          <w:tcPr>
            <w:tcW w:w="5460" w:type="dxa"/>
            <w:vAlign w:val="bottom"/>
          </w:tcPr>
          <w:p>
            <w:pPr>
              <w:ind w:left="20"/>
              <w:spacing w:after="0"/>
              <w:rPr>
                <w:sz w:val="20"/>
                <w:szCs w:val="20"/>
                <w:color w:val="auto"/>
              </w:rPr>
            </w:pPr>
            <w:r>
              <w:rPr>
                <w:rFonts w:ascii="Arial" w:cs="Arial" w:eastAsia="Arial" w:hAnsi="Arial"/>
                <w:sz w:val="15"/>
                <w:szCs w:val="15"/>
                <w:color w:val="auto"/>
              </w:rPr>
              <w:t>Sales and settlements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(11,209)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(1,135)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Dispositions of properties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adjustments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(1,433)</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(1,543)</w:t>
            </w:r>
          </w:p>
        </w:tc>
      </w:tr>
      <w:tr>
        <w:trPr>
          <w:trHeight w:val="220"/>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3 ending balance at September 30, 2021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81,001</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38,970</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judgement is required in interpreting market data to develop fair value estimates. The fair value estimates are based on information available as of September 30, 2021. As such, our estimates of fair value could differ significantly from the actual carrying value.</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3"/>
          <w:szCs w:val="13"/>
          <w:b w:val="1"/>
          <w:bCs w:val="1"/>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lease land under non-cancelable operating leases at certain MH, RV and marina properties expiring at various dates through 2085. The majority of the leases have terms requiring fixed payments plus additional rents based on a percentage of revenues at those properties. We also have other operating leases, primarily office space and equipment expiring at various dates through 2026.</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non-cancellable leases as of the nine months ended September 30, 2021 where we are the lessee include: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Maturity of Lease Liabilities (in thousands)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96"/>
              </w:rPr>
              <w:t>Operating Leases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Finance Leases</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Total</w:t>
            </w:r>
          </w:p>
        </w:tc>
      </w:tr>
      <w:tr>
        <w:trPr>
          <w:trHeight w:val="20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2021 (Excluding nine months ended September 30, 2021)</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2,507</w:t>
            </w:r>
          </w:p>
        </w:tc>
      </w:tr>
      <w:tr>
        <w:trPr>
          <w:trHeight w:val="198"/>
        </w:trPr>
        <w:tc>
          <w:tcPr>
            <w:tcW w:w="5740" w:type="dxa"/>
            <w:vAlign w:val="bottom"/>
          </w:tcPr>
          <w:p>
            <w:pPr>
              <w:ind w:left="20"/>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9,057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9,280</w:t>
            </w:r>
          </w:p>
        </w:tc>
      </w:tr>
      <w:tr>
        <w:trPr>
          <w:trHeight w:val="207"/>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9,201</w:t>
            </w:r>
          </w:p>
        </w:tc>
      </w:tr>
      <w:tr>
        <w:trPr>
          <w:trHeight w:val="198"/>
        </w:trPr>
        <w:tc>
          <w:tcPr>
            <w:tcW w:w="5740" w:type="dxa"/>
            <w:vAlign w:val="bottom"/>
          </w:tcPr>
          <w:p>
            <w:pPr>
              <w:ind w:left="20"/>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9,347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4,070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13,417</w:t>
            </w:r>
          </w:p>
        </w:tc>
      </w:tr>
      <w:tr>
        <w:trPr>
          <w:trHeight w:val="207"/>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9,320</w:t>
            </w:r>
          </w:p>
        </w:tc>
      </w:tr>
      <w:tr>
        <w:trPr>
          <w:trHeight w:val="198"/>
        </w:trPr>
        <w:tc>
          <w:tcPr>
            <w:tcW w:w="5840" w:type="dxa"/>
            <w:vAlign w:val="bottom"/>
            <w:gridSpan w:val="2"/>
          </w:tcPr>
          <w:p>
            <w:pPr>
              <w:ind w:left="20"/>
              <w:spacing w:after="0"/>
              <w:rPr>
                <w:sz w:val="20"/>
                <w:szCs w:val="20"/>
                <w:color w:val="auto"/>
              </w:rPr>
            </w:pPr>
            <w:r>
              <w:rPr>
                <w:rFonts w:ascii="Arial" w:cs="Arial" w:eastAsia="Arial" w:hAnsi="Arial"/>
                <w:sz w:val="15"/>
                <w:szCs w:val="15"/>
                <w:color w:val="auto"/>
              </w:rPr>
              <w:t>Thereafter</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179,497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179,497</w:t>
            </w:r>
          </w:p>
        </w:tc>
      </w:tr>
      <w:tr>
        <w:trPr>
          <w:trHeight w:val="200"/>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Lease Payments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218,605</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4,617</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223,222</w:t>
            </w:r>
          </w:p>
        </w:tc>
      </w:tr>
      <w:tr>
        <w:trPr>
          <w:trHeight w:val="199"/>
        </w:trPr>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Imputed interest</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(101,530)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(101,814)</w:t>
            </w:r>
          </w:p>
        </w:tc>
      </w:tr>
      <w:tr>
        <w:trPr>
          <w:trHeight w:val="225"/>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Present Value of Lease Liabilities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117,075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4,333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121,408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Right-of-use (ROU) assets and lease liabilities for finance and operating leases as included in our Consolidated Balance Sheets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gridSpan w:val="2"/>
            <w:vMerge w:val="restart"/>
          </w:tcPr>
          <w:p>
            <w:pPr>
              <w:ind w:left="2320"/>
              <w:spacing w:after="0"/>
              <w:rPr>
                <w:sz w:val="20"/>
                <w:szCs w:val="20"/>
                <w:color w:val="auto"/>
              </w:rPr>
            </w:pPr>
            <w:r>
              <w:rPr>
                <w:rFonts w:ascii="Arial" w:cs="Arial" w:eastAsia="Arial" w:hAnsi="Arial"/>
                <w:sz w:val="15"/>
                <w:szCs w:val="15"/>
                <w:b w:val="1"/>
                <w:bCs w:val="1"/>
                <w:color w:val="auto"/>
              </w:rPr>
              <w:t>Description</w:t>
            </w:r>
          </w:p>
        </w:tc>
        <w:tc>
          <w:tcPr>
            <w:tcW w:w="2180" w:type="dxa"/>
            <w:vAlign w:val="bottom"/>
            <w:gridSpan w:val="2"/>
          </w:tcPr>
          <w:p>
            <w:pPr>
              <w:ind w:left="380"/>
              <w:spacing w:after="0"/>
              <w:rPr>
                <w:sz w:val="20"/>
                <w:szCs w:val="20"/>
                <w:color w:val="auto"/>
              </w:rPr>
            </w:pPr>
            <w:r>
              <w:rPr>
                <w:rFonts w:ascii="Arial" w:cs="Arial" w:eastAsia="Arial" w:hAnsi="Arial"/>
                <w:sz w:val="15"/>
                <w:szCs w:val="15"/>
                <w:b w:val="1"/>
                <w:bCs w:val="1"/>
                <w:color w:val="auto"/>
              </w:rPr>
              <w:t>Financial Statement</w:t>
            </w:r>
          </w:p>
        </w:tc>
        <w:tc>
          <w:tcPr>
            <w:tcW w:w="160" w:type="dxa"/>
            <w:vAlign w:val="bottom"/>
          </w:tcPr>
          <w:p>
            <w:pPr>
              <w:spacing w:after="0"/>
              <w:rPr>
                <w:sz w:val="15"/>
                <w:szCs w:val="15"/>
                <w:color w:val="auto"/>
              </w:rPr>
            </w:pPr>
          </w:p>
        </w:tc>
        <w:tc>
          <w:tcPr>
            <w:tcW w:w="1680" w:type="dxa"/>
            <w:vAlign w:val="bottom"/>
            <w:gridSpan w:val="2"/>
          </w:tcPr>
          <w:p>
            <w:pPr>
              <w:ind w:left="520"/>
              <w:spacing w:after="0"/>
              <w:rPr>
                <w:sz w:val="20"/>
                <w:szCs w:val="20"/>
                <w:color w:val="auto"/>
              </w:rPr>
            </w:pPr>
            <w:r>
              <w:rPr>
                <w:rFonts w:ascii="Arial" w:cs="Arial" w:eastAsia="Arial" w:hAnsi="Arial"/>
                <w:sz w:val="15"/>
                <w:szCs w:val="15"/>
                <w:b w:val="1"/>
                <w:bCs w:val="1"/>
                <w:color w:val="auto"/>
              </w:rPr>
              <w:t>As of</w:t>
            </w:r>
          </w:p>
        </w:tc>
        <w:tc>
          <w:tcPr>
            <w:tcW w:w="160" w:type="dxa"/>
            <w:vAlign w:val="bottom"/>
          </w:tcPr>
          <w:p>
            <w:pPr>
              <w:spacing w:after="0"/>
              <w:rPr>
                <w:sz w:val="15"/>
                <w:szCs w:val="15"/>
                <w:color w:val="auto"/>
              </w:rPr>
            </w:pPr>
          </w:p>
        </w:tc>
        <w:tc>
          <w:tcPr>
            <w:tcW w:w="1560" w:type="dxa"/>
            <w:vAlign w:val="bottom"/>
          </w:tcPr>
          <w:p>
            <w:pPr>
              <w:jc w:val="right"/>
              <w:ind w:right="624"/>
              <w:spacing w:after="0"/>
              <w:rPr>
                <w:sz w:val="20"/>
                <w:szCs w:val="20"/>
                <w:color w:val="auto"/>
              </w:rPr>
            </w:pPr>
            <w:r>
              <w:rPr>
                <w:rFonts w:ascii="Arial" w:cs="Arial" w:eastAsia="Arial" w:hAnsi="Arial"/>
                <w:sz w:val="15"/>
                <w:szCs w:val="15"/>
                <w:b w:val="1"/>
                <w:bCs w:val="1"/>
                <w:color w:val="auto"/>
              </w:rPr>
              <w:t>As of</w:t>
            </w:r>
          </w:p>
        </w:tc>
        <w:tc>
          <w:tcPr>
            <w:tcW w:w="0" w:type="dxa"/>
            <w:vAlign w:val="bottom"/>
          </w:tcPr>
          <w:p>
            <w:pPr>
              <w:spacing w:after="0"/>
              <w:rPr>
                <w:sz w:val="1"/>
                <w:szCs w:val="1"/>
                <w:color w:val="auto"/>
              </w:rPr>
            </w:pPr>
          </w:p>
        </w:tc>
      </w:tr>
      <w:tr>
        <w:trPr>
          <w:trHeight w:val="200"/>
        </w:trPr>
        <w:tc>
          <w:tcPr>
            <w:tcW w:w="5500" w:type="dxa"/>
            <w:vAlign w:val="bottom"/>
            <w:gridSpan w:val="2"/>
            <w:vMerge w:val="continue"/>
          </w:tcPr>
          <w:p>
            <w:pPr>
              <w:spacing w:after="0"/>
              <w:rPr>
                <w:sz w:val="17"/>
                <w:szCs w:val="17"/>
                <w:color w:val="auto"/>
              </w:rPr>
            </w:pPr>
          </w:p>
        </w:tc>
        <w:tc>
          <w:tcPr>
            <w:tcW w:w="2180" w:type="dxa"/>
            <w:vAlign w:val="bottom"/>
            <w:gridSpan w:val="2"/>
          </w:tcPr>
          <w:p>
            <w:pPr>
              <w:ind w:left="600"/>
              <w:spacing w:after="0"/>
              <w:rPr>
                <w:sz w:val="20"/>
                <w:szCs w:val="20"/>
                <w:color w:val="auto"/>
              </w:rPr>
            </w:pPr>
            <w:r>
              <w:rPr>
                <w:rFonts w:ascii="Arial" w:cs="Arial" w:eastAsia="Arial" w:hAnsi="Arial"/>
                <w:sz w:val="15"/>
                <w:szCs w:val="15"/>
                <w:b w:val="1"/>
                <w:bCs w:val="1"/>
                <w:color w:val="auto"/>
              </w:rPr>
              <w:t>Classification</w:t>
            </w:r>
          </w:p>
        </w:tc>
        <w:tc>
          <w:tcPr>
            <w:tcW w:w="16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2021</w:t>
            </w:r>
          </w:p>
        </w:tc>
        <w:tc>
          <w:tcPr>
            <w:tcW w:w="160" w:type="dxa"/>
            <w:vAlign w:val="bottom"/>
          </w:tcPr>
          <w:p>
            <w:pPr>
              <w:spacing w:after="0"/>
              <w:rPr>
                <w:sz w:val="17"/>
                <w:szCs w:val="17"/>
                <w:color w:val="auto"/>
              </w:rPr>
            </w:pPr>
          </w:p>
        </w:tc>
        <w:tc>
          <w:tcPr>
            <w:tcW w:w="1560" w:type="dxa"/>
            <w:vAlign w:val="bottom"/>
          </w:tcPr>
          <w:p>
            <w:pPr>
              <w:jc w:val="right"/>
              <w:ind w:right="164"/>
              <w:spacing w:after="0"/>
              <w:rPr>
                <w:sz w:val="20"/>
                <w:szCs w:val="20"/>
                <w:color w:val="auto"/>
              </w:rPr>
            </w:pPr>
            <w:r>
              <w:rPr>
                <w:rFonts w:ascii="Arial" w:cs="Arial" w:eastAsia="Arial" w:hAnsi="Arial"/>
                <w:sz w:val="15"/>
                <w:szCs w:val="15"/>
                <w:b w:val="1"/>
                <w:bCs w:val="1"/>
                <w:color w:val="auto"/>
                <w:w w:val="96"/>
              </w:rPr>
              <w:t>December 31, 2020</w:t>
            </w:r>
          </w:p>
        </w:tc>
        <w:tc>
          <w:tcPr>
            <w:tcW w:w="0" w:type="dxa"/>
            <w:vAlign w:val="bottom"/>
          </w:tcPr>
          <w:p>
            <w:pPr>
              <w:spacing w:after="0"/>
              <w:rPr>
                <w:sz w:val="1"/>
                <w:szCs w:val="1"/>
                <w:color w:val="auto"/>
              </w:rPr>
            </w:pPr>
          </w:p>
        </w:tc>
      </w:tr>
      <w:tr>
        <w:trPr>
          <w:trHeight w:val="198"/>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Lease Assets</w:t>
            </w:r>
          </w:p>
        </w:tc>
        <w:tc>
          <w:tcPr>
            <w:tcW w:w="1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00" w:type="dxa"/>
            <w:vAlign w:val="bottom"/>
            <w:gridSpan w:val="2"/>
          </w:tcPr>
          <w:p>
            <w:pPr>
              <w:ind w:left="20"/>
              <w:spacing w:after="0"/>
              <w:rPr>
                <w:sz w:val="20"/>
                <w:szCs w:val="20"/>
                <w:color w:val="auto"/>
              </w:rPr>
            </w:pPr>
            <w:r>
              <w:rPr>
                <w:rFonts w:ascii="Arial" w:cs="Arial" w:eastAsia="Arial" w:hAnsi="Arial"/>
                <w:sz w:val="15"/>
                <w:szCs w:val="15"/>
                <w:color w:val="auto"/>
              </w:rPr>
              <w:t>ROU asset obtained in exchange for new finance lease liabilities</w:t>
            </w: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Investment property, net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4,452</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4,350</w:t>
            </w:r>
          </w:p>
        </w:tc>
        <w:tc>
          <w:tcPr>
            <w:tcW w:w="0" w:type="dxa"/>
            <w:vAlign w:val="bottom"/>
          </w:tcPr>
          <w:p>
            <w:pPr>
              <w:spacing w:after="0"/>
              <w:rPr>
                <w:sz w:val="1"/>
                <w:szCs w:val="1"/>
                <w:color w:val="auto"/>
              </w:rPr>
            </w:pPr>
          </w:p>
        </w:tc>
      </w:tr>
      <w:tr>
        <w:trPr>
          <w:trHeight w:val="20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ROU asset obtained in exchange for new operating lease liabilities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126,756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48,419</w:t>
            </w:r>
          </w:p>
        </w:tc>
        <w:tc>
          <w:tcPr>
            <w:tcW w:w="0" w:type="dxa"/>
            <w:vAlign w:val="bottom"/>
          </w:tcPr>
          <w:p>
            <w:pPr>
              <w:spacing w:after="0"/>
              <w:rPr>
                <w:sz w:val="1"/>
                <w:szCs w:val="1"/>
                <w:color w:val="auto"/>
              </w:rPr>
            </w:pPr>
          </w:p>
        </w:tc>
      </w:tr>
      <w:tr>
        <w:trPr>
          <w:trHeight w:val="198"/>
        </w:trPr>
        <w:tc>
          <w:tcPr>
            <w:tcW w:w="5500" w:type="dxa"/>
            <w:vAlign w:val="bottom"/>
            <w:gridSpan w:val="2"/>
          </w:tcPr>
          <w:p>
            <w:pPr>
              <w:ind w:left="20"/>
              <w:spacing w:after="0"/>
              <w:rPr>
                <w:sz w:val="20"/>
                <w:szCs w:val="20"/>
                <w:color w:val="auto"/>
              </w:rPr>
            </w:pPr>
            <w:r>
              <w:rPr>
                <w:rFonts w:ascii="Arial" w:cs="Arial" w:eastAsia="Arial" w:hAnsi="Arial"/>
                <w:sz w:val="15"/>
                <w:szCs w:val="15"/>
                <w:color w:val="auto"/>
              </w:rPr>
              <w:t>ROU asset obtained relative to below market operating lease</w:t>
            </w: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Other assets, net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72,249</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27,614</w:t>
            </w:r>
          </w:p>
        </w:tc>
        <w:tc>
          <w:tcPr>
            <w:tcW w:w="0" w:type="dxa"/>
            <w:vAlign w:val="bottom"/>
          </w:tcPr>
          <w:p>
            <w:pPr>
              <w:spacing w:after="0"/>
              <w:rPr>
                <w:sz w:val="1"/>
                <w:szCs w:val="1"/>
                <w:color w:val="auto"/>
              </w:rPr>
            </w:pPr>
          </w:p>
        </w:tc>
      </w:tr>
      <w:tr>
        <w:trPr>
          <w:trHeight w:val="20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Lease Liabilities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00" w:type="dxa"/>
            <w:vAlign w:val="bottom"/>
            <w:gridSpan w:val="2"/>
          </w:tcPr>
          <w:p>
            <w:pPr>
              <w:ind w:left="20"/>
              <w:spacing w:after="0"/>
              <w:rPr>
                <w:sz w:val="20"/>
                <w:szCs w:val="20"/>
                <w:color w:val="auto"/>
              </w:rPr>
            </w:pPr>
            <w:r>
              <w:rPr>
                <w:rFonts w:ascii="Arial" w:cs="Arial" w:eastAsia="Arial" w:hAnsi="Arial"/>
                <w:sz w:val="15"/>
                <w:szCs w:val="15"/>
                <w:color w:val="auto"/>
              </w:rPr>
              <w:t>Finance lease liabilities</w:t>
            </w: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4,333</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4,334</w:t>
            </w:r>
          </w:p>
        </w:tc>
        <w:tc>
          <w:tcPr>
            <w:tcW w:w="0" w:type="dxa"/>
            <w:vAlign w:val="bottom"/>
          </w:tcPr>
          <w:p>
            <w:pPr>
              <w:spacing w:after="0"/>
              <w:rPr>
                <w:sz w:val="1"/>
                <w:szCs w:val="1"/>
                <w:color w:val="auto"/>
              </w:rPr>
            </w:pPr>
          </w:p>
        </w:tc>
      </w:tr>
      <w:tr>
        <w:trPr>
          <w:trHeight w:val="20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Operating lease liabilities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117,075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49,964</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expense for finance and operating leases, and short term lease cost as included in our Consolidated Statements of Operations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5"/>
                <w:szCs w:val="15"/>
                <w:b w:val="1"/>
                <w:bCs w:val="1"/>
                <w:color w:val="auto"/>
              </w:rPr>
              <w:t>Three Months Ended</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Nine Months Ended</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80" w:type="dxa"/>
            <w:vAlign w:val="bottom"/>
            <w:vMerge w:val="restart"/>
          </w:tcPr>
          <w:p>
            <w:pPr>
              <w:ind w:left="1060"/>
              <w:spacing w:after="0"/>
              <w:rPr>
                <w:sz w:val="20"/>
                <w:szCs w:val="20"/>
                <w:color w:val="auto"/>
              </w:rPr>
            </w:pPr>
            <w:r>
              <w:rPr>
                <w:rFonts w:ascii="Arial" w:cs="Arial" w:eastAsia="Arial" w:hAnsi="Arial"/>
                <w:sz w:val="15"/>
                <w:szCs w:val="15"/>
                <w:b w:val="1"/>
                <w:bCs w:val="1"/>
                <w:color w:val="auto"/>
              </w:rPr>
              <w:t>Description</w:t>
            </w:r>
          </w:p>
        </w:tc>
        <w:tc>
          <w:tcPr>
            <w:tcW w:w="120" w:type="dxa"/>
            <w:vAlign w:val="bottom"/>
            <w:vMerge w:val="restart"/>
          </w:tcPr>
          <w:p>
            <w:pPr>
              <w:spacing w:after="0"/>
              <w:rPr>
                <w:sz w:val="11"/>
                <w:szCs w:val="11"/>
                <w:color w:val="auto"/>
              </w:rPr>
            </w:pPr>
          </w:p>
        </w:tc>
        <w:tc>
          <w:tcPr>
            <w:tcW w:w="2140" w:type="dxa"/>
            <w:vAlign w:val="bottom"/>
            <w:gridSpan w:val="2"/>
          </w:tcPr>
          <w:p>
            <w:pPr>
              <w:ind w:left="360"/>
              <w:spacing w:after="0" w:line="135" w:lineRule="exact"/>
              <w:rPr>
                <w:sz w:val="20"/>
                <w:szCs w:val="20"/>
                <w:color w:val="auto"/>
              </w:rPr>
            </w:pPr>
            <w:r>
              <w:rPr>
                <w:rFonts w:ascii="Arial" w:cs="Arial" w:eastAsia="Arial" w:hAnsi="Arial"/>
                <w:sz w:val="15"/>
                <w:szCs w:val="15"/>
                <w:b w:val="1"/>
                <w:bCs w:val="1"/>
                <w:color w:val="auto"/>
              </w:rPr>
              <w:t>Financial Statement</w:t>
            </w:r>
          </w:p>
        </w:tc>
        <w:tc>
          <w:tcPr>
            <w:tcW w:w="144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w w:val="95"/>
              </w:rPr>
              <w:t>September 30, 2021</w:t>
            </w:r>
          </w:p>
        </w:tc>
        <w:tc>
          <w:tcPr>
            <w:tcW w:w="120" w:type="dxa"/>
            <w:vAlign w:val="bottom"/>
            <w:vMerge w:val="restart"/>
          </w:tcPr>
          <w:p>
            <w:pPr>
              <w:spacing w:after="0"/>
              <w:rPr>
                <w:sz w:val="11"/>
                <w:szCs w:val="11"/>
                <w:color w:val="auto"/>
              </w:rPr>
            </w:pPr>
          </w:p>
        </w:tc>
        <w:tc>
          <w:tcPr>
            <w:tcW w:w="144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w w:val="95"/>
              </w:rPr>
              <w:t>September 30, 2020</w:t>
            </w:r>
          </w:p>
        </w:tc>
        <w:tc>
          <w:tcPr>
            <w:tcW w:w="100" w:type="dxa"/>
            <w:vAlign w:val="bottom"/>
            <w:vMerge w:val="restart"/>
          </w:tcPr>
          <w:p>
            <w:pPr>
              <w:spacing w:after="0"/>
              <w:rPr>
                <w:sz w:val="11"/>
                <w:szCs w:val="11"/>
                <w:color w:val="auto"/>
              </w:rPr>
            </w:pPr>
          </w:p>
        </w:tc>
        <w:tc>
          <w:tcPr>
            <w:tcW w:w="144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w w:val="95"/>
              </w:rPr>
              <w:t>September 30, 2021</w:t>
            </w:r>
          </w:p>
        </w:tc>
        <w:tc>
          <w:tcPr>
            <w:tcW w:w="120" w:type="dxa"/>
            <w:vAlign w:val="bottom"/>
            <w:vMerge w:val="restart"/>
          </w:tcPr>
          <w:p>
            <w:pPr>
              <w:spacing w:after="0"/>
              <w:rPr>
                <w:sz w:val="11"/>
                <w:szCs w:val="11"/>
                <w:color w:val="auto"/>
              </w:rPr>
            </w:pPr>
          </w:p>
        </w:tc>
        <w:tc>
          <w:tcPr>
            <w:tcW w:w="144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w w:val="95"/>
              </w:rPr>
              <w:t>September 30, 2020</w:t>
            </w:r>
          </w:p>
        </w:tc>
        <w:tc>
          <w:tcPr>
            <w:tcW w:w="0" w:type="dxa"/>
            <w:vAlign w:val="bottom"/>
          </w:tcPr>
          <w:p>
            <w:pPr>
              <w:spacing w:after="0"/>
              <w:rPr>
                <w:sz w:val="1"/>
                <w:szCs w:val="1"/>
                <w:color w:val="auto"/>
              </w:rPr>
            </w:pPr>
          </w:p>
        </w:tc>
      </w:tr>
      <w:tr>
        <w:trPr>
          <w:trHeight w:val="200"/>
        </w:trPr>
        <w:tc>
          <w:tcPr>
            <w:tcW w:w="2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20" w:type="dxa"/>
            <w:vAlign w:val="bottom"/>
            <w:tcBorders>
              <w:bottom w:val="single" w:sz="8" w:color="auto"/>
            </w:tcBorders>
          </w:tcPr>
          <w:p>
            <w:pPr>
              <w:ind w:left="560"/>
              <w:spacing w:after="0"/>
              <w:rPr>
                <w:sz w:val="20"/>
                <w:szCs w:val="20"/>
                <w:color w:val="auto"/>
              </w:rPr>
            </w:pPr>
            <w:r>
              <w:rPr>
                <w:rFonts w:ascii="Arial" w:cs="Arial" w:eastAsia="Arial" w:hAnsi="Arial"/>
                <w:sz w:val="15"/>
                <w:szCs w:val="15"/>
                <w:b w:val="1"/>
                <w:bCs w:val="1"/>
                <w:color w:val="auto"/>
              </w:rPr>
              <w:t>Classification</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Finance Lease Expense</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ind w:left="140"/>
              <w:spacing w:after="0"/>
              <w:rPr>
                <w:sz w:val="20"/>
                <w:szCs w:val="20"/>
                <w:color w:val="auto"/>
              </w:rPr>
            </w:pPr>
            <w:r>
              <w:rPr>
                <w:rFonts w:ascii="Arial" w:cs="Arial" w:eastAsia="Arial" w:hAnsi="Arial"/>
                <w:sz w:val="15"/>
                <w:szCs w:val="15"/>
                <w:color w:val="auto"/>
              </w:rPr>
              <w:t>Interest on lease liabilities</w:t>
            </w:r>
          </w:p>
        </w:tc>
        <w:tc>
          <w:tcPr>
            <w:tcW w:w="214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17"/>
                <w:szCs w:val="17"/>
                <w:color w:val="auto"/>
              </w:rPr>
            </w:pPr>
          </w:p>
        </w:tc>
        <w:tc>
          <w:tcPr>
            <w:tcW w:w="820" w:type="dxa"/>
            <w:vAlign w:val="bottom"/>
          </w:tcPr>
          <w:p>
            <w:pPr>
              <w:jc w:val="right"/>
              <w:ind w:right="66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79</w:t>
            </w:r>
          </w:p>
        </w:tc>
        <w:tc>
          <w:tcPr>
            <w:tcW w:w="120" w:type="dxa"/>
            <w:vAlign w:val="bottom"/>
          </w:tcPr>
          <w:p>
            <w:pPr>
              <w:spacing w:after="0"/>
              <w:rPr>
                <w:sz w:val="17"/>
                <w:szCs w:val="17"/>
                <w:color w:val="auto"/>
              </w:rPr>
            </w:pPr>
          </w:p>
        </w:tc>
        <w:tc>
          <w:tcPr>
            <w:tcW w:w="820" w:type="dxa"/>
            <w:vAlign w:val="bottom"/>
          </w:tcPr>
          <w:p>
            <w:pPr>
              <w:jc w:val="right"/>
              <w:ind w:right="64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General and administrative</w:t>
            </w: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Operating lease cost</w:t>
            </w:r>
          </w:p>
        </w:tc>
        <w:tc>
          <w:tcPr>
            <w:tcW w:w="21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w w:val="97"/>
              </w:rPr>
              <w:t>expense, Property operating and</w:t>
            </w:r>
          </w:p>
        </w:tc>
        <w:tc>
          <w:tcPr>
            <w:tcW w:w="4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2,771</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973</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7,223</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2,925</w:t>
            </w:r>
          </w:p>
        </w:tc>
        <w:tc>
          <w:tcPr>
            <w:tcW w:w="0" w:type="dxa"/>
            <w:vAlign w:val="bottom"/>
          </w:tcPr>
          <w:p>
            <w:pPr>
              <w:spacing w:after="0"/>
              <w:rPr>
                <w:sz w:val="1"/>
                <w:szCs w:val="1"/>
                <w:color w:val="auto"/>
              </w:rPr>
            </w:pPr>
          </w:p>
        </w:tc>
      </w:tr>
      <w:tr>
        <w:trPr>
          <w:trHeight w:val="202"/>
        </w:trPr>
        <w:tc>
          <w:tcPr>
            <w:tcW w:w="3000" w:type="dxa"/>
            <w:vAlign w:val="bottom"/>
            <w:gridSpan w:val="2"/>
            <w:vMerge w:val="continue"/>
            <w:shd w:val="clear" w:color="auto" w:fill="CCEEFF"/>
          </w:tcPr>
          <w:p>
            <w:pPr>
              <w:spacing w:after="0"/>
              <w:rPr>
                <w:sz w:val="17"/>
                <w:szCs w:val="17"/>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maintenance</w:t>
            </w:r>
          </w:p>
        </w:tc>
        <w:tc>
          <w:tcPr>
            <w:tcW w:w="4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ind w:left="20"/>
              <w:spacing w:after="0"/>
              <w:rPr>
                <w:sz w:val="20"/>
                <w:szCs w:val="20"/>
                <w:color w:val="auto"/>
              </w:rPr>
            </w:pPr>
            <w:r>
              <w:rPr>
                <w:rFonts w:ascii="Arial" w:cs="Arial" w:eastAsia="Arial" w:hAnsi="Arial"/>
                <w:sz w:val="15"/>
                <w:szCs w:val="15"/>
                <w:color w:val="auto"/>
              </w:rPr>
              <w:t>Variable lease cost</w:t>
            </w:r>
          </w:p>
        </w:tc>
        <w:tc>
          <w:tcPr>
            <w:tcW w:w="2140" w:type="dxa"/>
            <w:vAlign w:val="bottom"/>
            <w:gridSpan w:val="2"/>
          </w:tcPr>
          <w:p>
            <w:pPr>
              <w:spacing w:after="0" w:line="149" w:lineRule="exact"/>
              <w:rPr>
                <w:sz w:val="20"/>
                <w:szCs w:val="20"/>
                <w:color w:val="auto"/>
              </w:rPr>
            </w:pPr>
            <w:r>
              <w:rPr>
                <w:rFonts w:ascii="Arial" w:cs="Arial" w:eastAsia="Arial" w:hAnsi="Arial"/>
                <w:sz w:val="15"/>
                <w:szCs w:val="15"/>
                <w:color w:val="auto"/>
              </w:rPr>
              <w:t>Property operating and</w:t>
            </w:r>
          </w:p>
        </w:tc>
        <w:tc>
          <w:tcPr>
            <w:tcW w:w="4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1,886</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431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5,004</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1,220</w:t>
            </w:r>
          </w:p>
        </w:tc>
        <w:tc>
          <w:tcPr>
            <w:tcW w:w="0" w:type="dxa"/>
            <w:vAlign w:val="bottom"/>
          </w:tcPr>
          <w:p>
            <w:pPr>
              <w:spacing w:after="0"/>
              <w:rPr>
                <w:sz w:val="1"/>
                <w:szCs w:val="1"/>
                <w:color w:val="auto"/>
              </w:rPr>
            </w:pPr>
          </w:p>
        </w:tc>
      </w:tr>
      <w:tr>
        <w:trPr>
          <w:trHeight w:val="198"/>
        </w:trPr>
        <w:tc>
          <w:tcPr>
            <w:tcW w:w="3000" w:type="dxa"/>
            <w:vAlign w:val="bottom"/>
            <w:gridSpan w:val="2"/>
            <w:vMerge w:val="continue"/>
          </w:tcPr>
          <w:p>
            <w:pPr>
              <w:spacing w:after="0"/>
              <w:rPr>
                <w:sz w:val="17"/>
                <w:szCs w:val="17"/>
                <w:color w:val="auto"/>
              </w:rPr>
            </w:pPr>
          </w:p>
        </w:tc>
        <w:tc>
          <w:tcPr>
            <w:tcW w:w="2140" w:type="dxa"/>
            <w:vAlign w:val="bottom"/>
            <w:gridSpan w:val="2"/>
          </w:tcPr>
          <w:p>
            <w:pPr>
              <w:spacing w:after="0"/>
              <w:rPr>
                <w:sz w:val="20"/>
                <w:szCs w:val="20"/>
                <w:color w:val="auto"/>
              </w:rPr>
            </w:pPr>
            <w:r>
              <w:rPr>
                <w:rFonts w:ascii="Arial" w:cs="Arial" w:eastAsia="Arial" w:hAnsi="Arial"/>
                <w:sz w:val="15"/>
                <w:szCs w:val="15"/>
                <w:color w:val="auto"/>
              </w:rPr>
              <w:t>maintenance</w:t>
            </w:r>
          </w:p>
        </w:tc>
        <w:tc>
          <w:tcPr>
            <w:tcW w:w="4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Short term lease cost</w:t>
            </w:r>
          </w:p>
        </w:tc>
        <w:tc>
          <w:tcPr>
            <w:tcW w:w="214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Property operating and</w:t>
            </w:r>
          </w:p>
        </w:tc>
        <w:tc>
          <w:tcPr>
            <w:tcW w:w="4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000" w:type="dxa"/>
            <w:vAlign w:val="bottom"/>
            <w:gridSpan w:val="2"/>
            <w:vMerge w:val="continue"/>
            <w:shd w:val="clear" w:color="auto" w:fill="CCEEFF"/>
          </w:tcPr>
          <w:p>
            <w:pPr>
              <w:spacing w:after="0"/>
              <w:rPr>
                <w:sz w:val="17"/>
                <w:szCs w:val="17"/>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maintenance</w:t>
            </w:r>
          </w:p>
        </w:tc>
        <w:tc>
          <w:tcPr>
            <w:tcW w:w="4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0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Lease Expense</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4,741</w:t>
            </w:r>
          </w:p>
        </w:tc>
        <w:tc>
          <w:tcPr>
            <w:tcW w:w="1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1,430</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12,501</w:t>
            </w:r>
          </w:p>
        </w:tc>
        <w:tc>
          <w:tcPr>
            <w:tcW w:w="1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4,222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Lease term, discount rates and additional information for finance and operating leases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00" w:type="dxa"/>
            <w:vAlign w:val="bottom"/>
          </w:tcPr>
          <w:p>
            <w:pPr>
              <w:spacing w:after="0"/>
              <w:rPr>
                <w:sz w:val="17"/>
                <w:szCs w:val="17"/>
                <w:color w:val="auto"/>
              </w:rPr>
            </w:pPr>
          </w:p>
        </w:tc>
        <w:tc>
          <w:tcPr>
            <w:tcW w:w="1840" w:type="dxa"/>
            <w:vAlign w:val="bottom"/>
          </w:tcPr>
          <w:p>
            <w:pPr>
              <w:jc w:val="right"/>
              <w:ind w:right="684"/>
              <w:spacing w:after="0"/>
              <w:rPr>
                <w:sz w:val="20"/>
                <w:szCs w:val="20"/>
                <w:color w:val="auto"/>
              </w:rPr>
            </w:pPr>
            <w:r>
              <w:rPr>
                <w:rFonts w:ascii="Arial" w:cs="Arial" w:eastAsia="Arial" w:hAnsi="Arial"/>
                <w:sz w:val="15"/>
                <w:szCs w:val="15"/>
                <w:b w:val="1"/>
                <w:bCs w:val="1"/>
                <w:color w:val="auto"/>
              </w:rPr>
              <w:t>As of</w:t>
            </w:r>
          </w:p>
        </w:tc>
      </w:tr>
      <w:tr>
        <w:trPr>
          <w:trHeight w:val="207"/>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Lease Term and Discount Rate</w:t>
            </w:r>
          </w:p>
        </w:tc>
        <w:tc>
          <w:tcPr>
            <w:tcW w:w="18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September 30, 2021</w:t>
            </w:r>
          </w:p>
        </w:tc>
      </w:tr>
      <w:tr>
        <w:trPr>
          <w:trHeight w:val="187"/>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Remaining Lease Terms (years)</w:t>
            </w:r>
          </w:p>
        </w:tc>
        <w:tc>
          <w:tcPr>
            <w:tcW w:w="1840" w:type="dxa"/>
            <w:vAlign w:val="bottom"/>
            <w:shd w:val="clear" w:color="auto" w:fill="CCEEFF"/>
          </w:tcPr>
          <w:p>
            <w:pPr>
              <w:spacing w:after="0"/>
              <w:rPr>
                <w:sz w:val="16"/>
                <w:szCs w:val="16"/>
                <w:color w:val="auto"/>
              </w:rPr>
            </w:pPr>
          </w:p>
        </w:tc>
      </w:tr>
      <w:tr>
        <w:trPr>
          <w:trHeight w:val="198"/>
        </w:trPr>
        <w:tc>
          <w:tcPr>
            <w:tcW w:w="9400" w:type="dxa"/>
            <w:vAlign w:val="bottom"/>
          </w:tcPr>
          <w:p>
            <w:pPr>
              <w:ind w:left="140"/>
              <w:spacing w:after="0"/>
              <w:rPr>
                <w:sz w:val="20"/>
                <w:szCs w:val="20"/>
                <w:color w:val="auto"/>
              </w:rPr>
            </w:pPr>
            <w:r>
              <w:rPr>
                <w:rFonts w:ascii="Arial" w:cs="Arial" w:eastAsia="Arial" w:hAnsi="Arial"/>
                <w:sz w:val="15"/>
                <w:szCs w:val="15"/>
                <w:color w:val="auto"/>
              </w:rPr>
              <w:t>Finance lease</w:t>
            </w:r>
          </w:p>
        </w:tc>
        <w:tc>
          <w:tcPr>
            <w:tcW w:w="1840" w:type="dxa"/>
            <w:vAlign w:val="bottom"/>
          </w:tcPr>
          <w:p>
            <w:pPr>
              <w:jc w:val="right"/>
              <w:spacing w:after="0"/>
              <w:rPr>
                <w:sz w:val="20"/>
                <w:szCs w:val="20"/>
                <w:color w:val="auto"/>
              </w:rPr>
            </w:pPr>
            <w:r>
              <w:rPr>
                <w:rFonts w:ascii="Arial" w:cs="Arial" w:eastAsia="Arial" w:hAnsi="Arial"/>
                <w:sz w:val="15"/>
                <w:szCs w:val="15"/>
                <w:color w:val="auto"/>
              </w:rPr>
              <w:t>2.72</w:t>
            </w:r>
          </w:p>
        </w:tc>
      </w:tr>
      <w:tr>
        <w:trPr>
          <w:trHeight w:val="207"/>
        </w:trPr>
        <w:tc>
          <w:tcPr>
            <w:tcW w:w="9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lease</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34.54</w:t>
            </w:r>
          </w:p>
        </w:tc>
      </w:tr>
      <w:tr>
        <w:trPr>
          <w:trHeight w:val="198"/>
        </w:trPr>
        <w:tc>
          <w:tcPr>
            <w:tcW w:w="9400" w:type="dxa"/>
            <w:vAlign w:val="bottom"/>
          </w:tcPr>
          <w:p>
            <w:pPr>
              <w:ind w:left="20"/>
              <w:spacing w:after="0"/>
              <w:rPr>
                <w:sz w:val="20"/>
                <w:szCs w:val="20"/>
                <w:color w:val="auto"/>
              </w:rPr>
            </w:pPr>
            <w:r>
              <w:rPr>
                <w:rFonts w:ascii="Arial" w:cs="Arial" w:eastAsia="Arial" w:hAnsi="Arial"/>
                <w:sz w:val="15"/>
                <w:szCs w:val="15"/>
                <w:color w:val="auto"/>
              </w:rPr>
              <w:t>Weighted-average Discount Rate</w:t>
            </w:r>
          </w:p>
        </w:tc>
        <w:tc>
          <w:tcPr>
            <w:tcW w:w="1840" w:type="dxa"/>
            <w:vAlign w:val="bottom"/>
          </w:tcPr>
          <w:p>
            <w:pPr>
              <w:spacing w:after="0"/>
              <w:rPr>
                <w:sz w:val="17"/>
                <w:szCs w:val="17"/>
                <w:color w:val="auto"/>
              </w:rPr>
            </w:pPr>
          </w:p>
        </w:tc>
      </w:tr>
      <w:tr>
        <w:trPr>
          <w:trHeight w:val="206"/>
        </w:trPr>
        <w:tc>
          <w:tcPr>
            <w:tcW w:w="9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2.45 %</w:t>
            </w:r>
          </w:p>
        </w:tc>
      </w:tr>
      <w:tr>
        <w:trPr>
          <w:trHeight w:val="195"/>
        </w:trPr>
        <w:tc>
          <w:tcPr>
            <w:tcW w:w="9400" w:type="dxa"/>
            <w:vAlign w:val="bottom"/>
          </w:tcPr>
          <w:p>
            <w:pPr>
              <w:ind w:left="140"/>
              <w:spacing w:after="0"/>
              <w:rPr>
                <w:sz w:val="20"/>
                <w:szCs w:val="20"/>
                <w:color w:val="auto"/>
              </w:rPr>
            </w:pPr>
            <w:r>
              <w:rPr>
                <w:rFonts w:ascii="Arial" w:cs="Arial" w:eastAsia="Arial" w:hAnsi="Arial"/>
                <w:sz w:val="15"/>
                <w:szCs w:val="15"/>
                <w:color w:val="auto"/>
              </w:rPr>
              <w:t>Operating lease</w:t>
            </w:r>
          </w:p>
        </w:tc>
        <w:tc>
          <w:tcPr>
            <w:tcW w:w="1840" w:type="dxa"/>
            <w:vAlign w:val="bottom"/>
          </w:tcPr>
          <w:p>
            <w:pPr>
              <w:jc w:val="right"/>
              <w:spacing w:after="0"/>
              <w:rPr>
                <w:sz w:val="20"/>
                <w:szCs w:val="20"/>
                <w:color w:val="auto"/>
              </w:rPr>
            </w:pPr>
            <w:r>
              <w:rPr>
                <w:rFonts w:ascii="Arial" w:cs="Arial" w:eastAsia="Arial" w:hAnsi="Arial"/>
                <w:sz w:val="15"/>
                <w:szCs w:val="15"/>
                <w:color w:val="auto"/>
              </w:rPr>
              <w:t>3.84 %</w:t>
            </w:r>
          </w:p>
        </w:tc>
      </w:tr>
    </w:tbl>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4"/>
          </w:tcPr>
          <w:p>
            <w:pPr>
              <w:jc w:val="right"/>
              <w:ind w:right="1064"/>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Other Information (in thousands)</w:t>
            </w:r>
          </w:p>
        </w:tc>
        <w:tc>
          <w:tcPr>
            <w:tcW w:w="18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2021</w:t>
            </w:r>
          </w:p>
        </w:tc>
        <w:tc>
          <w:tcPr>
            <w:tcW w:w="160" w:type="dxa"/>
            <w:vAlign w:val="bottom"/>
          </w:tcPr>
          <w:p>
            <w:pPr>
              <w:spacing w:after="0"/>
              <w:rPr>
                <w:sz w:val="17"/>
                <w:szCs w:val="17"/>
                <w:color w:val="auto"/>
              </w:rPr>
            </w:pPr>
          </w:p>
        </w:tc>
        <w:tc>
          <w:tcPr>
            <w:tcW w:w="1580" w:type="dxa"/>
            <w:vAlign w:val="bottom"/>
          </w:tcPr>
          <w:p>
            <w:pPr>
              <w:jc w:val="right"/>
              <w:ind w:right="164"/>
              <w:spacing w:after="0"/>
              <w:rPr>
                <w:sz w:val="20"/>
                <w:szCs w:val="20"/>
                <w:color w:val="auto"/>
              </w:rPr>
            </w:pPr>
            <w:r>
              <w:rPr>
                <w:rFonts w:ascii="Arial" w:cs="Arial" w:eastAsia="Arial" w:hAnsi="Arial"/>
                <w:sz w:val="15"/>
                <w:szCs w:val="15"/>
                <w:b w:val="1"/>
                <w:bCs w:val="1"/>
                <w:color w:val="auto"/>
                <w:w w:val="94"/>
              </w:rPr>
              <w:t>September 30, 2020</w:t>
            </w:r>
          </w:p>
        </w:tc>
      </w:tr>
      <w:tr>
        <w:trPr>
          <w:trHeight w:val="185"/>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r>
      <w:tr>
        <w:trPr>
          <w:trHeight w:val="198"/>
        </w:trPr>
        <w:tc>
          <w:tcPr>
            <w:tcW w:w="7640" w:type="dxa"/>
            <w:vAlign w:val="bottom"/>
          </w:tcPr>
          <w:p>
            <w:pPr>
              <w:ind w:left="140"/>
              <w:spacing w:after="0"/>
              <w:rPr>
                <w:sz w:val="20"/>
                <w:szCs w:val="20"/>
                <w:color w:val="auto"/>
              </w:rPr>
            </w:pPr>
            <w:r>
              <w:rPr>
                <w:rFonts w:ascii="Arial" w:cs="Arial" w:eastAsia="Arial" w:hAnsi="Arial"/>
                <w:sz w:val="15"/>
                <w:szCs w:val="15"/>
                <w:color w:val="auto"/>
              </w:rPr>
              <w:t>Operating cash flow from operating leases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4,512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1,836</w:t>
            </w:r>
          </w:p>
        </w:tc>
      </w:tr>
      <w:tr>
        <w:trPr>
          <w:trHeight w:val="203"/>
        </w:trPr>
        <w:tc>
          <w:tcPr>
            <w:tcW w:w="7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Financing cash flow from finance leases</w:t>
            </w: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200"/>
        </w:trPr>
        <w:tc>
          <w:tcPr>
            <w:tcW w:w="7640" w:type="dxa"/>
            <w:vAlign w:val="bottom"/>
          </w:tcPr>
          <w:p>
            <w:pPr>
              <w:ind w:left="140"/>
              <w:spacing w:after="0"/>
              <w:rPr>
                <w:sz w:val="20"/>
                <w:szCs w:val="20"/>
                <w:color w:val="auto"/>
              </w:rPr>
            </w:pPr>
            <w:r>
              <w:rPr>
                <w:rFonts w:ascii="Arial" w:cs="Arial" w:eastAsia="Arial" w:hAnsi="Arial"/>
                <w:sz w:val="15"/>
                <w:szCs w:val="15"/>
                <w:b w:val="1"/>
                <w:bCs w:val="1"/>
                <w:color w:val="auto"/>
              </w:rPr>
              <w:t>Total Cash Paid On Lease Liabilities</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4,637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1,859</w:t>
            </w: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are not the lessor for any finance leases at our MH, RV or marina properties as of September 30, 2021.</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 95 percent of our operating leases at our MH and RV properties where we are the lessor are either month to month or for a time period not to exceed one year. As of September 30, 2021, future minimum lease payments would not exceed 12 months.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lease payments under non-cancellable leases at our marinas and RV properties as of the nine months ended September 30, 2021 where we are the lessor include: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Maturity of Lease Payments (in thousands)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6"/>
              </w:rPr>
              <w:t>Operating Leases</w:t>
            </w:r>
          </w:p>
        </w:tc>
      </w:tr>
      <w:tr>
        <w:trPr>
          <w:trHeight w:val="200"/>
        </w:trPr>
        <w:tc>
          <w:tcPr>
            <w:tcW w:w="9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2021 (Excluding nine months ended September 30, 2021)</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5,099</w:t>
            </w:r>
          </w:p>
        </w:tc>
      </w:tr>
      <w:tr>
        <w:trPr>
          <w:trHeight w:val="198"/>
        </w:trPr>
        <w:tc>
          <w:tcPr>
            <w:tcW w:w="9400" w:type="dxa"/>
            <w:vAlign w:val="bottom"/>
          </w:tcPr>
          <w:p>
            <w:pPr>
              <w:ind w:left="20"/>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16,949</w:t>
            </w: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14,141</w:t>
            </w:r>
          </w:p>
        </w:tc>
      </w:tr>
      <w:tr>
        <w:trPr>
          <w:trHeight w:val="198"/>
        </w:trPr>
        <w:tc>
          <w:tcPr>
            <w:tcW w:w="9400" w:type="dxa"/>
            <w:vAlign w:val="bottom"/>
          </w:tcPr>
          <w:p>
            <w:pPr>
              <w:ind w:left="20"/>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8,844</w:t>
            </w: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4,976</w:t>
            </w:r>
          </w:p>
        </w:tc>
      </w:tr>
      <w:tr>
        <w:trPr>
          <w:trHeight w:val="198"/>
        </w:trPr>
        <w:tc>
          <w:tcPr>
            <w:tcW w:w="9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5,804</w:t>
            </w:r>
          </w:p>
        </w:tc>
      </w:tr>
      <w:tr>
        <w:trPr>
          <w:trHeight w:val="225"/>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Undiscounted Cash Flows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55,813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were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5"/>
          </w:tcPr>
          <w:p>
            <w:pPr>
              <w:ind w:left="92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3400" w:type="dxa"/>
            <w:vAlign w:val="bottom"/>
            <w:gridSpan w:val="4"/>
          </w:tcPr>
          <w:p>
            <w:pPr>
              <w:jc w:val="right"/>
              <w:ind w:right="1044"/>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4020" w:type="dxa"/>
            <w:vAlign w:val="bottom"/>
            <w:gridSpan w:val="2"/>
          </w:tcPr>
          <w:p>
            <w:pPr>
              <w:ind w:left="1580"/>
              <w:spacing w:after="0"/>
              <w:rPr>
                <w:sz w:val="20"/>
                <w:szCs w:val="20"/>
                <w:color w:val="auto"/>
              </w:rPr>
            </w:pPr>
            <w:r>
              <w:rPr>
                <w:rFonts w:ascii="Arial" w:cs="Arial" w:eastAsia="Arial" w:hAnsi="Arial"/>
                <w:sz w:val="15"/>
                <w:szCs w:val="15"/>
                <w:b w:val="1"/>
                <w:bCs w:val="1"/>
                <w:color w:val="auto"/>
              </w:rPr>
              <w:t>Description</w:t>
            </w:r>
          </w:p>
        </w:tc>
        <w:tc>
          <w:tcPr>
            <w:tcW w:w="1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September 30, 2021</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4"/>
              </w:rPr>
              <w:t>September 30, 2020</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September 30, 2021</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4"/>
              </w:rPr>
              <w:t>September 30, 2020</w:t>
            </w:r>
          </w:p>
        </w:tc>
      </w:tr>
      <w:tr>
        <w:trPr>
          <w:trHeight w:val="198"/>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Leases</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198"/>
        </w:trPr>
        <w:tc>
          <w:tcPr>
            <w:tcW w:w="4020" w:type="dxa"/>
            <w:vAlign w:val="bottom"/>
            <w:gridSpan w:val="2"/>
          </w:tcPr>
          <w:p>
            <w:pPr>
              <w:ind w:left="20"/>
              <w:spacing w:after="0"/>
              <w:rPr>
                <w:sz w:val="20"/>
                <w:szCs w:val="20"/>
                <w:color w:val="auto"/>
              </w:rPr>
            </w:pPr>
            <w:r>
              <w:rPr>
                <w:rFonts w:ascii="Arial" w:cs="Arial" w:eastAsia="Arial" w:hAnsi="Arial"/>
                <w:sz w:val="15"/>
                <w:szCs w:val="15"/>
                <w:color w:val="auto"/>
              </w:rPr>
              <w:t>Fixed lease income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4"/>
              <w:spacing w:after="0"/>
              <w:rPr>
                <w:sz w:val="20"/>
                <w:szCs w:val="20"/>
                <w:color w:val="auto"/>
              </w:rPr>
            </w:pPr>
            <w:r>
              <w:rPr>
                <w:rFonts w:ascii="Arial" w:cs="Arial" w:eastAsia="Arial" w:hAnsi="Arial"/>
                <w:sz w:val="15"/>
                <w:szCs w:val="15"/>
                <w:color w:val="auto"/>
              </w:rPr>
              <w:t>5,293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312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14,346</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934</w:t>
            </w:r>
          </w:p>
        </w:tc>
      </w:tr>
      <w:tr>
        <w:trPr>
          <w:trHeight w:val="207"/>
        </w:trPr>
        <w:tc>
          <w:tcPr>
            <w:tcW w:w="402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Variable lease income</w:t>
            </w:r>
            <w:r>
              <w:rPr>
                <w:rFonts w:ascii="Arial" w:cs="Arial" w:eastAsia="Arial" w:hAnsi="Arial"/>
                <w:sz w:val="19"/>
                <w:szCs w:val="19"/>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w:t>
            </w:r>
          </w:p>
        </w:tc>
      </w:tr>
    </w:tbl>
    <w:p>
      <w:pPr>
        <w:spacing w:after="0" w:line="65"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Consists of rent primarily based on a percentage of revenues at the related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July 2021, the FASB issued ASU 2021-05, "</w:t>
      </w:r>
      <w:r>
        <w:rPr>
          <w:rFonts w:ascii="Arial" w:cs="Arial" w:eastAsia="Arial" w:hAnsi="Arial"/>
          <w:sz w:val="17"/>
          <w:szCs w:val="17"/>
          <w:i w:val="1"/>
          <w:iCs w:val="1"/>
          <w:color w:val="auto"/>
        </w:rPr>
        <w:t>Leases (Topic 842): Lessors - Certain Leases with Variable Lease Payments</w:t>
      </w:r>
      <w:r>
        <w:rPr>
          <w:rFonts w:ascii="Arial" w:cs="Arial" w:eastAsia="Arial" w:hAnsi="Arial"/>
          <w:sz w:val="17"/>
          <w:szCs w:val="17"/>
          <w:color w:val="auto"/>
        </w:rPr>
        <w:t>." This update amends ASC 842 so that lessors are no longer required to recognize a selling loss upon commencement of a lease with variable lease payments that, prior to the amendments, would have been classified as a sales-type or direct financing lease. Under the amended guidance, a lessor must classify as an operating lease any lease that would otherwise be classified as a sales-type or direct financing lease and that would result in the recognition of a selling loss at lease commencement, provided that the lease includes variable lease payments that do not depend on an index or rate. We adopted the ASU during the three months ended September 30, 2021. The adoption of this ASU did not have an impact on our Consolidated Financial Statements as none of our lessor leases with variable lease payments required us to recognize a selling loss upon commencement of the lease.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2020, the FASB issued ASU No. 2020-04, "</w:t>
      </w:r>
      <w:r>
        <w:rPr>
          <w:rFonts w:ascii="Arial" w:cs="Arial" w:eastAsia="Arial" w:hAnsi="Arial"/>
          <w:sz w:val="16"/>
          <w:szCs w:val="16"/>
          <w:i w:val="1"/>
          <w:iCs w:val="1"/>
          <w:color w:val="auto"/>
        </w:rPr>
        <w:t>Reference Rate Reform (Topic 848) -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which provides optional guidance for accounting for contracts, hedging relationships, and other transactions affected by the reference</w:t>
      </w:r>
      <w:r>
        <w:rPr>
          <w:rFonts w:ascii="Arial" w:cs="Arial" w:eastAsia="Arial" w:hAnsi="Arial"/>
          <w:sz w:val="16"/>
          <w:szCs w:val="16"/>
          <w:i w:val="1"/>
          <w:iCs w:val="1"/>
          <w:color w:val="auto"/>
        </w:rPr>
        <w:t xml:space="preserve"> </w:t>
      </w:r>
      <w:r>
        <w:rPr>
          <w:rFonts w:ascii="Arial" w:cs="Arial" w:eastAsia="Arial" w:hAnsi="Arial"/>
          <w:sz w:val="16"/>
          <w:szCs w:val="16"/>
          <w:color w:val="auto"/>
        </w:rPr>
        <w:t>rate reform, if certain criteria are met. The provisions of this standard are available for election through December 31, 2022. As of September 30, 2021, we do not expect the reference rate reform will have a material impact on our Consolidated Financial Statements as the majority of our debt is fixed.</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quarter ended September 30, 2021, we acquired the following properties: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Sites, Wet Slips and</w:t>
            </w:r>
          </w:p>
        </w:tc>
        <w:tc>
          <w:tcPr>
            <w:tcW w:w="1100" w:type="dxa"/>
            <w:vAlign w:val="bottom"/>
            <w:vMerge w:val="restart"/>
          </w:tcPr>
          <w:p>
            <w:pPr>
              <w:jc w:val="center"/>
              <w:ind w:left="164"/>
              <w:spacing w:after="0"/>
              <w:rPr>
                <w:sz w:val="20"/>
                <w:szCs w:val="20"/>
                <w:color w:val="auto"/>
              </w:rPr>
            </w:pPr>
            <w:r>
              <w:rPr>
                <w:rFonts w:ascii="Arial" w:cs="Arial" w:eastAsia="Arial" w:hAnsi="Arial"/>
                <w:sz w:val="15"/>
                <w:szCs w:val="15"/>
                <w:b w:val="1"/>
                <w:bCs w:val="1"/>
                <w:color w:val="auto"/>
                <w:w w:val="91"/>
              </w:rPr>
              <w:t>Development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8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49"/>
        </w:trPr>
        <w:tc>
          <w:tcPr>
            <w:tcW w:w="2460" w:type="dxa"/>
            <w:vAlign w:val="bottom"/>
            <w:vMerge w:val="restart"/>
          </w:tcPr>
          <w:p>
            <w:pPr>
              <w:ind w:left="720"/>
              <w:spacing w:after="0"/>
              <w:rPr>
                <w:sz w:val="20"/>
                <w:szCs w:val="20"/>
                <w:color w:val="auto"/>
              </w:rPr>
            </w:pPr>
            <w:r>
              <w:rPr>
                <w:rFonts w:ascii="Arial" w:cs="Arial" w:eastAsia="Arial" w:hAnsi="Arial"/>
                <w:sz w:val="15"/>
                <w:szCs w:val="15"/>
                <w:b w:val="1"/>
                <w:bCs w:val="1"/>
                <w:color w:val="auto"/>
              </w:rPr>
              <w:t>Property Name</w:t>
            </w:r>
          </w:p>
        </w:tc>
        <w:tc>
          <w:tcPr>
            <w:tcW w:w="100" w:type="dxa"/>
            <w:vAlign w:val="bottom"/>
            <w:vMerge w:val="restart"/>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Property Type</w:t>
            </w:r>
          </w:p>
        </w:tc>
        <w:tc>
          <w:tcPr>
            <w:tcW w:w="12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ind w:left="540"/>
              <w:spacing w:after="0"/>
              <w:rPr>
                <w:sz w:val="20"/>
                <w:szCs w:val="20"/>
                <w:color w:val="auto"/>
              </w:rPr>
            </w:pPr>
            <w:r>
              <w:rPr>
                <w:rFonts w:ascii="Arial" w:cs="Arial" w:eastAsia="Arial" w:hAnsi="Arial"/>
                <w:sz w:val="15"/>
                <w:szCs w:val="15"/>
                <w:b w:val="1"/>
                <w:bCs w:val="1"/>
                <w:color w:val="auto"/>
              </w:rPr>
              <w:t>City</w:t>
            </w:r>
          </w:p>
        </w:tc>
        <w:tc>
          <w:tcPr>
            <w:tcW w:w="100" w:type="dxa"/>
            <w:vAlign w:val="bottom"/>
            <w:vMerge w:val="restart"/>
          </w:tcPr>
          <w:p>
            <w:pPr>
              <w:spacing w:after="0"/>
              <w:rPr>
                <w:sz w:val="12"/>
                <w:szCs w:val="12"/>
                <w:color w:val="auto"/>
              </w:rPr>
            </w:pPr>
          </w:p>
        </w:tc>
        <w:tc>
          <w:tcPr>
            <w:tcW w:w="13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State / Province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84"/>
              <w:spacing w:after="0" w:line="149" w:lineRule="exact"/>
              <w:rPr>
                <w:sz w:val="20"/>
                <w:szCs w:val="20"/>
                <w:color w:val="auto"/>
              </w:rPr>
            </w:pPr>
            <w:r>
              <w:rPr>
                <w:rFonts w:ascii="Arial" w:cs="Arial" w:eastAsia="Arial" w:hAnsi="Arial"/>
                <w:sz w:val="15"/>
                <w:szCs w:val="15"/>
                <w:b w:val="1"/>
                <w:bCs w:val="1"/>
                <w:color w:val="auto"/>
                <w:w w:val="90"/>
              </w:rPr>
              <w:t>Purchase Price</w:t>
            </w:r>
          </w:p>
        </w:tc>
        <w:tc>
          <w:tcPr>
            <w:tcW w:w="0" w:type="dxa"/>
            <w:vAlign w:val="bottom"/>
          </w:tcPr>
          <w:p>
            <w:pPr>
              <w:spacing w:after="0"/>
              <w:rPr>
                <w:sz w:val="1"/>
                <w:szCs w:val="1"/>
                <w:color w:val="auto"/>
              </w:rPr>
            </w:pPr>
          </w:p>
        </w:tc>
      </w:tr>
      <w:tr>
        <w:trPr>
          <w:trHeight w:val="200"/>
        </w:trPr>
        <w:tc>
          <w:tcPr>
            <w:tcW w:w="24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94"/>
              </w:rPr>
              <w:t>Dry Storage Spaces</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204"/>
              <w:spacing w:after="0"/>
              <w:rPr>
                <w:sz w:val="20"/>
                <w:szCs w:val="20"/>
                <w:color w:val="auto"/>
              </w:rPr>
            </w:pPr>
            <w:r>
              <w:rPr>
                <w:rFonts w:ascii="Arial" w:cs="Arial" w:eastAsia="Arial" w:hAnsi="Arial"/>
                <w:sz w:val="15"/>
                <w:szCs w:val="15"/>
                <w:b w:val="1"/>
                <w:bCs w:val="1"/>
                <w:color w:val="auto"/>
                <w:w w:val="83"/>
              </w:rPr>
              <w:t>Sites</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2"/>
              </w:rPr>
              <w:t>(in millions)</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Beaver Brook Campground</w:t>
            </w: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5"/>
              </w:rPr>
              <w:t>RV</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2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150  N Monmouth</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quarter ended September 30, 2021, we acquired land located in Chincoteague, VA for total consideration of $7.5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5, 2021, we issued $450.0 million of senior unsecured notes with an interest rate of 2.3 percent and a seven-year term, due November 1, 2028 (the "2028 Notes"). Interest on the 2028 Notes is payable semi-annually in arrears on May 1 and November 1 of each year, beginning on May 1, 2022. In addition, on October 5, 2021, we issued $150 million of senior unsecured notes with an interest rate of 2.7 percent and a 10-year term due July 15, 2031 (the "2031 Notes"). The 2031 Notes are additional notes of the same series as the $600.0 million aggregate principal amount of 2.7 percent senior unsecured notes due July 15, 2031 that we issued on June 28, 2021. The net proceeds from the offering were approximately $595.5 million after deducting underwriters' discounts and estimated offering expenses. The proceeds were used to pay down borrowings under our line of credit.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our Consolidated Financial Statements for subsequent events through the date that this Form 10-Q was issued.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the consolidated financial condition and results of operations should be read in conjunction with the Consolidated Financial Statements and the accompanying Notes, along with our 2020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fully integrated, self-administered and self-managed REIT. As of September 30, 2021, we owned and operated or held an interest in a portfolio of 584 developed properties located in 38 states throughout the United States, Canada and Puerto Rico including 282 MH communities, 146 RV resorts, 36 properties containing both MH and RV sites, and 120 marinas. We have been in the business of acquiring, operating, developing and expanding MH communities and RV resorts since 1975 and marinas since 2020. We lease individual sites with utilities access for placement of manufactured homes, RVs or boats to our customers. We are also engaged in the marketing, selling and leasing of new and pre-owned homes to current and future residents in our MH communities. The Rental Program operations within our MH communities support and enhance our occupancy levels, property performance,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there are no government regulations preventing the operations of any of our MH communities, RV resorts or marinas. The border for recreational travel between the United States and Canada is open with certain restrictions, which could impact cross border traffic to resorts and marinas across the United States and Canada. The execution of our operational and financial plans has helped to mitigate the impact of COVID-19 on our business.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continue to provide essential services using social distancing techniques and minimal contact. To promote social distancing, we are encouraging our residents to use our online rent payment portals and other payment methods. We continue to implement numerous health and safety measures at our communities and our main office to keep team members safe. These measures include increased cleaning and sanitation of shared spaces and social distancing protocols throughout our footprint. We closely monitor and track orders by federal, state and local authorities, provide status update to our operations and main office leadership teams, and adjust our operating processes accordingly. We have implemented and continue to encourage remote working arrangements, wherever possible, to keep our team members safe and to do our part to promote social distancing.</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remain committed to assisting individuals who are in the process of leasing a site, a wet slip, a dry storage space, or purchasing a home, while maintaining health and safety protocols including following strict social distancing. Virtual viewings of homes are being utilized to avoid or minimize contact.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extent to which the COVID-19 pandemic impacts our operations, financial condition and financial results will depend on future developments, which are highly uncertain and cannot be predicted with confidence, including the scope, severity and duration of the pandemic, the actions taken to contain the pandemic or mitigate its impact, and the direct and indirect economic effects of the pandemic and containment measures, among others. The uncertainty of this situation precludes any prediction as to the full impact of the COVID-19 pandemic.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2020 Annual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NOI is derived from operating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w:t>
      </w:r>
    </w:p>
    <w:p>
      <w:pPr>
        <w:spacing w:after="0" w:line="2" w:lineRule="exact"/>
        <w:rPr>
          <w:sz w:val="20"/>
          <w:szCs w:val="20"/>
          <w:color w:val="auto"/>
        </w:rPr>
      </w:pPr>
    </w:p>
    <w:p>
      <w:pPr>
        <w:jc w:val="both"/>
        <w:ind w:firstLine="8"/>
        <w:spacing w:after="0" w:line="255" w:lineRule="auto"/>
        <w:tabs>
          <w:tab w:leader="none" w:pos="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FFO is defined by the National Association of Real Estate Investment Trusts ("NAREIT") as GAAP net income (loss), excluding gains (or losses) from sales of depreciable operating property, plus real estate related depreciation and amortization, real estate related impairments,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 We also use FFO excluding certain gain and loss items that management considers unrelated to the operational and financial performance of our core business ("Core FFO"). We believe that Core FFO provides enhanced comparability for investor evaluations of period-over-period results.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FFO. The principal limitation of FFO is that it does not replace GAAP net income (loss) as a performance measure or GAAP cash flow from operations as a liquidity measure. Because FFO excludes significant economic components of GAAP net income (loss) including depreciation and amortization, FFO should be used as a supplement to GAAP net income (loss) and not as an alternative to it. Further,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reconcile the Net income attributable to Sun Communities, Inc. common stockholders to NOI and summarize our consolidated financial results for the three and nine months ended September 30, 2021 and 2020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Nine Months Ended</w:t>
            </w:r>
          </w:p>
        </w:tc>
        <w:tc>
          <w:tcPr>
            <w:tcW w:w="660" w:type="dxa"/>
            <w:vAlign w:val="bottom"/>
            <w:tcBorders>
              <w:bottom w:val="single" w:sz="8" w:color="auto"/>
            </w:tcBorders>
          </w:tcPr>
          <w:p>
            <w:pPr>
              <w:spacing w:after="0"/>
              <w:rPr>
                <w:sz w:val="17"/>
                <w:szCs w:val="17"/>
                <w:color w:val="auto"/>
              </w:rPr>
            </w:pPr>
          </w:p>
        </w:tc>
      </w:tr>
      <w:tr>
        <w:trPr>
          <w:trHeight w:val="198"/>
        </w:trPr>
        <w:tc>
          <w:tcPr>
            <w:tcW w:w="532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September 30, 2021</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2"/>
              </w:rPr>
              <w:t>September 30, 2020</w:t>
            </w:r>
          </w:p>
        </w:tc>
        <w:tc>
          <w:tcPr>
            <w:tcW w:w="24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2021</w:t>
            </w:r>
          </w:p>
        </w:tc>
        <w:tc>
          <w:tcPr>
            <w:tcW w:w="138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September 30, 2020</w:t>
            </w:r>
          </w:p>
        </w:tc>
      </w:tr>
      <w:tr>
        <w:trPr>
          <w:trHeight w:val="198"/>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40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231,770</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81,204</w:t>
            </w: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367,322</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4"/>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124,028</w:t>
            </w: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(2,690)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(2,624)</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(8,040)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(7,609)</w:t>
            </w: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Brokerage commissions and other revenues, net</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(5,881)</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(21,740)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(13,068)</w:t>
            </w: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General and administrative expense</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43,276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26,834</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126,606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78,710</w:t>
            </w: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Catastrophic event-related charges, net</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3,097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Business combination expense</w:t>
            </w:r>
          </w:p>
        </w:tc>
        <w:tc>
          <w:tcPr>
            <w:tcW w:w="4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1,031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127,091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88,499</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378,068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259,453</w:t>
            </w: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Loss on extinguishment of debt (see Note 8)</w:t>
            </w:r>
          </w:p>
        </w:tc>
        <w:tc>
          <w:tcPr>
            <w:tcW w:w="4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8,108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5,209</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expense</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39,026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30,214</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116,224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94,058</w:t>
            </w: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Interest on mandatorily redeemable preferred OP units / equity</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1,047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1,047</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3,124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3,130</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 (see Note 14)</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(12,072)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(1,492)</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(43,227)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2,636</w:t>
            </w: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(Gain) / loss on foreign currency translation</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7,028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(5,023)</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7,107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2,496</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dispositions of properties</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(108,104)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(5,595)</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(108,104)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(5,595)</w:t>
            </w: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Other expense, net</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9,372</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3,511</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10,041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4,890</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notes receivable (see Note 4)</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2,311</w:t>
            </w: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Income from nonconsolidated affiliates (see Note 6)</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(962)</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(1,204)</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(2,927)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(1,348)</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w w:val="95"/>
              </w:rPr>
              <w:t>Loss on remeasurement of investment in nonconsolidated affiliates (see Note 6)</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1,505</w:t>
            </w: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Current tax (benefit) / expense (see Note 12)</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402</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(107)</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1,418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462</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tax (benefit) / expense (see Note 12)</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1,074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w:t>
            </w: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Preferred return to preferred OP units / equity interests</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3,101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1,645</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9,000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4,799</w:t>
            </w:r>
          </w:p>
        </w:tc>
      </w:tr>
      <w:tr>
        <w:trPr>
          <w:trHeight w:val="203"/>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attributable to noncontrolling interests</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15,290</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6,907</w:t>
            </w:r>
          </w:p>
        </w:tc>
        <w:tc>
          <w:tcPr>
            <w:tcW w:w="2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22,629</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8,806</w:t>
            </w:r>
          </w:p>
        </w:tc>
      </w:tr>
      <w:tr>
        <w:trPr>
          <w:trHeight w:val="200"/>
        </w:trPr>
        <w:tc>
          <w:tcPr>
            <w:tcW w:w="5320" w:type="dxa"/>
            <w:vAlign w:val="bottom"/>
          </w:tcPr>
          <w:p>
            <w:pPr>
              <w:ind w:left="120"/>
              <w:spacing w:after="0"/>
              <w:rPr>
                <w:sz w:val="20"/>
                <w:szCs w:val="20"/>
                <w:color w:val="auto"/>
              </w:rPr>
            </w:pPr>
            <w:r>
              <w:rPr>
                <w:rFonts w:ascii="Arial" w:cs="Arial" w:eastAsia="Arial" w:hAnsi="Arial"/>
                <w:sz w:val="15"/>
                <w:szCs w:val="15"/>
                <w:b w:val="1"/>
                <w:bCs w:val="1"/>
                <w:color w:val="auto"/>
              </w:rPr>
              <w:t>NOI</w:t>
            </w: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346,244</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218,278</w:t>
            </w:r>
          </w:p>
        </w:tc>
        <w:tc>
          <w:tcPr>
            <w:tcW w:w="240" w:type="dxa"/>
            <w:vAlign w:val="bottom"/>
          </w:tcPr>
          <w:p>
            <w:pPr>
              <w:spacing w:after="0"/>
              <w:rPr>
                <w:sz w:val="17"/>
                <w:szCs w:val="17"/>
                <w:color w:val="auto"/>
              </w:rPr>
            </w:pP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870,380</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564,123</w:t>
            </w:r>
          </w:p>
        </w:tc>
      </w:tr>
      <w:tr>
        <w:trPr>
          <w:trHeight w:val="20"/>
        </w:trPr>
        <w:tc>
          <w:tcPr>
            <w:tcW w:w="5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Nine Months Ended</w:t>
            </w:r>
          </w:p>
        </w:tc>
        <w:tc>
          <w:tcPr>
            <w:tcW w:w="660" w:type="dxa"/>
            <w:vAlign w:val="bottom"/>
            <w:tcBorders>
              <w:bottom w:val="single" w:sz="8" w:color="auto"/>
            </w:tcBorders>
          </w:tcPr>
          <w:p>
            <w:pPr>
              <w:spacing w:after="0"/>
              <w:rPr>
                <w:sz w:val="17"/>
                <w:szCs w:val="17"/>
                <w:color w:val="auto"/>
              </w:rPr>
            </w:pPr>
          </w:p>
        </w:tc>
      </w:tr>
      <w:tr>
        <w:trPr>
          <w:trHeight w:val="198"/>
        </w:trPr>
        <w:tc>
          <w:tcPr>
            <w:tcW w:w="532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September 30, 2021</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2"/>
              </w:rPr>
              <w:t>September 30, 2020</w:t>
            </w:r>
          </w:p>
        </w:tc>
        <w:tc>
          <w:tcPr>
            <w:tcW w:w="24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2021</w:t>
            </w:r>
          </w:p>
        </w:tc>
        <w:tc>
          <w:tcPr>
            <w:tcW w:w="138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September 30, 2020</w:t>
            </w:r>
          </w:p>
        </w:tc>
      </w:tr>
      <w:tr>
        <w:trPr>
          <w:trHeight w:val="198"/>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Real Property NOI</w:t>
            </w:r>
          </w:p>
        </w:tc>
        <w:tc>
          <w:tcPr>
            <w:tcW w:w="40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295,779</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204,271</w:t>
            </w: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753,173</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4"/>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538,210</w:t>
            </w:r>
          </w:p>
        </w:tc>
      </w:tr>
      <w:tr>
        <w:trPr>
          <w:trHeight w:val="198"/>
        </w:trPr>
        <w:tc>
          <w:tcPr>
            <w:tcW w:w="5320" w:type="dxa"/>
            <w:vAlign w:val="bottom"/>
          </w:tcPr>
          <w:p>
            <w:pPr>
              <w:ind w:left="20"/>
              <w:spacing w:after="0"/>
              <w:rPr>
                <w:sz w:val="20"/>
                <w:szCs w:val="20"/>
                <w:color w:val="auto"/>
              </w:rPr>
            </w:pPr>
            <w:r>
              <w:rPr>
                <w:rFonts w:ascii="Arial" w:cs="Arial" w:eastAsia="Arial" w:hAnsi="Arial"/>
                <w:sz w:val="15"/>
                <w:szCs w:val="15"/>
                <w:color w:val="auto"/>
              </w:rPr>
              <w:t>Home Sales NOI</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24,532</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7,763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58,226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20,790</w:t>
            </w:r>
          </w:p>
        </w:tc>
      </w:tr>
      <w:tr>
        <w:trPr>
          <w:trHeight w:val="203"/>
        </w:trPr>
        <w:tc>
          <w:tcPr>
            <w:tcW w:w="5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 retail, dining and entertainment expenses NOI</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25,933</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6,244</w:t>
            </w:r>
          </w:p>
        </w:tc>
        <w:tc>
          <w:tcPr>
            <w:tcW w:w="2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58,981</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5,123</w:t>
            </w:r>
          </w:p>
        </w:tc>
      </w:tr>
      <w:tr>
        <w:trPr>
          <w:trHeight w:val="200"/>
        </w:trPr>
        <w:tc>
          <w:tcPr>
            <w:tcW w:w="5320" w:type="dxa"/>
            <w:vAlign w:val="bottom"/>
          </w:tcPr>
          <w:p>
            <w:pPr>
              <w:ind w:left="140"/>
              <w:spacing w:after="0"/>
              <w:rPr>
                <w:sz w:val="20"/>
                <w:szCs w:val="20"/>
                <w:color w:val="auto"/>
              </w:rPr>
            </w:pPr>
            <w:r>
              <w:rPr>
                <w:rFonts w:ascii="Arial" w:cs="Arial" w:eastAsia="Arial" w:hAnsi="Arial"/>
                <w:sz w:val="15"/>
                <w:szCs w:val="15"/>
                <w:b w:val="1"/>
                <w:bCs w:val="1"/>
                <w:color w:val="auto"/>
              </w:rPr>
              <w:t>NOI</w:t>
            </w: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346,244</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218,278</w:t>
            </w:r>
          </w:p>
        </w:tc>
        <w:tc>
          <w:tcPr>
            <w:tcW w:w="240" w:type="dxa"/>
            <w:vAlign w:val="bottom"/>
          </w:tcPr>
          <w:p>
            <w:pPr>
              <w:spacing w:after="0"/>
              <w:rPr>
                <w:sz w:val="17"/>
                <w:szCs w:val="17"/>
                <w:color w:val="auto"/>
              </w:rPr>
            </w:pP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870,380</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564,123</w:t>
            </w:r>
          </w:p>
        </w:tc>
      </w:tr>
      <w:tr>
        <w:trPr>
          <w:trHeight w:val="20"/>
        </w:trPr>
        <w:tc>
          <w:tcPr>
            <w:tcW w:w="5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 of revenue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evaluate segment operating performance based on NOI. The RV and marina industries are cyclical and seasonal in nature, and the results of operations in any one period may not be indicative of results in future periods.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RV market, certain properties maintain higher occupancy during the summer months, while other properties maintain higher occupancy during the winter months. The RV market typically shows a decline in demand over the winter months, yet usually produces higher growth in the spring and summer months due to higher use by vacationers. Real property - transient revenue is included in the RV segment revenue. As of September 30, 2021, we recognized $31.7 million of Real property - transient revenue in the first quarter, $72.7 million in the second quarter, $119.8 million in the third quarter. Real property - transient revenue was approximately $134.7 million for the year ended December 31, 2020. In 2020, Real property - transient was recognized 18.8 percent in the first quarter, 15.6 percent in the second quarter, 44.9 percent in the third quarter and 20.7 percent in the fourth quarter.</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marina market, demand for wet slip storage increases during the summer months as customers contract for the summer boating season, which also drives non-storage revenue streams such as service, fuel and on-premise restaurants or convenience storage. Demand for dry storage increases during the winter season as seasonal weather patterns require boat owners to store their vessels on dry docks and within covered racks. As of September 30, 2021, we recognized $43.7 million of seasonal Real property revenue in the first quarter, $61.6 million in the second quarter, $73.8 million in the third quarter.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and nine months ended September 30, 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Total Portfolio</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Total Portfolio as of and for the three and nine months ended September 30, 2021 and 2020 (in thousands, except for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5"/>
                <w:szCs w:val="15"/>
                <w:b w:val="1"/>
                <w:bCs w:val="1"/>
                <w:color w:val="auto"/>
              </w:rPr>
              <w:t>Nine Months Ended</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120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72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w w:val="94"/>
              </w:rPr>
              <w:t>Change</w:t>
            </w:r>
          </w:p>
        </w:tc>
        <w:tc>
          <w:tcPr>
            <w:tcW w:w="8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2"/>
                <w:szCs w:val="12"/>
                <w:color w:val="auto"/>
              </w:rPr>
            </w:pPr>
          </w:p>
        </w:tc>
        <w:tc>
          <w:tcPr>
            <w:tcW w:w="114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2"/>
                <w:szCs w:val="12"/>
                <w:color w:val="auto"/>
              </w:rPr>
            </w:pPr>
          </w:p>
        </w:tc>
        <w:tc>
          <w:tcPr>
            <w:tcW w:w="120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2"/>
                <w:szCs w:val="12"/>
                <w:color w:val="auto"/>
              </w:rPr>
            </w:pPr>
          </w:p>
        </w:tc>
        <w:tc>
          <w:tcPr>
            <w:tcW w:w="72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w w:val="94"/>
              </w:rPr>
              <w:t>Change</w:t>
            </w:r>
          </w:p>
        </w:tc>
        <w:tc>
          <w:tcPr>
            <w:tcW w:w="80" w:type="dxa"/>
            <w:vAlign w:val="bottom"/>
          </w:tcPr>
          <w:p>
            <w:pPr>
              <w:spacing w:after="0"/>
              <w:rPr>
                <w:sz w:val="12"/>
                <w:szCs w:val="12"/>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44"/>
              <w:spacing w:after="0" w:line="203" w:lineRule="exact"/>
              <w:rPr>
                <w:sz w:val="20"/>
                <w:szCs w:val="20"/>
                <w:color w:val="auto"/>
              </w:rPr>
            </w:pPr>
            <w:r>
              <w:rPr>
                <w:rFonts w:ascii="Arial" w:cs="Arial" w:eastAsia="Arial" w:hAnsi="Arial"/>
                <w:sz w:val="15"/>
                <w:szCs w:val="15"/>
                <w:b w:val="1"/>
                <w:bCs w:val="1"/>
                <w:color w:val="auto"/>
              </w:rPr>
              <w:t>2020</w:t>
            </w:r>
            <w:r>
              <w:rPr>
                <w:rFonts w:ascii="Arial" w:cs="Arial" w:eastAsia="Arial" w:hAnsi="Arial"/>
                <w:sz w:val="19"/>
                <w:szCs w:val="19"/>
                <w:b w:val="1"/>
                <w:bCs w:val="1"/>
                <w:color w:val="auto"/>
                <w:vertAlign w:val="superscript"/>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44"/>
              <w:spacing w:after="0" w:line="203" w:lineRule="exact"/>
              <w:rPr>
                <w:sz w:val="20"/>
                <w:szCs w:val="20"/>
                <w:color w:val="auto"/>
              </w:rPr>
            </w:pPr>
            <w:r>
              <w:rPr>
                <w:rFonts w:ascii="Arial" w:cs="Arial" w:eastAsia="Arial" w:hAnsi="Arial"/>
                <w:sz w:val="15"/>
                <w:szCs w:val="15"/>
                <w:b w:val="1"/>
                <w:bCs w:val="1"/>
                <w:color w:val="auto"/>
              </w:rPr>
              <w:t>2020</w:t>
            </w:r>
            <w:r>
              <w:rPr>
                <w:rFonts w:ascii="Arial" w:cs="Arial" w:eastAsia="Arial" w:hAnsi="Arial"/>
                <w:sz w:val="19"/>
                <w:szCs w:val="19"/>
                <w:b w:val="1"/>
                <w:bCs w:val="1"/>
                <w:color w:val="auto"/>
                <w:vertAlign w:val="superscript"/>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2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Revenue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240"/>
              <w:spacing w:after="0" w:line="149" w:lineRule="exact"/>
              <w:rPr>
                <w:sz w:val="20"/>
                <w:szCs w:val="20"/>
                <w:color w:val="auto"/>
              </w:rPr>
            </w:pPr>
            <w:r>
              <w:rPr>
                <w:rFonts w:ascii="Arial" w:cs="Arial" w:eastAsia="Arial" w:hAnsi="Arial"/>
                <w:sz w:val="15"/>
                <w:szCs w:val="15"/>
                <w:color w:val="auto"/>
              </w:rPr>
              <w:t>Real property (excluding</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304,239</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211,565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92,674</w:t>
            </w:r>
          </w:p>
        </w:tc>
        <w:tc>
          <w:tcPr>
            <w:tcW w:w="980" w:type="dxa"/>
            <w:vAlign w:val="bottom"/>
            <w:gridSpan w:val="2"/>
            <w:vMerge w:val="restart"/>
          </w:tcPr>
          <w:p>
            <w:pPr>
              <w:jc w:val="right"/>
              <w:spacing w:after="0"/>
              <w:rPr>
                <w:sz w:val="20"/>
                <w:szCs w:val="20"/>
                <w:color w:val="auto"/>
              </w:rPr>
            </w:pPr>
            <w:r>
              <w:rPr>
                <w:rFonts w:ascii="Arial" w:cs="Arial" w:eastAsia="Arial" w:hAnsi="Arial"/>
                <w:sz w:val="15"/>
                <w:szCs w:val="15"/>
                <w:color w:val="auto"/>
              </w:rPr>
              <w:t>43.8 %</w:t>
            </w:r>
          </w:p>
        </w:tc>
        <w:tc>
          <w:tcPr>
            <w:tcW w:w="2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863,134</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626,620</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236,514</w:t>
            </w:r>
          </w:p>
        </w:tc>
        <w:tc>
          <w:tcPr>
            <w:tcW w:w="980" w:type="dxa"/>
            <w:vAlign w:val="bottom"/>
            <w:gridSpan w:val="2"/>
            <w:vMerge w:val="restart"/>
          </w:tcPr>
          <w:p>
            <w:pPr>
              <w:jc w:val="right"/>
              <w:spacing w:after="0"/>
              <w:rPr>
                <w:sz w:val="20"/>
                <w:szCs w:val="20"/>
                <w:color w:val="auto"/>
              </w:rPr>
            </w:pPr>
            <w:r>
              <w:rPr>
                <w:rFonts w:ascii="Arial" w:cs="Arial" w:eastAsia="Arial" w:hAnsi="Arial"/>
                <w:sz w:val="15"/>
                <w:szCs w:val="15"/>
                <w:color w:val="auto"/>
              </w:rPr>
              <w:t>37.7 %</w:t>
            </w:r>
          </w:p>
        </w:tc>
        <w:tc>
          <w:tcPr>
            <w:tcW w:w="0" w:type="dxa"/>
            <w:vAlign w:val="bottom"/>
          </w:tcPr>
          <w:p>
            <w:pPr>
              <w:spacing w:after="0"/>
              <w:rPr>
                <w:sz w:val="1"/>
                <w:szCs w:val="1"/>
                <w:color w:val="auto"/>
              </w:rPr>
            </w:pPr>
          </w:p>
        </w:tc>
      </w:tr>
      <w:tr>
        <w:trPr>
          <w:trHeight w:val="198"/>
        </w:trPr>
        <w:tc>
          <w:tcPr>
            <w:tcW w:w="2200" w:type="dxa"/>
            <w:vAlign w:val="bottom"/>
          </w:tcPr>
          <w:p>
            <w:pPr>
              <w:ind w:left="240"/>
              <w:spacing w:after="0"/>
              <w:rPr>
                <w:sz w:val="20"/>
                <w:szCs w:val="20"/>
                <w:color w:val="auto"/>
              </w:rPr>
            </w:pPr>
            <w:r>
              <w:rPr>
                <w:rFonts w:ascii="Arial" w:cs="Arial" w:eastAsia="Arial" w:hAnsi="Arial"/>
                <w:sz w:val="15"/>
                <w:szCs w:val="15"/>
                <w:color w:val="auto"/>
              </w:rPr>
              <w:t>Transient)</w:t>
            </w: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Real property - transient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126,072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80,412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45,660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56.8 %</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235,606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136,473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99,133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72.6 %</w:t>
            </w:r>
          </w:p>
        </w:tc>
        <w:tc>
          <w:tcPr>
            <w:tcW w:w="0" w:type="dxa"/>
            <w:vAlign w:val="bottom"/>
          </w:tcPr>
          <w:p>
            <w:pPr>
              <w:spacing w:after="0"/>
              <w:rPr>
                <w:sz w:val="1"/>
                <w:szCs w:val="1"/>
                <w:color w:val="auto"/>
              </w:rPr>
            </w:pPr>
          </w:p>
        </w:tc>
      </w:tr>
      <w:tr>
        <w:trPr>
          <w:trHeight w:val="198"/>
        </w:trPr>
        <w:tc>
          <w:tcPr>
            <w:tcW w:w="220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48,314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28,511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19,803</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69.5 %</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116,403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66,871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49,532</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74.1 %</w:t>
            </w:r>
          </w:p>
        </w:tc>
        <w:tc>
          <w:tcPr>
            <w:tcW w:w="0" w:type="dxa"/>
            <w:vAlign w:val="bottom"/>
          </w:tcPr>
          <w:p>
            <w:pPr>
              <w:spacing w:after="0"/>
              <w:rPr>
                <w:sz w:val="1"/>
                <w:szCs w:val="1"/>
                <w:color w:val="auto"/>
              </w:rPr>
            </w:pPr>
          </w:p>
        </w:tc>
      </w:tr>
      <w:tr>
        <w:trPr>
          <w:trHeight w:val="200"/>
        </w:trPr>
        <w:tc>
          <w:tcPr>
            <w:tcW w:w="22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Operating</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478,625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320,488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158,137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49.3 %</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1,215,143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829,964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385,179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46.4 %</w:t>
            </w:r>
          </w:p>
        </w:tc>
        <w:tc>
          <w:tcPr>
            <w:tcW w:w="0" w:type="dxa"/>
            <w:vAlign w:val="bottom"/>
          </w:tcPr>
          <w:p>
            <w:pPr>
              <w:spacing w:after="0"/>
              <w:rPr>
                <w:sz w:val="1"/>
                <w:szCs w:val="1"/>
                <w:color w:val="auto"/>
              </w:rPr>
            </w:pPr>
          </w:p>
        </w:tc>
      </w:tr>
      <w:tr>
        <w:trPr>
          <w:trHeight w:val="200"/>
        </w:trPr>
        <w:tc>
          <w:tcPr>
            <w:tcW w:w="2200" w:type="dxa"/>
            <w:vAlign w:val="bottom"/>
          </w:tcPr>
          <w:p>
            <w:pPr>
              <w:ind w:left="140"/>
              <w:spacing w:after="0"/>
              <w:rPr>
                <w:sz w:val="20"/>
                <w:szCs w:val="20"/>
                <w:color w:val="auto"/>
              </w:rPr>
            </w:pPr>
            <w:r>
              <w:rPr>
                <w:rFonts w:ascii="Arial" w:cs="Arial" w:eastAsia="Arial" w:hAnsi="Arial"/>
                <w:sz w:val="15"/>
                <w:szCs w:val="15"/>
                <w:b w:val="1"/>
                <w:bCs w:val="1"/>
                <w:color w:val="auto"/>
              </w:rPr>
              <w:t>Expense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Property Operating</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182,846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116,217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66,629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57.3 %</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461,970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291,754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170,216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58.3 %</w:t>
            </w:r>
          </w:p>
        </w:tc>
        <w:tc>
          <w:tcPr>
            <w:tcW w:w="0" w:type="dxa"/>
            <w:vAlign w:val="bottom"/>
          </w:tcPr>
          <w:p>
            <w:pPr>
              <w:spacing w:after="0"/>
              <w:rPr>
                <w:sz w:val="1"/>
                <w:szCs w:val="1"/>
                <w:color w:val="auto"/>
              </w:rPr>
            </w:pPr>
          </w:p>
        </w:tc>
      </w:tr>
      <w:tr>
        <w:trPr>
          <w:trHeight w:val="200"/>
        </w:trPr>
        <w:tc>
          <w:tcPr>
            <w:tcW w:w="2200" w:type="dxa"/>
            <w:vAlign w:val="bottom"/>
          </w:tcPr>
          <w:p>
            <w:pPr>
              <w:ind w:left="240"/>
              <w:spacing w:after="0"/>
              <w:rPr>
                <w:sz w:val="20"/>
                <w:szCs w:val="20"/>
                <w:color w:val="auto"/>
              </w:rPr>
            </w:pPr>
            <w:r>
              <w:rPr>
                <w:rFonts w:ascii="Arial" w:cs="Arial" w:eastAsia="Arial" w:hAnsi="Arial"/>
                <w:sz w:val="15"/>
                <w:szCs w:val="15"/>
                <w:color w:val="auto"/>
              </w:rPr>
              <w:t>Real Property NOI</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295,779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204,271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91,508</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44.8 %</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753,173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538,210</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214,963</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39.9 %</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Canadian currency figures included within the three and nine months ended September 30, 2020 have been translated at the 2021 average exchange rates.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8"/>
        </w:trPr>
        <w:tc>
          <w:tcPr>
            <w:tcW w:w="6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Pr>
          <w:p>
            <w:pPr>
              <w:spacing w:after="0"/>
              <w:rPr>
                <w:sz w:val="17"/>
                <w:szCs w:val="17"/>
                <w:color w:val="auto"/>
              </w:rPr>
            </w:pPr>
          </w:p>
        </w:tc>
        <w:tc>
          <w:tcPr>
            <w:tcW w:w="1460" w:type="dxa"/>
            <w:vAlign w:val="bottom"/>
          </w:tcPr>
          <w:p>
            <w:pPr>
              <w:jc w:val="right"/>
              <w:ind w:right="64"/>
              <w:spacing w:after="0"/>
              <w:rPr>
                <w:sz w:val="20"/>
                <w:szCs w:val="20"/>
                <w:color w:val="auto"/>
              </w:rPr>
            </w:pPr>
            <w:r>
              <w:rPr>
                <w:rFonts w:ascii="Arial" w:cs="Arial" w:eastAsia="Arial" w:hAnsi="Arial"/>
                <w:sz w:val="15"/>
                <w:szCs w:val="15"/>
                <w:b w:val="1"/>
                <w:bCs w:val="1"/>
                <w:color w:val="auto"/>
                <w:w w:val="92"/>
              </w:rPr>
              <w:t>September 30, 2020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484"/>
              <w:spacing w:after="0"/>
              <w:rPr>
                <w:sz w:val="20"/>
                <w:szCs w:val="20"/>
                <w:color w:val="auto"/>
              </w:rPr>
            </w:pPr>
            <w:r>
              <w:rPr>
                <w:rFonts w:ascii="Arial" w:cs="Arial" w:eastAsia="Arial" w:hAnsi="Arial"/>
                <w:sz w:val="15"/>
                <w:szCs w:val="15"/>
                <w:b w:val="1"/>
                <w:bCs w:val="1"/>
                <w:color w:val="auto"/>
              </w:rPr>
              <w:t>Change</w:t>
            </w:r>
          </w:p>
        </w:tc>
      </w:tr>
      <w:tr>
        <w:trPr>
          <w:trHeight w:val="183"/>
        </w:trPr>
        <w:tc>
          <w:tcPr>
            <w:tcW w:w="600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1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07"/>
        </w:trPr>
        <w:tc>
          <w:tcPr>
            <w:tcW w:w="6000" w:type="dxa"/>
            <w:vAlign w:val="bottom"/>
            <w:shd w:val="clear" w:color="auto" w:fill="CCEEFF"/>
          </w:tcPr>
          <w:p>
            <w:pPr>
              <w:ind w:left="140"/>
              <w:spacing w:after="0" w:line="206" w:lineRule="exact"/>
              <w:rPr>
                <w:sz w:val="20"/>
                <w:szCs w:val="20"/>
                <w:color w:val="auto"/>
              </w:rPr>
            </w:pPr>
            <w:r>
              <w:rPr>
                <w:rFonts w:ascii="Arial" w:cs="Arial" w:eastAsia="Arial" w:hAnsi="Arial"/>
                <w:sz w:val="15"/>
                <w:szCs w:val="15"/>
                <w:color w:val="auto"/>
              </w:rPr>
              <w:t>Number of properties</w:t>
            </w:r>
            <w:r>
              <w:rPr>
                <w:rFonts w:ascii="Arial" w:cs="Arial" w:eastAsia="Arial" w:hAnsi="Arial"/>
                <w:sz w:val="19"/>
                <w:szCs w:val="19"/>
                <w:color w:val="auto"/>
                <w:vertAlign w:val="superscript"/>
              </w:rPr>
              <w:t>(1)</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432</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152</w:t>
            </w:r>
          </w:p>
        </w:tc>
      </w:tr>
      <w:tr>
        <w:trPr>
          <w:trHeight w:val="202"/>
        </w:trPr>
        <w:tc>
          <w:tcPr>
            <w:tcW w:w="6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MH occupancy</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96.6 %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00" w:type="dxa"/>
            <w:vAlign w:val="bottom"/>
          </w:tcPr>
          <w:p>
            <w:pPr>
              <w:ind w:left="140"/>
              <w:spacing w:after="0" w:line="203" w:lineRule="exact"/>
              <w:rPr>
                <w:sz w:val="20"/>
                <w:szCs w:val="20"/>
                <w:color w:val="auto"/>
              </w:rPr>
            </w:pPr>
            <w:r>
              <w:rPr>
                <w:rFonts w:ascii="Arial" w:cs="Arial" w:eastAsia="Arial" w:hAnsi="Arial"/>
                <w:sz w:val="15"/>
                <w:szCs w:val="15"/>
                <w:color w:val="auto"/>
              </w:rPr>
              <w:t>RV occupancy</w:t>
            </w:r>
            <w:r>
              <w:rPr>
                <w:rFonts w:ascii="Arial" w:cs="Arial" w:eastAsia="Arial" w:hAnsi="Arial"/>
                <w:sz w:val="19"/>
                <w:szCs w:val="19"/>
                <w:color w:val="auto"/>
                <w:vertAlign w:val="superscript"/>
              </w:rPr>
              <w:t>(2)</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0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MH &amp; RV blended occupancy</w:t>
            </w:r>
            <w:r>
              <w:rPr>
                <w:rFonts w:ascii="Arial" w:cs="Arial" w:eastAsia="Arial" w:hAnsi="Arial"/>
                <w:sz w:val="19"/>
                <w:szCs w:val="19"/>
                <w:color w:val="auto"/>
                <w:vertAlign w:val="superscript"/>
              </w:rPr>
              <w:t>(3)</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97.2 %</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0.2 %</w:t>
            </w:r>
          </w:p>
        </w:tc>
      </w:tr>
      <w:tr>
        <w:trPr>
          <w:trHeight w:val="203"/>
        </w:trPr>
        <w:tc>
          <w:tcPr>
            <w:tcW w:w="6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0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occupancy</w:t>
            </w:r>
            <w:r>
              <w:rPr>
                <w:rFonts w:ascii="Arial" w:cs="Arial" w:eastAsia="Arial" w:hAnsi="Arial"/>
                <w:sz w:val="19"/>
                <w:szCs w:val="19"/>
                <w:color w:val="auto"/>
                <w:vertAlign w:val="superscript"/>
              </w:rPr>
              <w:t>(4)</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00" w:type="dxa"/>
            <w:vAlign w:val="bottom"/>
          </w:tcPr>
          <w:p>
            <w:pPr>
              <w:ind w:left="140"/>
              <w:spacing w:after="0" w:line="203" w:lineRule="exact"/>
              <w:rPr>
                <w:sz w:val="20"/>
                <w:szCs w:val="20"/>
                <w:color w:val="auto"/>
              </w:rPr>
            </w:pPr>
            <w:r>
              <w:rPr>
                <w:rFonts w:ascii="Arial" w:cs="Arial" w:eastAsia="Arial" w:hAnsi="Arial"/>
                <w:sz w:val="15"/>
                <w:szCs w:val="15"/>
                <w:color w:val="auto"/>
              </w:rPr>
              <w:t>Adjusted RV occupancy</w:t>
            </w:r>
            <w:r>
              <w:rPr>
                <w:rFonts w:ascii="Arial" w:cs="Arial" w:eastAsia="Arial" w:hAnsi="Arial"/>
                <w:sz w:val="19"/>
                <w:szCs w:val="19"/>
                <w:color w:val="auto"/>
                <w:vertAlign w:val="superscript"/>
              </w:rPr>
              <w:t>(5)</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0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&amp; RV occupancy</w:t>
            </w:r>
            <w:r>
              <w:rPr>
                <w:rFonts w:ascii="Arial" w:cs="Arial" w:eastAsia="Arial" w:hAnsi="Arial"/>
                <w:sz w:val="19"/>
                <w:szCs w:val="19"/>
                <w:color w:val="auto"/>
                <w:vertAlign w:val="superscript"/>
              </w:rPr>
              <w:t>(6)</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98.3 %</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03"/>
        </w:trPr>
        <w:tc>
          <w:tcPr>
            <w:tcW w:w="6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Sites available for MH &amp; RV development</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10,312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10,130</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182</w:t>
            </w:r>
          </w:p>
        </w:tc>
      </w:tr>
      <w:tr>
        <w:trPr>
          <w:trHeight w:val="203"/>
        </w:trPr>
        <w:tc>
          <w:tcPr>
            <w:tcW w:w="6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MH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(8)</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w:t>
            </w:r>
          </w:p>
        </w:tc>
      </w:tr>
      <w:tr>
        <w:trPr>
          <w:trHeight w:val="203"/>
        </w:trPr>
        <w:tc>
          <w:tcPr>
            <w:tcW w:w="6000" w:type="dxa"/>
            <w:vAlign w:val="bottom"/>
          </w:tcPr>
          <w:p>
            <w:pPr>
              <w:ind w:left="140"/>
              <w:spacing w:after="0" w:line="203" w:lineRule="exact"/>
              <w:rPr>
                <w:sz w:val="20"/>
                <w:szCs w:val="20"/>
                <w:color w:val="auto"/>
              </w:rPr>
            </w:pPr>
            <w:r>
              <w:rPr>
                <w:rFonts w:ascii="Arial" w:cs="Arial" w:eastAsia="Arial" w:hAnsi="Arial"/>
                <w:sz w:val="15"/>
                <w:szCs w:val="15"/>
                <w:color w:val="auto"/>
              </w:rPr>
              <w:t>Monthly base rent per site - RV</w:t>
            </w:r>
            <w:r>
              <w:rPr>
                <w:rFonts w:ascii="Arial" w:cs="Arial" w:eastAsia="Arial" w:hAnsi="Arial"/>
                <w:sz w:val="19"/>
                <w:szCs w:val="19"/>
                <w:color w:val="auto"/>
                <w:vertAlign w:val="superscript"/>
              </w:rPr>
              <w:t>(7)</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518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104"/>
              <w:spacing w:after="0"/>
              <w:rPr>
                <w:sz w:val="20"/>
                <w:szCs w:val="20"/>
                <w:color w:val="auto"/>
              </w:rPr>
            </w:pPr>
            <w:r>
              <w:rPr>
                <w:rFonts w:ascii="Arial" w:cs="Arial" w:eastAsia="Arial" w:hAnsi="Arial"/>
                <w:sz w:val="15"/>
                <w:szCs w:val="15"/>
                <w:color w:val="auto"/>
              </w:rPr>
              <w:t>503</w:t>
            </w:r>
          </w:p>
        </w:tc>
        <w:tc>
          <w:tcPr>
            <w:tcW w:w="280" w:type="dxa"/>
            <w:vAlign w:val="bottom"/>
          </w:tcPr>
          <w:p>
            <w:pPr>
              <w:jc w:val="right"/>
              <w:ind w:right="90"/>
              <w:spacing w:after="0"/>
              <w:rPr>
                <w:sz w:val="20"/>
                <w:szCs w:val="20"/>
                <w:color w:val="auto"/>
              </w:rPr>
            </w:pPr>
            <w:r>
              <w:rPr>
                <w:rFonts w:ascii="Arial" w:cs="Arial" w:eastAsia="Arial" w:hAnsi="Arial"/>
                <w:sz w:val="10"/>
                <w:szCs w:val="10"/>
                <w:color w:val="auto"/>
                <w:w w:val="97"/>
              </w:rPr>
              <w:t>(8)</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15</w:t>
            </w:r>
          </w:p>
        </w:tc>
      </w:tr>
      <w:tr>
        <w:trPr>
          <w:trHeight w:val="203"/>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568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(8)</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w:t>
            </w:r>
          </w:p>
        </w:tc>
      </w:tr>
    </w:tbl>
    <w:p>
      <w:pPr>
        <w:spacing w:after="0" w:line="65"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Includes MH communities, RV resorts and marinas.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annual RV sites and exclude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MH and annual RV sites, and exclude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exclude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Monthly base rent pertains to annual RV sites and excludes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Canadian currency figures included within the three months ended September 30, 2020 have been translated at 2021 average exchange rates.</w:t>
      </w:r>
    </w:p>
    <w:p>
      <w:pPr>
        <w:spacing w:after="0" w:line="2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September 30, 2021, the $91.5 million increase in Real Property NOI consists of $24.1 million from Same Communities as detailed below, $51.0 million from the marinas and $16.4 million from recently acquired properties as compared to the same period in 2020.</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2021, the $215.0 million increase in Real Property NOI consists of $63.1 million from Same Communities as detailed below, $117.6 million from marinas and $34.3 million from recently acquired properties in the nine months ended September 30, 2021 as compared to the same period in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Same Community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key management tool used when evaluating performance and growth of our properties is a comparison of our Same Communities. The Same Communities data includes all properties which we have owned and operated continuously since January 1, 2020, exclusive of properties recently completed or under construction, and other properties as determined by management. The Same Community data may change from time-to-time depending on acquisitions, dispositions, management discretion, significant transactions or unique situations. In order to evaluate the growth of the Same Communities, management has classified certain items differently than our GAAP statements. The reclassification difference between our GAAP statements and our Same Community portfolio is the reclassification of utility revenues from Real property revenue to operating expenses. A significant portion of our utility charges are re-billed to our residents.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Same Communities as of and for the three and nine months ended September 30, 2021 and 2020 (in thousands, except for statistical information).</w:t>
      </w:r>
    </w:p>
    <w:p>
      <w:pPr>
        <w:spacing w:after="0" w:line="235" w:lineRule="exact"/>
        <w:rPr>
          <w:sz w:val="20"/>
          <w:szCs w:val="20"/>
          <w:color w:val="auto"/>
        </w:rPr>
      </w:pPr>
    </w:p>
    <w:p>
      <w:pPr>
        <w:ind w:left="5560"/>
        <w:spacing w:after="0"/>
        <w:rPr>
          <w:sz w:val="20"/>
          <w:szCs w:val="20"/>
          <w:color w:val="auto"/>
        </w:rPr>
      </w:pPr>
      <w:r>
        <w:rPr>
          <w:rFonts w:ascii="Arial" w:cs="Arial" w:eastAsia="Arial" w:hAnsi="Arial"/>
          <w:sz w:val="15"/>
          <w:szCs w:val="15"/>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91"/>
              </w:rPr>
              <w:t>Total Same Community</w:t>
            </w: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center"/>
              <w:ind w:left="264"/>
              <w:spacing w:after="0"/>
              <w:rPr>
                <w:sz w:val="20"/>
                <w:szCs w:val="20"/>
                <w:color w:val="auto"/>
              </w:rPr>
            </w:pPr>
            <w:r>
              <w:rPr>
                <w:rFonts w:ascii="Arial" w:cs="Arial" w:eastAsia="Arial" w:hAnsi="Arial"/>
                <w:sz w:val="15"/>
                <w:szCs w:val="15"/>
                <w:b w:val="1"/>
                <w:bCs w:val="1"/>
                <w:color w:val="auto"/>
              </w:rPr>
              <w:t>MH</w:t>
            </w: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5"/>
                <w:szCs w:val="15"/>
                <w:b w:val="1"/>
                <w:bCs w:val="1"/>
                <w:color w:val="auto"/>
              </w:rPr>
              <w:t>RV</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0" w:type="dxa"/>
            <w:vAlign w:val="bottom"/>
            <w:gridSpan w:val="2"/>
          </w:tcPr>
          <w:p>
            <w:pPr>
              <w:jc w:val="center"/>
              <w:spacing w:after="0" w:line="144" w:lineRule="exact"/>
              <w:rPr>
                <w:sz w:val="20"/>
                <w:szCs w:val="20"/>
                <w:color w:val="auto"/>
              </w:rPr>
            </w:pPr>
            <w:r>
              <w:rPr>
                <w:rFonts w:ascii="Arial" w:cs="Arial" w:eastAsia="Arial" w:hAnsi="Arial"/>
                <w:sz w:val="15"/>
                <w:szCs w:val="15"/>
                <w:b w:val="1"/>
                <w:bCs w:val="1"/>
                <w:color w:val="auto"/>
                <w:w w:val="90"/>
              </w:rPr>
              <w:t>September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00"/>
              <w:spacing w:after="0" w:line="144" w:lineRule="exact"/>
              <w:rPr>
                <w:sz w:val="20"/>
                <w:szCs w:val="20"/>
                <w:color w:val="auto"/>
              </w:rPr>
            </w:pPr>
            <w:r>
              <w:rPr>
                <w:rFonts w:ascii="Arial" w:cs="Arial" w:eastAsia="Arial" w:hAnsi="Arial"/>
                <w:sz w:val="15"/>
                <w:szCs w:val="15"/>
                <w:b w:val="1"/>
                <w:bCs w:val="1"/>
                <w:color w:val="auto"/>
                <w:w w:val="90"/>
              </w:rPr>
              <w:t>September</w:t>
            </w:r>
          </w:p>
        </w:tc>
        <w:tc>
          <w:tcPr>
            <w:tcW w:w="6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4"/>
              </w:rPr>
              <w:t>Change</w:t>
            </w:r>
          </w:p>
        </w:tc>
        <w:tc>
          <w:tcPr>
            <w:tcW w:w="760" w:type="dxa"/>
            <w:vAlign w:val="bottom"/>
            <w:gridSpan w:val="2"/>
          </w:tcPr>
          <w:p>
            <w:pPr>
              <w:jc w:val="center"/>
              <w:ind w:left="24"/>
              <w:spacing w:after="0" w:line="144"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5"/>
          </w:tcPr>
          <w:p>
            <w:pPr>
              <w:jc w:val="center"/>
              <w:ind w:right="80"/>
              <w:spacing w:after="0" w:line="144" w:lineRule="exact"/>
              <w:rPr>
                <w:sz w:val="20"/>
                <w:szCs w:val="20"/>
                <w:color w:val="auto"/>
              </w:rPr>
            </w:pPr>
            <w:r>
              <w:rPr>
                <w:rFonts w:ascii="Arial" w:cs="Arial" w:eastAsia="Arial" w:hAnsi="Arial"/>
                <w:sz w:val="15"/>
                <w:szCs w:val="15"/>
                <w:b w:val="1"/>
                <w:bCs w:val="1"/>
                <w:color w:val="auto"/>
                <w:w w:val="90"/>
              </w:rPr>
              <w:t>September</w:t>
            </w:r>
          </w:p>
        </w:tc>
        <w:tc>
          <w:tcPr>
            <w:tcW w:w="920" w:type="dxa"/>
            <w:vAlign w:val="bottom"/>
            <w:gridSpan w:val="3"/>
          </w:tcPr>
          <w:p>
            <w:pPr>
              <w:jc w:val="center"/>
              <w:ind w:right="80"/>
              <w:spacing w:after="0" w:line="144" w:lineRule="exact"/>
              <w:rPr>
                <w:sz w:val="20"/>
                <w:szCs w:val="20"/>
                <w:color w:val="auto"/>
              </w:rPr>
            </w:pPr>
            <w:r>
              <w:rPr>
                <w:rFonts w:ascii="Arial" w:cs="Arial" w:eastAsia="Arial" w:hAnsi="Arial"/>
                <w:sz w:val="15"/>
                <w:szCs w:val="15"/>
                <w:b w:val="1"/>
                <w:bCs w:val="1"/>
                <w:color w:val="auto"/>
                <w:w w:val="92"/>
              </w:rPr>
              <w:t>September</w:t>
            </w:r>
          </w:p>
        </w:tc>
        <w:tc>
          <w:tcPr>
            <w:tcW w:w="6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8"/>
              </w:rPr>
              <w:t>Change</w:t>
            </w:r>
          </w:p>
        </w:tc>
        <w:tc>
          <w:tcPr>
            <w:tcW w:w="780" w:type="dxa"/>
            <w:vAlign w:val="bottom"/>
            <w:gridSpan w:val="2"/>
          </w:tcPr>
          <w:p>
            <w:pPr>
              <w:jc w:val="center"/>
              <w:ind w:left="24"/>
              <w:spacing w:after="0" w:line="144" w:lineRule="exact"/>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2"/>
                <w:szCs w:val="12"/>
                <w:color w:val="auto"/>
              </w:rPr>
            </w:pPr>
          </w:p>
        </w:tc>
        <w:tc>
          <w:tcPr>
            <w:tcW w:w="940" w:type="dxa"/>
            <w:vAlign w:val="bottom"/>
            <w:gridSpan w:val="3"/>
          </w:tcPr>
          <w:p>
            <w:pPr>
              <w:jc w:val="center"/>
              <w:ind w:right="80"/>
              <w:spacing w:after="0" w:line="144" w:lineRule="exact"/>
              <w:rPr>
                <w:sz w:val="20"/>
                <w:szCs w:val="20"/>
                <w:color w:val="auto"/>
              </w:rPr>
            </w:pPr>
            <w:r>
              <w:rPr>
                <w:rFonts w:ascii="Arial" w:cs="Arial" w:eastAsia="Arial" w:hAnsi="Arial"/>
                <w:sz w:val="15"/>
                <w:szCs w:val="15"/>
                <w:b w:val="1"/>
                <w:bCs w:val="1"/>
                <w:color w:val="auto"/>
                <w:w w:val="90"/>
              </w:rPr>
              <w:t>September</w:t>
            </w:r>
          </w:p>
        </w:tc>
        <w:tc>
          <w:tcPr>
            <w:tcW w:w="920" w:type="dxa"/>
            <w:vAlign w:val="bottom"/>
            <w:gridSpan w:val="3"/>
          </w:tcPr>
          <w:p>
            <w:pPr>
              <w:jc w:val="center"/>
              <w:ind w:right="60"/>
              <w:spacing w:after="0" w:line="144" w:lineRule="exact"/>
              <w:rPr>
                <w:sz w:val="20"/>
                <w:szCs w:val="20"/>
                <w:color w:val="auto"/>
              </w:rPr>
            </w:pPr>
            <w:r>
              <w:rPr>
                <w:rFonts w:ascii="Arial" w:cs="Arial" w:eastAsia="Arial" w:hAnsi="Arial"/>
                <w:sz w:val="15"/>
                <w:szCs w:val="15"/>
                <w:b w:val="1"/>
                <w:bCs w:val="1"/>
                <w:color w:val="auto"/>
                <w:w w:val="90"/>
              </w:rPr>
              <w:t>September</w:t>
            </w: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8"/>
              </w:rPr>
              <w:t>Change</w:t>
            </w:r>
          </w:p>
        </w:tc>
        <w:tc>
          <w:tcPr>
            <w:tcW w:w="780" w:type="dxa"/>
            <w:vAlign w:val="bottom"/>
            <w:gridSpan w:val="2"/>
          </w:tcPr>
          <w:p>
            <w:pPr>
              <w:jc w:val="center"/>
              <w:ind w:left="4"/>
              <w:spacing w:after="0" w:line="14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0"/>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ind w:right="24"/>
              <w:spacing w:after="0"/>
              <w:rPr>
                <w:sz w:val="20"/>
                <w:szCs w:val="20"/>
                <w:color w:val="auto"/>
              </w:rPr>
            </w:pPr>
            <w:r>
              <w:rPr>
                <w:rFonts w:ascii="Arial" w:cs="Arial" w:eastAsia="Arial" w:hAnsi="Arial"/>
                <w:sz w:val="15"/>
                <w:szCs w:val="15"/>
                <w:b w:val="1"/>
                <w:bCs w:val="1"/>
                <w:color w:val="auto"/>
                <w:w w:val="92"/>
              </w:rPr>
              <w:t>30, 2021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ind w:right="64"/>
              <w:spacing w:after="0"/>
              <w:rPr>
                <w:sz w:val="20"/>
                <w:szCs w:val="20"/>
                <w:color w:val="auto"/>
              </w:rPr>
            </w:pPr>
            <w:r>
              <w:rPr>
                <w:rFonts w:ascii="Arial" w:cs="Arial" w:eastAsia="Arial" w:hAnsi="Arial"/>
                <w:sz w:val="15"/>
                <w:szCs w:val="15"/>
                <w:b w:val="1"/>
                <w:bCs w:val="1"/>
                <w:color w:val="auto"/>
                <w:w w:val="92"/>
              </w:rPr>
              <w:t>30, 2020</w:t>
            </w: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0"/>
              </w:rPr>
              <w:t>Change</w:t>
            </w:r>
          </w:p>
        </w:tc>
        <w:tc>
          <w:tcPr>
            <w:tcW w:w="120" w:type="dxa"/>
            <w:vAlign w:val="bottom"/>
          </w:tcPr>
          <w:p>
            <w:pPr>
              <w:spacing w:after="0"/>
              <w:rPr>
                <w:sz w:val="17"/>
                <w:szCs w:val="17"/>
                <w:color w:val="auto"/>
              </w:rPr>
            </w:pPr>
          </w:p>
        </w:tc>
        <w:tc>
          <w:tcPr>
            <w:tcW w:w="720" w:type="dxa"/>
            <w:vAlign w:val="bottom"/>
          </w:tcPr>
          <w:p>
            <w:pPr>
              <w:jc w:val="center"/>
              <w:ind w:right="24"/>
              <w:spacing w:after="0"/>
              <w:rPr>
                <w:sz w:val="20"/>
                <w:szCs w:val="20"/>
                <w:color w:val="auto"/>
              </w:rPr>
            </w:pPr>
            <w:r>
              <w:rPr>
                <w:rFonts w:ascii="Arial" w:cs="Arial" w:eastAsia="Arial" w:hAnsi="Arial"/>
                <w:sz w:val="15"/>
                <w:szCs w:val="15"/>
                <w:b w:val="1"/>
                <w:bCs w:val="1"/>
                <w:color w:val="auto"/>
                <w:w w:val="92"/>
              </w:rPr>
              <w:t>30, 2021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ind w:right="44"/>
              <w:spacing w:after="0"/>
              <w:rPr>
                <w:sz w:val="20"/>
                <w:szCs w:val="20"/>
                <w:color w:val="auto"/>
              </w:rPr>
            </w:pPr>
            <w:r>
              <w:rPr>
                <w:rFonts w:ascii="Arial" w:cs="Arial" w:eastAsia="Arial" w:hAnsi="Arial"/>
                <w:sz w:val="15"/>
                <w:szCs w:val="15"/>
                <w:b w:val="1"/>
                <w:bCs w:val="1"/>
                <w:color w:val="auto"/>
                <w:w w:val="88"/>
              </w:rPr>
              <w:t>30, 2020</w:t>
            </w: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Change</w:t>
            </w:r>
          </w:p>
        </w:tc>
        <w:tc>
          <w:tcPr>
            <w:tcW w:w="140" w:type="dxa"/>
            <w:vAlign w:val="bottom"/>
          </w:tcPr>
          <w:p>
            <w:pPr>
              <w:spacing w:after="0"/>
              <w:rPr>
                <w:sz w:val="17"/>
                <w:szCs w:val="17"/>
                <w:color w:val="auto"/>
              </w:rPr>
            </w:pPr>
          </w:p>
        </w:tc>
        <w:tc>
          <w:tcPr>
            <w:tcW w:w="720" w:type="dxa"/>
            <w:vAlign w:val="bottom"/>
          </w:tcPr>
          <w:p>
            <w:pPr>
              <w:jc w:val="center"/>
              <w:ind w:right="64"/>
              <w:spacing w:after="0"/>
              <w:rPr>
                <w:sz w:val="20"/>
                <w:szCs w:val="20"/>
                <w:color w:val="auto"/>
              </w:rPr>
            </w:pPr>
            <w:r>
              <w:rPr>
                <w:rFonts w:ascii="Arial" w:cs="Arial" w:eastAsia="Arial" w:hAnsi="Arial"/>
                <w:sz w:val="15"/>
                <w:szCs w:val="15"/>
                <w:b w:val="1"/>
                <w:bCs w:val="1"/>
                <w:color w:val="auto"/>
                <w:w w:val="92"/>
              </w:rPr>
              <w:t>30, 2021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ind w:right="24"/>
              <w:spacing w:after="0"/>
              <w:rPr>
                <w:sz w:val="20"/>
                <w:szCs w:val="20"/>
                <w:color w:val="auto"/>
              </w:rPr>
            </w:pPr>
            <w:r>
              <w:rPr>
                <w:rFonts w:ascii="Arial" w:cs="Arial" w:eastAsia="Arial" w:hAnsi="Arial"/>
                <w:sz w:val="15"/>
                <w:szCs w:val="15"/>
                <w:b w:val="1"/>
                <w:bCs w:val="1"/>
                <w:color w:val="auto"/>
                <w:w w:val="92"/>
              </w:rPr>
              <w:t>30, 2020</w:t>
            </w: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5"/>
                <w:szCs w:val="15"/>
                <w:b w:val="1"/>
                <w:bCs w:val="1"/>
                <w:color w:val="auto"/>
                <w:w w:val="90"/>
              </w:rPr>
              <w:t>Change</w:t>
            </w:r>
          </w:p>
        </w:tc>
        <w:tc>
          <w:tcPr>
            <w:tcW w:w="0" w:type="dxa"/>
            <w:vAlign w:val="bottom"/>
          </w:tcPr>
          <w:p>
            <w:pPr>
              <w:spacing w:after="0"/>
              <w:rPr>
                <w:sz w:val="1"/>
                <w:szCs w:val="1"/>
                <w:color w:val="auto"/>
              </w:rPr>
            </w:pPr>
          </w:p>
        </w:tc>
      </w:tr>
      <w:tr>
        <w:trPr>
          <w:trHeight w:val="131"/>
        </w:trPr>
        <w:tc>
          <w:tcPr>
            <w:tcW w:w="128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5"/>
                <w:szCs w:val="15"/>
                <w:b w:val="1"/>
                <w:bCs w:val="1"/>
                <w:color w:val="auto"/>
              </w:rPr>
              <w:t>Financial</w:t>
            </w: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Information</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80" w:type="dxa"/>
            <w:vAlign w:val="bottom"/>
          </w:tcPr>
          <w:p>
            <w:pPr>
              <w:ind w:left="140"/>
              <w:spacing w:after="0"/>
              <w:rPr>
                <w:sz w:val="20"/>
                <w:szCs w:val="20"/>
                <w:color w:val="auto"/>
              </w:rPr>
            </w:pPr>
            <w:r>
              <w:rPr>
                <w:rFonts w:ascii="Arial" w:cs="Arial" w:eastAsia="Arial" w:hAnsi="Arial"/>
                <w:sz w:val="15"/>
                <w:szCs w:val="15"/>
                <w:b w:val="1"/>
                <w:bCs w:val="1"/>
                <w:color w:val="auto"/>
              </w:rPr>
              <w:t>Revenue</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28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Real property</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40"/>
              <w:spacing w:after="0" w:line="149" w:lineRule="exact"/>
              <w:rPr>
                <w:sz w:val="20"/>
                <w:szCs w:val="20"/>
                <w:color w:val="auto"/>
              </w:rPr>
            </w:pPr>
            <w:r>
              <w:rPr>
                <w:rFonts w:ascii="Arial" w:cs="Arial" w:eastAsia="Arial" w:hAnsi="Arial"/>
                <w:sz w:val="15"/>
                <w:szCs w:val="15"/>
                <w:color w:val="auto"/>
              </w:rPr>
              <w:t>(excluding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220,291</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207,407</w:t>
            </w: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8"/>
              </w:rPr>
              <w:t>$ 12,884</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6.2 %</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173,979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167,051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6,928</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46,312</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40,356</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  5,956</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14.8 %</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Transient)</w:t>
            </w: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40" w:type="dxa"/>
            <w:vAlign w:val="bottom"/>
            <w:gridSpan w:val="3"/>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40"/>
              <w:spacing w:after="0" w:line="149" w:lineRule="exact"/>
              <w:rPr>
                <w:sz w:val="20"/>
                <w:szCs w:val="20"/>
                <w:color w:val="auto"/>
              </w:rPr>
            </w:pPr>
            <w:r>
              <w:rPr>
                <w:rFonts w:ascii="Arial" w:cs="Arial" w:eastAsia="Arial" w:hAnsi="Arial"/>
                <w:sz w:val="15"/>
                <w:szCs w:val="15"/>
                <w:color w:val="auto"/>
              </w:rPr>
              <w:t>Real property -</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87,049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67,408</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19,641</w:t>
            </w: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29.1 %</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238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86,811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67,166</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19,645</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29.2 %</w:t>
            </w:r>
          </w:p>
        </w:tc>
        <w:tc>
          <w:tcPr>
            <w:tcW w:w="0" w:type="dxa"/>
            <w:vAlign w:val="bottom"/>
          </w:tcPr>
          <w:p>
            <w:pPr>
              <w:spacing w:after="0"/>
              <w:rPr>
                <w:sz w:val="1"/>
                <w:szCs w:val="1"/>
                <w:color w:val="auto"/>
              </w:rPr>
            </w:pPr>
          </w:p>
        </w:tc>
      </w:tr>
      <w:tr>
        <w:trPr>
          <w:trHeight w:val="198"/>
        </w:trPr>
        <w:tc>
          <w:tcPr>
            <w:tcW w:w="1280" w:type="dxa"/>
            <w:vAlign w:val="bottom"/>
          </w:tcPr>
          <w:p>
            <w:pPr>
              <w:ind w:left="240"/>
              <w:spacing w:after="0"/>
              <w:rPr>
                <w:sz w:val="20"/>
                <w:szCs w:val="20"/>
                <w:color w:val="auto"/>
              </w:rPr>
            </w:pPr>
            <w:r>
              <w:rPr>
                <w:rFonts w:ascii="Arial" w:cs="Arial" w:eastAsia="Arial" w:hAnsi="Arial"/>
                <w:sz w:val="15"/>
                <w:szCs w:val="15"/>
                <w:color w:val="auto"/>
              </w:rPr>
              <w:t>transient</w:t>
            </w: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13,352</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9,375</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3,977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42.4 %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4,845</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2,863</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69.2 %</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6,512</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30.6 %</w:t>
            </w:r>
          </w:p>
        </w:tc>
        <w:tc>
          <w:tcPr>
            <w:tcW w:w="0" w:type="dxa"/>
            <w:vAlign w:val="bottom"/>
          </w:tcPr>
          <w:p>
            <w:pPr>
              <w:spacing w:after="0"/>
              <w:rPr>
                <w:sz w:val="1"/>
                <w:szCs w:val="1"/>
                <w:color w:val="auto"/>
              </w:rPr>
            </w:pPr>
          </w:p>
        </w:tc>
      </w:tr>
      <w:tr>
        <w:trPr>
          <w:trHeight w:val="192"/>
        </w:trPr>
        <w:tc>
          <w:tcPr>
            <w:tcW w:w="1280" w:type="dxa"/>
            <w:vAlign w:val="bottom"/>
          </w:tcPr>
          <w:p>
            <w:pPr>
              <w:ind w:left="240"/>
              <w:spacing w:after="0"/>
              <w:rPr>
                <w:sz w:val="20"/>
                <w:szCs w:val="20"/>
                <w:color w:val="auto"/>
              </w:rPr>
            </w:pPr>
            <w:r>
              <w:rPr>
                <w:rFonts w:ascii="Arial" w:cs="Arial" w:eastAsia="Arial" w:hAnsi="Arial"/>
                <w:sz w:val="15"/>
                <w:szCs w:val="15"/>
                <w:color w:val="auto"/>
                <w:w w:val="98"/>
              </w:rPr>
              <w:t>Total Operating</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320,692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284,190</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36,502</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12.8 %</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179,062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170,156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8,906</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5.2 %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141,630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114,034</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27,596</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24.2 %</w:t>
            </w: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Expense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140"/>
              <w:spacing w:after="0" w:line="149" w:lineRule="exact"/>
              <w:rPr>
                <w:sz w:val="20"/>
                <w:szCs w:val="20"/>
                <w:color w:val="auto"/>
              </w:rPr>
            </w:pPr>
            <w:r>
              <w:rPr>
                <w:rFonts w:ascii="Arial" w:cs="Arial" w:eastAsia="Arial" w:hAnsi="Arial"/>
                <w:sz w:val="15"/>
                <w:szCs w:val="15"/>
                <w:color w:val="auto"/>
              </w:rPr>
              <w:t>Property</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102,413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90,048</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12,365</w:t>
            </w: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13.7 %</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49,567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43,996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5,571</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12.7 %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52,846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46,052</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6,794</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14.8 %</w:t>
            </w:r>
          </w:p>
        </w:tc>
        <w:tc>
          <w:tcPr>
            <w:tcW w:w="0" w:type="dxa"/>
            <w:vAlign w:val="bottom"/>
          </w:tcPr>
          <w:p>
            <w:pPr>
              <w:spacing w:after="0"/>
              <w:rPr>
                <w:sz w:val="1"/>
                <w:szCs w:val="1"/>
                <w:color w:val="auto"/>
              </w:rPr>
            </w:pPr>
          </w:p>
        </w:tc>
      </w:tr>
      <w:tr>
        <w:trPr>
          <w:trHeight w:val="198"/>
        </w:trPr>
        <w:tc>
          <w:tcPr>
            <w:tcW w:w="12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Operating</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CCEEFF"/>
            </w:tcBorders>
            <w:gridSpan w:val="2"/>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CCEEFF"/>
            </w:tcBorders>
            <w:gridSpan w:val="2"/>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280" w:type="dxa"/>
            <w:vAlign w:val="bottom"/>
            <w:shd w:val="clear" w:color="auto" w:fill="CCEEFF"/>
          </w:tcPr>
          <w:p>
            <w:pPr>
              <w:ind w:left="140"/>
              <w:spacing w:after="0" w:line="133" w:lineRule="exact"/>
              <w:rPr>
                <w:sz w:val="20"/>
                <w:szCs w:val="20"/>
                <w:color w:val="auto"/>
              </w:rPr>
            </w:pPr>
            <w:r>
              <w:rPr>
                <w:rFonts w:ascii="Arial" w:cs="Arial" w:eastAsia="Arial" w:hAnsi="Arial"/>
                <w:sz w:val="15"/>
                <w:szCs w:val="15"/>
                <w:color w:val="auto"/>
              </w:rPr>
              <w:t>Real Property</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218,279</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194,142</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8"/>
              </w:rPr>
              <w:t>$ 24,137</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12.4 %</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129,495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126,160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3,335</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88,784</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67,982</w:t>
            </w: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2"/>
              </w:rPr>
              <w:t>$ 20,802</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30.6 %</w:t>
            </w:r>
          </w:p>
        </w:tc>
        <w:tc>
          <w:tcPr>
            <w:tcW w:w="0" w:type="dxa"/>
            <w:vAlign w:val="bottom"/>
          </w:tcPr>
          <w:p>
            <w:pPr>
              <w:spacing w:after="0"/>
              <w:rPr>
                <w:sz w:val="1"/>
                <w:szCs w:val="1"/>
                <w:color w:val="auto"/>
              </w:rPr>
            </w:pPr>
          </w:p>
        </w:tc>
      </w:tr>
      <w:tr>
        <w:trPr>
          <w:trHeight w:val="195"/>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NOI</w:t>
            </w: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1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right="44"/>
              <w:spacing w:after="0"/>
              <w:rPr>
                <w:sz w:val="20"/>
                <w:szCs w:val="20"/>
                <w:color w:val="auto"/>
              </w:rPr>
            </w:pPr>
            <w:r>
              <w:rPr>
                <w:rFonts w:ascii="Arial" w:cs="Arial" w:eastAsia="Arial" w:hAnsi="Arial"/>
                <w:sz w:val="15"/>
                <w:szCs w:val="15"/>
                <w:b w:val="1"/>
                <w:bCs w:val="1"/>
                <w:color w:val="auto"/>
                <w:w w:val="94"/>
              </w:rPr>
              <w:t>Nine Months Ended</w:t>
            </w: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3"/>
              </w:rPr>
              <w:t>Total Same Community</w:t>
            </w: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left="244"/>
              <w:spacing w:after="0"/>
              <w:rPr>
                <w:sz w:val="20"/>
                <w:szCs w:val="20"/>
                <w:color w:val="auto"/>
              </w:rPr>
            </w:pPr>
            <w:r>
              <w:rPr>
                <w:rFonts w:ascii="Arial" w:cs="Arial" w:eastAsia="Arial" w:hAnsi="Arial"/>
                <w:sz w:val="15"/>
                <w:szCs w:val="15"/>
                <w:b w:val="1"/>
                <w:bCs w:val="1"/>
                <w:color w:val="auto"/>
              </w:rPr>
              <w:t>MH</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460"/>
              <w:spacing w:after="0"/>
              <w:rPr>
                <w:sz w:val="20"/>
                <w:szCs w:val="20"/>
                <w:color w:val="auto"/>
              </w:rPr>
            </w:pPr>
            <w:r>
              <w:rPr>
                <w:rFonts w:ascii="Arial" w:cs="Arial" w:eastAsia="Arial" w:hAnsi="Arial"/>
                <w:sz w:val="15"/>
                <w:szCs w:val="15"/>
                <w:b w:val="1"/>
                <w:bCs w:val="1"/>
                <w:color w:val="auto"/>
              </w:rPr>
              <w:t>RV</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0" w:type="dxa"/>
            <w:vAlign w:val="bottom"/>
            <w:gridSpan w:val="2"/>
          </w:tcPr>
          <w:p>
            <w:pPr>
              <w:jc w:val="center"/>
              <w:spacing w:after="0" w:line="144" w:lineRule="exact"/>
              <w:rPr>
                <w:sz w:val="20"/>
                <w:szCs w:val="20"/>
                <w:color w:val="auto"/>
              </w:rPr>
            </w:pPr>
            <w:r>
              <w:rPr>
                <w:rFonts w:ascii="Arial" w:cs="Arial" w:eastAsia="Arial" w:hAnsi="Arial"/>
                <w:sz w:val="15"/>
                <w:szCs w:val="15"/>
                <w:b w:val="1"/>
                <w:bCs w:val="1"/>
                <w:color w:val="auto"/>
                <w:w w:val="90"/>
              </w:rPr>
              <w:t>September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00"/>
              <w:spacing w:after="0" w:line="144" w:lineRule="exact"/>
              <w:rPr>
                <w:sz w:val="20"/>
                <w:szCs w:val="20"/>
                <w:color w:val="auto"/>
              </w:rPr>
            </w:pPr>
            <w:r>
              <w:rPr>
                <w:rFonts w:ascii="Arial" w:cs="Arial" w:eastAsia="Arial" w:hAnsi="Arial"/>
                <w:sz w:val="15"/>
                <w:szCs w:val="15"/>
                <w:b w:val="1"/>
                <w:bCs w:val="1"/>
                <w:color w:val="auto"/>
                <w:w w:val="90"/>
              </w:rPr>
              <w:t>September</w:t>
            </w:r>
          </w:p>
        </w:tc>
        <w:tc>
          <w:tcPr>
            <w:tcW w:w="6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4"/>
              </w:rPr>
              <w:t>Change</w:t>
            </w:r>
          </w:p>
        </w:tc>
        <w:tc>
          <w:tcPr>
            <w:tcW w:w="760" w:type="dxa"/>
            <w:vAlign w:val="bottom"/>
            <w:gridSpan w:val="2"/>
          </w:tcPr>
          <w:p>
            <w:pPr>
              <w:jc w:val="center"/>
              <w:ind w:left="4"/>
              <w:spacing w:after="0" w:line="144"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5"/>
          </w:tcPr>
          <w:p>
            <w:pPr>
              <w:jc w:val="center"/>
              <w:ind w:right="120"/>
              <w:spacing w:after="0" w:line="144" w:lineRule="exact"/>
              <w:rPr>
                <w:sz w:val="20"/>
                <w:szCs w:val="20"/>
                <w:color w:val="auto"/>
              </w:rPr>
            </w:pPr>
            <w:r>
              <w:rPr>
                <w:rFonts w:ascii="Arial" w:cs="Arial" w:eastAsia="Arial" w:hAnsi="Arial"/>
                <w:sz w:val="15"/>
                <w:szCs w:val="15"/>
                <w:b w:val="1"/>
                <w:bCs w:val="1"/>
                <w:color w:val="auto"/>
                <w:w w:val="90"/>
              </w:rPr>
              <w:t>September</w:t>
            </w:r>
          </w:p>
        </w:tc>
        <w:tc>
          <w:tcPr>
            <w:tcW w:w="920" w:type="dxa"/>
            <w:vAlign w:val="bottom"/>
            <w:gridSpan w:val="3"/>
          </w:tcPr>
          <w:p>
            <w:pPr>
              <w:jc w:val="center"/>
              <w:ind w:right="100"/>
              <w:spacing w:after="0" w:line="144" w:lineRule="exact"/>
              <w:rPr>
                <w:sz w:val="20"/>
                <w:szCs w:val="20"/>
                <w:color w:val="auto"/>
              </w:rPr>
            </w:pPr>
            <w:r>
              <w:rPr>
                <w:rFonts w:ascii="Arial" w:cs="Arial" w:eastAsia="Arial" w:hAnsi="Arial"/>
                <w:sz w:val="15"/>
                <w:szCs w:val="15"/>
                <w:b w:val="1"/>
                <w:bCs w:val="1"/>
                <w:color w:val="auto"/>
                <w:w w:val="90"/>
              </w:rPr>
              <w:t>September</w:t>
            </w:r>
          </w:p>
        </w:tc>
        <w:tc>
          <w:tcPr>
            <w:tcW w:w="6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4"/>
              </w:rPr>
              <w:t>Change</w:t>
            </w:r>
          </w:p>
        </w:tc>
        <w:tc>
          <w:tcPr>
            <w:tcW w:w="780" w:type="dxa"/>
            <w:vAlign w:val="bottom"/>
            <w:gridSpan w:val="2"/>
          </w:tcPr>
          <w:p>
            <w:pPr>
              <w:jc w:val="center"/>
              <w:ind w:left="24"/>
              <w:spacing w:after="0" w:line="144" w:lineRule="exact"/>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2"/>
                <w:szCs w:val="12"/>
                <w:color w:val="auto"/>
              </w:rPr>
            </w:pPr>
          </w:p>
        </w:tc>
        <w:tc>
          <w:tcPr>
            <w:tcW w:w="940" w:type="dxa"/>
            <w:vAlign w:val="bottom"/>
            <w:gridSpan w:val="3"/>
          </w:tcPr>
          <w:p>
            <w:pPr>
              <w:jc w:val="center"/>
              <w:ind w:right="80"/>
              <w:spacing w:after="0" w:line="144" w:lineRule="exact"/>
              <w:rPr>
                <w:sz w:val="20"/>
                <w:szCs w:val="20"/>
                <w:color w:val="auto"/>
              </w:rPr>
            </w:pPr>
            <w:r>
              <w:rPr>
                <w:rFonts w:ascii="Arial" w:cs="Arial" w:eastAsia="Arial" w:hAnsi="Arial"/>
                <w:sz w:val="15"/>
                <w:szCs w:val="15"/>
                <w:b w:val="1"/>
                <w:bCs w:val="1"/>
                <w:color w:val="auto"/>
                <w:w w:val="90"/>
              </w:rPr>
              <w:t>September</w:t>
            </w:r>
          </w:p>
        </w:tc>
        <w:tc>
          <w:tcPr>
            <w:tcW w:w="920" w:type="dxa"/>
            <w:vAlign w:val="bottom"/>
            <w:gridSpan w:val="3"/>
          </w:tcPr>
          <w:p>
            <w:pPr>
              <w:jc w:val="center"/>
              <w:ind w:right="60"/>
              <w:spacing w:after="0" w:line="144" w:lineRule="exact"/>
              <w:rPr>
                <w:sz w:val="20"/>
                <w:szCs w:val="20"/>
                <w:color w:val="auto"/>
              </w:rPr>
            </w:pPr>
            <w:r>
              <w:rPr>
                <w:rFonts w:ascii="Arial" w:cs="Arial" w:eastAsia="Arial" w:hAnsi="Arial"/>
                <w:sz w:val="15"/>
                <w:szCs w:val="15"/>
                <w:b w:val="1"/>
                <w:bCs w:val="1"/>
                <w:color w:val="auto"/>
                <w:w w:val="90"/>
              </w:rPr>
              <w:t>September</w:t>
            </w: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8"/>
              </w:rPr>
              <w:t>Change</w:t>
            </w:r>
          </w:p>
        </w:tc>
        <w:tc>
          <w:tcPr>
            <w:tcW w:w="780" w:type="dxa"/>
            <w:vAlign w:val="bottom"/>
            <w:gridSpan w:val="2"/>
          </w:tcPr>
          <w:p>
            <w:pPr>
              <w:jc w:val="center"/>
              <w:ind w:left="4"/>
              <w:spacing w:after="0" w:line="14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0"/>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ind w:right="24"/>
              <w:spacing w:after="0"/>
              <w:rPr>
                <w:sz w:val="20"/>
                <w:szCs w:val="20"/>
                <w:color w:val="auto"/>
              </w:rPr>
            </w:pPr>
            <w:r>
              <w:rPr>
                <w:rFonts w:ascii="Arial" w:cs="Arial" w:eastAsia="Arial" w:hAnsi="Arial"/>
                <w:sz w:val="15"/>
                <w:szCs w:val="15"/>
                <w:b w:val="1"/>
                <w:bCs w:val="1"/>
                <w:color w:val="auto"/>
                <w:w w:val="92"/>
              </w:rPr>
              <w:t>30, 2021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ind w:right="64"/>
              <w:spacing w:after="0"/>
              <w:rPr>
                <w:sz w:val="20"/>
                <w:szCs w:val="20"/>
                <w:color w:val="auto"/>
              </w:rPr>
            </w:pPr>
            <w:r>
              <w:rPr>
                <w:rFonts w:ascii="Arial" w:cs="Arial" w:eastAsia="Arial" w:hAnsi="Arial"/>
                <w:sz w:val="15"/>
                <w:szCs w:val="15"/>
                <w:b w:val="1"/>
                <w:bCs w:val="1"/>
                <w:color w:val="auto"/>
                <w:w w:val="92"/>
              </w:rPr>
              <w:t>30, 2020</w:t>
            </w: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0"/>
              </w:rPr>
              <w:t>Change</w:t>
            </w:r>
          </w:p>
        </w:tc>
        <w:tc>
          <w:tcPr>
            <w:tcW w:w="120" w:type="dxa"/>
            <w:vAlign w:val="bottom"/>
          </w:tcPr>
          <w:p>
            <w:pPr>
              <w:spacing w:after="0"/>
              <w:rPr>
                <w:sz w:val="17"/>
                <w:szCs w:val="17"/>
                <w:color w:val="auto"/>
              </w:rPr>
            </w:pPr>
          </w:p>
        </w:tc>
        <w:tc>
          <w:tcPr>
            <w:tcW w:w="720" w:type="dxa"/>
            <w:vAlign w:val="bottom"/>
          </w:tcPr>
          <w:p>
            <w:pPr>
              <w:jc w:val="center"/>
              <w:ind w:right="64"/>
              <w:spacing w:after="0"/>
              <w:rPr>
                <w:sz w:val="20"/>
                <w:szCs w:val="20"/>
                <w:color w:val="auto"/>
              </w:rPr>
            </w:pPr>
            <w:r>
              <w:rPr>
                <w:rFonts w:ascii="Arial" w:cs="Arial" w:eastAsia="Arial" w:hAnsi="Arial"/>
                <w:sz w:val="15"/>
                <w:szCs w:val="15"/>
                <w:b w:val="1"/>
                <w:bCs w:val="1"/>
                <w:color w:val="auto"/>
                <w:w w:val="92"/>
              </w:rPr>
              <w:t>30, 2021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ind w:right="64"/>
              <w:spacing w:after="0"/>
              <w:rPr>
                <w:sz w:val="20"/>
                <w:szCs w:val="20"/>
                <w:color w:val="auto"/>
              </w:rPr>
            </w:pPr>
            <w:r>
              <w:rPr>
                <w:rFonts w:ascii="Arial" w:cs="Arial" w:eastAsia="Arial" w:hAnsi="Arial"/>
                <w:sz w:val="15"/>
                <w:szCs w:val="15"/>
                <w:b w:val="1"/>
                <w:bCs w:val="1"/>
                <w:color w:val="auto"/>
                <w:w w:val="92"/>
              </w:rPr>
              <w:t>30, 2020</w:t>
            </w: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Change</w:t>
            </w:r>
          </w:p>
        </w:tc>
        <w:tc>
          <w:tcPr>
            <w:tcW w:w="140" w:type="dxa"/>
            <w:vAlign w:val="bottom"/>
          </w:tcPr>
          <w:p>
            <w:pPr>
              <w:spacing w:after="0"/>
              <w:rPr>
                <w:sz w:val="17"/>
                <w:szCs w:val="17"/>
                <w:color w:val="auto"/>
              </w:rPr>
            </w:pPr>
          </w:p>
        </w:tc>
        <w:tc>
          <w:tcPr>
            <w:tcW w:w="720" w:type="dxa"/>
            <w:vAlign w:val="bottom"/>
          </w:tcPr>
          <w:p>
            <w:pPr>
              <w:jc w:val="center"/>
              <w:ind w:right="64"/>
              <w:spacing w:after="0"/>
              <w:rPr>
                <w:sz w:val="20"/>
                <w:szCs w:val="20"/>
                <w:color w:val="auto"/>
              </w:rPr>
            </w:pPr>
            <w:r>
              <w:rPr>
                <w:rFonts w:ascii="Arial" w:cs="Arial" w:eastAsia="Arial" w:hAnsi="Arial"/>
                <w:sz w:val="15"/>
                <w:szCs w:val="15"/>
                <w:b w:val="1"/>
                <w:bCs w:val="1"/>
                <w:color w:val="auto"/>
                <w:w w:val="92"/>
              </w:rPr>
              <w:t>30, 2021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ind w:right="24"/>
              <w:spacing w:after="0"/>
              <w:rPr>
                <w:sz w:val="20"/>
                <w:szCs w:val="20"/>
                <w:color w:val="auto"/>
              </w:rPr>
            </w:pPr>
            <w:r>
              <w:rPr>
                <w:rFonts w:ascii="Arial" w:cs="Arial" w:eastAsia="Arial" w:hAnsi="Arial"/>
                <w:sz w:val="15"/>
                <w:szCs w:val="15"/>
                <w:b w:val="1"/>
                <w:bCs w:val="1"/>
                <w:color w:val="auto"/>
                <w:w w:val="92"/>
              </w:rPr>
              <w:t>30, 2020</w:t>
            </w: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5"/>
                <w:szCs w:val="15"/>
                <w:b w:val="1"/>
                <w:bCs w:val="1"/>
                <w:color w:val="auto"/>
                <w:w w:val="90"/>
              </w:rPr>
              <w:t>Change</w:t>
            </w:r>
          </w:p>
        </w:tc>
        <w:tc>
          <w:tcPr>
            <w:tcW w:w="0" w:type="dxa"/>
            <w:vAlign w:val="bottom"/>
          </w:tcPr>
          <w:p>
            <w:pPr>
              <w:spacing w:after="0"/>
              <w:rPr>
                <w:sz w:val="1"/>
                <w:szCs w:val="1"/>
                <w:color w:val="auto"/>
              </w:rPr>
            </w:pPr>
          </w:p>
        </w:tc>
      </w:tr>
      <w:tr>
        <w:trPr>
          <w:trHeight w:val="131"/>
        </w:trPr>
        <w:tc>
          <w:tcPr>
            <w:tcW w:w="128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5"/>
                <w:szCs w:val="15"/>
                <w:b w:val="1"/>
                <w:bCs w:val="1"/>
                <w:color w:val="auto"/>
              </w:rPr>
              <w:t>Financial</w:t>
            </w: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Information</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80" w:type="dxa"/>
            <w:vAlign w:val="bottom"/>
          </w:tcPr>
          <w:p>
            <w:pPr>
              <w:ind w:left="140"/>
              <w:spacing w:after="0"/>
              <w:rPr>
                <w:sz w:val="20"/>
                <w:szCs w:val="20"/>
                <w:color w:val="auto"/>
              </w:rPr>
            </w:pPr>
            <w:r>
              <w:rPr>
                <w:rFonts w:ascii="Arial" w:cs="Arial" w:eastAsia="Arial" w:hAnsi="Arial"/>
                <w:sz w:val="15"/>
                <w:szCs w:val="15"/>
                <w:b w:val="1"/>
                <w:bCs w:val="1"/>
                <w:color w:val="auto"/>
              </w:rPr>
              <w:t>Revenue</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28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Real property</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240"/>
              <w:spacing w:after="0" w:line="149" w:lineRule="exact"/>
              <w:rPr>
                <w:sz w:val="20"/>
                <w:szCs w:val="20"/>
                <w:color w:val="auto"/>
              </w:rPr>
            </w:pPr>
            <w:r>
              <w:rPr>
                <w:rFonts w:ascii="Arial" w:cs="Arial" w:eastAsia="Arial" w:hAnsi="Arial"/>
                <w:sz w:val="15"/>
                <w:szCs w:val="15"/>
                <w:color w:val="auto"/>
              </w:rPr>
              <w:t>(excluding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652,978</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615,711</w:t>
            </w: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8"/>
              </w:rPr>
              <w:t>$ 37,267</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6.1 %</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518,511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495,989</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88"/>
              </w:rPr>
              <w:t>$ 22,522</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4.5 %</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134,467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119,722</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2"/>
              </w:rPr>
              <w:t>$ 14,745</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12.3 %</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Transient)</w:t>
            </w: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40" w:type="dxa"/>
            <w:vAlign w:val="bottom"/>
            <w:gridSpan w:val="3"/>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40"/>
              <w:spacing w:after="0" w:line="149" w:lineRule="exact"/>
              <w:rPr>
                <w:sz w:val="20"/>
                <w:szCs w:val="20"/>
                <w:color w:val="auto"/>
              </w:rPr>
            </w:pPr>
            <w:r>
              <w:rPr>
                <w:rFonts w:ascii="Arial" w:cs="Arial" w:eastAsia="Arial" w:hAnsi="Arial"/>
                <w:sz w:val="15"/>
                <w:szCs w:val="15"/>
                <w:color w:val="auto"/>
              </w:rPr>
              <w:t>Real property -</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163,932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117,277</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46,655</w:t>
            </w: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39.8 %</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1,200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1,343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(143)</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(10.6)%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162,732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115,934</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46,798</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40.4 %</w:t>
            </w:r>
          </w:p>
        </w:tc>
        <w:tc>
          <w:tcPr>
            <w:tcW w:w="0" w:type="dxa"/>
            <w:vAlign w:val="bottom"/>
          </w:tcPr>
          <w:p>
            <w:pPr>
              <w:spacing w:after="0"/>
              <w:rPr>
                <w:sz w:val="1"/>
                <w:szCs w:val="1"/>
                <w:color w:val="auto"/>
              </w:rPr>
            </w:pPr>
          </w:p>
        </w:tc>
      </w:tr>
      <w:tr>
        <w:trPr>
          <w:trHeight w:val="198"/>
        </w:trPr>
        <w:tc>
          <w:tcPr>
            <w:tcW w:w="1280" w:type="dxa"/>
            <w:vAlign w:val="bottom"/>
          </w:tcPr>
          <w:p>
            <w:pPr>
              <w:ind w:left="240"/>
              <w:spacing w:after="0"/>
              <w:rPr>
                <w:sz w:val="20"/>
                <w:szCs w:val="20"/>
                <w:color w:val="auto"/>
              </w:rPr>
            </w:pPr>
            <w:r>
              <w:rPr>
                <w:rFonts w:ascii="Arial" w:cs="Arial" w:eastAsia="Arial" w:hAnsi="Arial"/>
                <w:sz w:val="15"/>
                <w:szCs w:val="15"/>
                <w:color w:val="auto"/>
              </w:rPr>
              <w:t>transient</w:t>
            </w: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31,077</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18,424</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12,653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68.7 %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14,472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7,778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86.1 %</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16,605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10,646</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5,959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56.0 %</w:t>
            </w:r>
          </w:p>
        </w:tc>
        <w:tc>
          <w:tcPr>
            <w:tcW w:w="0" w:type="dxa"/>
            <w:vAlign w:val="bottom"/>
          </w:tcPr>
          <w:p>
            <w:pPr>
              <w:spacing w:after="0"/>
              <w:rPr>
                <w:sz w:val="1"/>
                <w:szCs w:val="1"/>
                <w:color w:val="auto"/>
              </w:rPr>
            </w:pPr>
          </w:p>
        </w:tc>
      </w:tr>
      <w:tr>
        <w:trPr>
          <w:trHeight w:val="192"/>
        </w:trPr>
        <w:tc>
          <w:tcPr>
            <w:tcW w:w="1280" w:type="dxa"/>
            <w:vAlign w:val="bottom"/>
          </w:tcPr>
          <w:p>
            <w:pPr>
              <w:ind w:left="240"/>
              <w:spacing w:after="0"/>
              <w:rPr>
                <w:sz w:val="20"/>
                <w:szCs w:val="20"/>
                <w:color w:val="auto"/>
              </w:rPr>
            </w:pPr>
            <w:r>
              <w:rPr>
                <w:rFonts w:ascii="Arial" w:cs="Arial" w:eastAsia="Arial" w:hAnsi="Arial"/>
                <w:sz w:val="15"/>
                <w:szCs w:val="15"/>
                <w:color w:val="auto"/>
                <w:w w:val="98"/>
              </w:rPr>
              <w:t>Total Operating</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847,987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751,412</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96,575</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12.9 %</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534,183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505,110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1"/>
              </w:rPr>
              <w:t>29,073</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5.8 %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313,804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246,302</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67,502</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27.4 %</w:t>
            </w:r>
          </w:p>
        </w:tc>
        <w:tc>
          <w:tcPr>
            <w:tcW w:w="0" w:type="dxa"/>
            <w:vAlign w:val="bottom"/>
          </w:tcPr>
          <w:p>
            <w:pPr>
              <w:spacing w:after="0"/>
              <w:rPr>
                <w:sz w:val="1"/>
                <w:szCs w:val="1"/>
                <w:color w:val="auto"/>
              </w:rPr>
            </w:pPr>
          </w:p>
        </w:tc>
      </w:tr>
      <w:tr>
        <w:trPr>
          <w:trHeight w:val="207"/>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Expense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140"/>
              <w:spacing w:after="0" w:line="149" w:lineRule="exact"/>
              <w:rPr>
                <w:sz w:val="20"/>
                <w:szCs w:val="20"/>
                <w:color w:val="auto"/>
              </w:rPr>
            </w:pPr>
            <w:r>
              <w:rPr>
                <w:rFonts w:ascii="Arial" w:cs="Arial" w:eastAsia="Arial" w:hAnsi="Arial"/>
                <w:sz w:val="15"/>
                <w:szCs w:val="15"/>
                <w:color w:val="auto"/>
              </w:rPr>
              <w:t>Property</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261,754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228,314</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33,440</w:t>
            </w: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14.6 %</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136,927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124,297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w w:val="91"/>
              </w:rPr>
              <w:t>12,630</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10.2 %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124,827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104,017</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20,810</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20.0 %</w:t>
            </w:r>
          </w:p>
        </w:tc>
        <w:tc>
          <w:tcPr>
            <w:tcW w:w="0" w:type="dxa"/>
            <w:vAlign w:val="bottom"/>
          </w:tcPr>
          <w:p>
            <w:pPr>
              <w:spacing w:after="0"/>
              <w:rPr>
                <w:sz w:val="1"/>
                <w:szCs w:val="1"/>
                <w:color w:val="auto"/>
              </w:rPr>
            </w:pPr>
          </w:p>
        </w:tc>
      </w:tr>
      <w:tr>
        <w:trPr>
          <w:trHeight w:val="198"/>
        </w:trPr>
        <w:tc>
          <w:tcPr>
            <w:tcW w:w="12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Operating</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CCEEFF"/>
            </w:tcBorders>
            <w:gridSpan w:val="2"/>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CCEEFF"/>
            </w:tcBorders>
            <w:gridSpan w:val="2"/>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280" w:type="dxa"/>
            <w:vAlign w:val="bottom"/>
            <w:shd w:val="clear" w:color="auto" w:fill="CCEEFF"/>
          </w:tcPr>
          <w:p>
            <w:pPr>
              <w:ind w:left="140"/>
              <w:spacing w:after="0" w:line="133" w:lineRule="exact"/>
              <w:rPr>
                <w:sz w:val="20"/>
                <w:szCs w:val="20"/>
                <w:color w:val="auto"/>
              </w:rPr>
            </w:pPr>
            <w:r>
              <w:rPr>
                <w:rFonts w:ascii="Arial" w:cs="Arial" w:eastAsia="Arial" w:hAnsi="Arial"/>
                <w:sz w:val="15"/>
                <w:szCs w:val="15"/>
                <w:color w:val="auto"/>
              </w:rPr>
              <w:t>Real Property</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586,233</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523,098</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8"/>
              </w:rPr>
              <w:t>$ 63,135</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12.1 %</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397,256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380,813</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88"/>
              </w:rPr>
              <w:t>$ 16,443</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4.3 %</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188,977</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142,285</w:t>
            </w: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2"/>
              </w:rPr>
              <w:t>$ 46,692</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32.8 %</w:t>
            </w:r>
          </w:p>
        </w:tc>
        <w:tc>
          <w:tcPr>
            <w:tcW w:w="0" w:type="dxa"/>
            <w:vAlign w:val="bottom"/>
          </w:tcPr>
          <w:p>
            <w:pPr>
              <w:spacing w:after="0"/>
              <w:rPr>
                <w:sz w:val="1"/>
                <w:szCs w:val="1"/>
                <w:color w:val="auto"/>
              </w:rPr>
            </w:pPr>
          </w:p>
        </w:tc>
      </w:tr>
      <w:tr>
        <w:trPr>
          <w:trHeight w:val="195"/>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NOI</w:t>
            </w: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4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40" w:type="dxa"/>
            <w:vAlign w:val="bottom"/>
          </w:tcPr>
          <w:p>
            <w:pPr>
              <w:spacing w:after="0"/>
              <w:rPr>
                <w:sz w:val="17"/>
                <w:szCs w:val="17"/>
                <w:color w:val="auto"/>
              </w:rPr>
            </w:pPr>
          </w:p>
        </w:tc>
        <w:tc>
          <w:tcPr>
            <w:tcW w:w="1480" w:type="dxa"/>
            <w:vAlign w:val="bottom"/>
          </w:tcPr>
          <w:p>
            <w:pPr>
              <w:jc w:val="right"/>
              <w:ind w:right="84"/>
              <w:spacing w:after="0"/>
              <w:rPr>
                <w:sz w:val="20"/>
                <w:szCs w:val="20"/>
                <w:color w:val="auto"/>
              </w:rPr>
            </w:pPr>
            <w:r>
              <w:rPr>
                <w:rFonts w:ascii="Arial" w:cs="Arial" w:eastAsia="Arial" w:hAnsi="Arial"/>
                <w:sz w:val="15"/>
                <w:szCs w:val="15"/>
                <w:b w:val="1"/>
                <w:bCs w:val="1"/>
                <w:color w:val="auto"/>
                <w:w w:val="92"/>
              </w:rPr>
              <w:t>September 30, 2020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484"/>
              <w:spacing w:after="0"/>
              <w:rPr>
                <w:sz w:val="20"/>
                <w:szCs w:val="20"/>
                <w:color w:val="auto"/>
              </w:rPr>
            </w:pPr>
            <w:r>
              <w:rPr>
                <w:rFonts w:ascii="Arial" w:cs="Arial" w:eastAsia="Arial" w:hAnsi="Arial"/>
                <w:sz w:val="15"/>
                <w:szCs w:val="15"/>
                <w:b w:val="1"/>
                <w:bCs w:val="1"/>
                <w:color w:val="auto"/>
              </w:rPr>
              <w:t>Change</w:t>
            </w:r>
          </w:p>
        </w:tc>
      </w:tr>
      <w:tr>
        <w:trPr>
          <w:trHeight w:val="183"/>
        </w:trPr>
        <w:tc>
          <w:tcPr>
            <w:tcW w:w="598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07"/>
        </w:trPr>
        <w:tc>
          <w:tcPr>
            <w:tcW w:w="5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Number of properties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403</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r>
      <w:tr>
        <w:trPr>
          <w:trHeight w:val="162"/>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3"/>
        </w:trPr>
        <w:tc>
          <w:tcPr>
            <w:tcW w:w="5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MH occupancy</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5980" w:type="dxa"/>
            <w:vAlign w:val="bottom"/>
          </w:tcPr>
          <w:p>
            <w:pPr>
              <w:ind w:left="140"/>
              <w:spacing w:after="0" w:line="203" w:lineRule="exact"/>
              <w:rPr>
                <w:sz w:val="20"/>
                <w:szCs w:val="20"/>
                <w:color w:val="auto"/>
              </w:rPr>
            </w:pPr>
            <w:r>
              <w:rPr>
                <w:rFonts w:ascii="Arial" w:cs="Arial" w:eastAsia="Arial" w:hAnsi="Arial"/>
                <w:sz w:val="15"/>
                <w:szCs w:val="15"/>
                <w:color w:val="auto"/>
              </w:rPr>
              <w:t>RV occupancy</w:t>
            </w:r>
            <w:r>
              <w:rPr>
                <w:rFonts w:ascii="Arial" w:cs="Arial" w:eastAsia="Arial" w:hAnsi="Arial"/>
                <w:sz w:val="19"/>
                <w:szCs w:val="19"/>
                <w:color w:val="auto"/>
                <w:vertAlign w:val="superscript"/>
              </w:rPr>
              <w:t>(1)</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98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MH &amp; RV blended occupancy</w:t>
            </w:r>
            <w:r>
              <w:rPr>
                <w:rFonts w:ascii="Arial" w:cs="Arial" w:eastAsia="Arial" w:hAnsi="Arial"/>
                <w:sz w:val="19"/>
                <w:szCs w:val="19"/>
                <w:color w:val="auto"/>
                <w:vertAlign w:val="superscript"/>
              </w:rPr>
              <w:t>(2)</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98.1 %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62"/>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3"/>
        </w:trPr>
        <w:tc>
          <w:tcPr>
            <w:tcW w:w="598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occupancy</w:t>
            </w:r>
            <w:r>
              <w:rPr>
                <w:rFonts w:ascii="Arial" w:cs="Arial" w:eastAsia="Arial" w:hAnsi="Arial"/>
                <w:sz w:val="19"/>
                <w:szCs w:val="19"/>
                <w:color w:val="auto"/>
                <w:vertAlign w:val="superscript"/>
              </w:rPr>
              <w:t>(3)</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98.5 %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5980" w:type="dxa"/>
            <w:vAlign w:val="bottom"/>
          </w:tcPr>
          <w:p>
            <w:pPr>
              <w:ind w:left="140"/>
              <w:spacing w:after="0" w:line="203" w:lineRule="exact"/>
              <w:rPr>
                <w:sz w:val="20"/>
                <w:szCs w:val="20"/>
                <w:color w:val="auto"/>
              </w:rPr>
            </w:pPr>
            <w:r>
              <w:rPr>
                <w:rFonts w:ascii="Arial" w:cs="Arial" w:eastAsia="Arial" w:hAnsi="Arial"/>
                <w:sz w:val="15"/>
                <w:szCs w:val="15"/>
                <w:color w:val="auto"/>
              </w:rPr>
              <w:t>Adjusted RV occupancy</w:t>
            </w:r>
            <w:r>
              <w:rPr>
                <w:rFonts w:ascii="Arial" w:cs="Arial" w:eastAsia="Arial" w:hAnsi="Arial"/>
                <w:sz w:val="19"/>
                <w:szCs w:val="19"/>
                <w:color w:val="auto"/>
                <w:vertAlign w:val="superscript"/>
              </w:rPr>
              <w:t>(4)</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98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&amp; RV blended occupancy</w:t>
            </w:r>
            <w:r>
              <w:rPr>
                <w:rFonts w:ascii="Arial" w:cs="Arial" w:eastAsia="Arial" w:hAnsi="Arial"/>
                <w:sz w:val="19"/>
                <w:szCs w:val="19"/>
                <w:color w:val="auto"/>
                <w:vertAlign w:val="superscript"/>
              </w:rPr>
              <w:t>(5)</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97.4 %</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1.5 %</w:t>
            </w:r>
          </w:p>
        </w:tc>
      </w:tr>
      <w:tr>
        <w:trPr>
          <w:trHeight w:val="162"/>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3"/>
        </w:trPr>
        <w:tc>
          <w:tcPr>
            <w:tcW w:w="5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Sites available for development</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7,092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7,453</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(361)</w:t>
            </w:r>
          </w:p>
        </w:tc>
      </w:tr>
      <w:tr>
        <w:trPr>
          <w:trHeight w:val="162"/>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3"/>
        </w:trPr>
        <w:tc>
          <w:tcPr>
            <w:tcW w:w="5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MH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586</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20</w:t>
            </w:r>
          </w:p>
        </w:tc>
      </w:tr>
      <w:tr>
        <w:trPr>
          <w:trHeight w:val="203"/>
        </w:trPr>
        <w:tc>
          <w:tcPr>
            <w:tcW w:w="5980" w:type="dxa"/>
            <w:vAlign w:val="bottom"/>
          </w:tcPr>
          <w:p>
            <w:pPr>
              <w:ind w:left="140"/>
              <w:spacing w:after="0" w:line="203" w:lineRule="exact"/>
              <w:rPr>
                <w:sz w:val="20"/>
                <w:szCs w:val="20"/>
                <w:color w:val="auto"/>
              </w:rPr>
            </w:pPr>
            <w:r>
              <w:rPr>
                <w:rFonts w:ascii="Arial" w:cs="Arial" w:eastAsia="Arial" w:hAnsi="Arial"/>
                <w:sz w:val="15"/>
                <w:szCs w:val="15"/>
                <w:color w:val="auto"/>
              </w:rPr>
              <w:t>Monthly base rent per site - RV</w:t>
            </w:r>
            <w:r>
              <w:rPr>
                <w:rFonts w:ascii="Arial" w:cs="Arial" w:eastAsia="Arial" w:hAnsi="Arial"/>
                <w:sz w:val="19"/>
                <w:szCs w:val="19"/>
                <w:color w:val="auto"/>
                <w:vertAlign w:val="superscript"/>
              </w:rPr>
              <w:t>(7)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528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503</w:t>
            </w:r>
          </w:p>
        </w:tc>
        <w:tc>
          <w:tcPr>
            <w:tcW w:w="280" w:type="dxa"/>
            <w:vAlign w:val="bottom"/>
          </w:tcPr>
          <w:p>
            <w:pPr>
              <w:jc w:val="right"/>
              <w:spacing w:after="0"/>
              <w:rPr>
                <w:sz w:val="20"/>
                <w:szCs w:val="20"/>
                <w:color w:val="auto"/>
              </w:rPr>
            </w:pPr>
            <w:r>
              <w:rPr>
                <w:rFonts w:ascii="Arial" w:cs="Arial" w:eastAsia="Arial" w:hAnsi="Arial"/>
                <w:sz w:val="10"/>
                <w:szCs w:val="10"/>
                <w:color w:val="auto"/>
              </w:rPr>
              <w:t>(8)</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4"/>
              <w:spacing w:after="0"/>
              <w:rPr>
                <w:sz w:val="20"/>
                <w:szCs w:val="20"/>
                <w:color w:val="auto"/>
              </w:rPr>
            </w:pPr>
            <w:r>
              <w:rPr>
                <w:rFonts w:ascii="Arial" w:cs="Arial" w:eastAsia="Arial" w:hAnsi="Arial"/>
                <w:sz w:val="15"/>
                <w:szCs w:val="15"/>
                <w:color w:val="auto"/>
              </w:rPr>
              <w:t>25</w:t>
            </w:r>
          </w:p>
        </w:tc>
      </w:tr>
      <w:tr>
        <w:trPr>
          <w:trHeight w:val="203"/>
        </w:trPr>
        <w:tc>
          <w:tcPr>
            <w:tcW w:w="5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567</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21</w:t>
            </w:r>
          </w:p>
        </w:tc>
      </w:tr>
    </w:tbl>
    <w:p>
      <w:pPr>
        <w:spacing w:after="0" w:line="65"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annual RV sites and exclude transient RV sites.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MH and annual RV sites, and exclude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exclude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80" w:right="20" w:hanging="172"/>
        <w:spacing w:after="0" w:line="210" w:lineRule="auto"/>
        <w:tabs>
          <w:tab w:leader="none" w:pos="167"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The occupancy percentages for 2020 have been adjusted to reflect incremental growth period-over-period from newly rented MH expansion sites and the conversion of transient RV sites to annual RV sites.</w:t>
      </w:r>
    </w:p>
    <w:p>
      <w:pPr>
        <w:spacing w:after="0" w:line="9"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Monthly base rent pertains to annual RV sites and excludes transient RV sites.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Canadian currency figures included within three months ended September 30, 2020 have been translated at 2021 average exchange rates.</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amounts in the table above reflect constant currency for comparative purposes. We have reclassified water and sewer revenues of $19.1 million and $18.3 million for the three months ended September 30, 2021 and 2020, and $52.2 million and $47.3 million for the nine months ended September 30, 2021 and 2020, to reflect the utility expenses associated with our Same Community portfolio net of recovery.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months ended September 30, 2021 and 2020:</w:t>
      </w:r>
    </w:p>
    <w:p>
      <w:pPr>
        <w:spacing w:after="0" w:line="23" w:lineRule="exact"/>
        <w:rPr>
          <w:sz w:val="20"/>
          <w:szCs w:val="20"/>
          <w:color w:val="auto"/>
        </w:rPr>
      </w:pPr>
    </w:p>
    <w:p>
      <w:pPr>
        <w:jc w:val="both"/>
        <w:ind w:left="180" w:right="20"/>
        <w:spacing w:after="0" w:line="260" w:lineRule="auto"/>
        <w:rPr>
          <w:sz w:val="20"/>
          <w:szCs w:val="20"/>
          <w:color w:val="auto"/>
        </w:rPr>
      </w:pPr>
      <w:r>
        <w:rPr>
          <w:rFonts w:ascii="Arial" w:cs="Arial" w:eastAsia="Arial" w:hAnsi="Arial"/>
          <w:sz w:val="18"/>
          <w:szCs w:val="18"/>
          <w:color w:val="auto"/>
        </w:rPr>
        <w:t>The $24.1 million, or 12.4 percent, growth in Total Same Community NOI is due to a $20.8 million, or 30.6 percent, increase in NOI from the RV segment and $3.3 million, or 2.6 percent, increase in NOI from the MH segment.</w:t>
      </w:r>
    </w:p>
    <w:p>
      <w:pPr>
        <w:spacing w:after="0" w:line="212"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 RV segment $20.8 million, or 30.6 percent, increase in NOI is primarily due to an increase in Real property - transient revenue of $19.6 million, or 29.2 percent, when compared to the same period in 2020 due to increased transient and vacation rental traffic.</w:t>
      </w:r>
    </w:p>
    <w:p>
      <w:pPr>
        <w:spacing w:after="0" w:line="197"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The MH segment $3.3 million, or 2.6 percent, growth in NOI is primarily due to an increase in Real property (excluding transient) revenue of $6.9 million, or 4.1 percent, when compared to the same period in 2020. MH property (excluding transient) revenue increased due to a 3.4 percent increase in monthly based rent and a 1.5 percent increase in Occupancy.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nine months ended September 30, 2021 and 2020:</w:t>
      </w:r>
    </w:p>
    <w:p>
      <w:pPr>
        <w:spacing w:after="0" w:line="252" w:lineRule="exact"/>
        <w:rPr>
          <w:sz w:val="20"/>
          <w:szCs w:val="20"/>
          <w:color w:val="auto"/>
        </w:rPr>
      </w:pPr>
    </w:p>
    <w:p>
      <w:pPr>
        <w:jc w:val="both"/>
        <w:ind w:left="180" w:right="20"/>
        <w:spacing w:after="0" w:line="277" w:lineRule="auto"/>
        <w:rPr>
          <w:sz w:val="20"/>
          <w:szCs w:val="20"/>
          <w:color w:val="auto"/>
        </w:rPr>
      </w:pPr>
      <w:r>
        <w:rPr>
          <w:rFonts w:ascii="Arial" w:cs="Arial" w:eastAsia="Arial" w:hAnsi="Arial"/>
          <w:sz w:val="18"/>
          <w:szCs w:val="18"/>
          <w:color w:val="auto"/>
        </w:rPr>
        <w:t>The $63.1 million, or 12.1 percent, growth in Total Same Community NOI is due to a $46.7 million, or 32.8 percent, increase in NOI from the RV segment and $16.4 million, or 4.3 percent, increase in NOI from the MH segment.</w:t>
      </w:r>
    </w:p>
    <w:p>
      <w:pPr>
        <w:spacing w:after="0" w:line="197"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The RV segment $46.7 million, or 32.8 percent, increase in NOI is primarily due to an increase in Real property - transient revenue of $46.8 million, or 40.4 percent, due to increased transient and vacation rental traffic. The results of the comparative 2020 period were impacted by the required closure, or delayed opening, of over 40 of our RV resorts due to the COVID-19 pandemic.</w:t>
      </w:r>
    </w:p>
    <w:p>
      <w:pPr>
        <w:spacing w:after="0" w:line="211"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The MH segment $16.4 million, or 4.3 percent, growth in NOI is primarily due to an increase in Real property (excluding transient) revenue of $22.5 million, or 4.5 percent. Real property (excluding transient) revenue increased due to a 3.4 percent increase in monthly base rent per MH site and a 1.5 percent increase in occupancy when compared to the same period in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Marinas Summary</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marinas as of and for the three and nine months ended September 30, 2021 (in thousands, except for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4"/>
              </w:rPr>
              <w:t>Three Months Ended</w:t>
            </w:r>
          </w:p>
        </w:tc>
        <w:tc>
          <w:tcPr>
            <w:tcW w:w="260" w:type="dxa"/>
            <w:vAlign w:val="bottom"/>
          </w:tcPr>
          <w:p>
            <w:pPr>
              <w:spacing w:after="0"/>
              <w:rPr>
                <w:sz w:val="17"/>
                <w:szCs w:val="17"/>
                <w:color w:val="auto"/>
              </w:rPr>
            </w:pPr>
          </w:p>
        </w:tc>
        <w:tc>
          <w:tcPr>
            <w:tcW w:w="1880" w:type="dxa"/>
            <w:vAlign w:val="bottom"/>
          </w:tcPr>
          <w:p>
            <w:pPr>
              <w:jc w:val="center"/>
              <w:ind w:right="184"/>
              <w:spacing w:after="0"/>
              <w:rPr>
                <w:sz w:val="20"/>
                <w:szCs w:val="20"/>
                <w:color w:val="auto"/>
              </w:rPr>
            </w:pPr>
            <w:r>
              <w:rPr>
                <w:rFonts w:ascii="Arial" w:cs="Arial" w:eastAsia="Arial" w:hAnsi="Arial"/>
                <w:sz w:val="15"/>
                <w:szCs w:val="15"/>
                <w:b w:val="1"/>
                <w:bCs w:val="1"/>
                <w:color w:val="auto"/>
                <w:w w:val="92"/>
              </w:rPr>
              <w:t>Nine Months Ended</w:t>
            </w:r>
          </w:p>
        </w:tc>
      </w:tr>
      <w:tr>
        <w:trPr>
          <w:trHeight w:val="207"/>
        </w:trPr>
        <w:tc>
          <w:tcPr>
            <w:tcW w:w="6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1"/>
              </w:rPr>
              <w:t>September 30, 2021</w:t>
            </w:r>
          </w:p>
        </w:tc>
        <w:tc>
          <w:tcPr>
            <w:tcW w:w="260" w:type="dxa"/>
            <w:vAlign w:val="bottom"/>
          </w:tcPr>
          <w:p>
            <w:pPr>
              <w:spacing w:after="0"/>
              <w:rPr>
                <w:sz w:val="17"/>
                <w:szCs w:val="17"/>
                <w:color w:val="auto"/>
              </w:rPr>
            </w:pPr>
          </w:p>
        </w:tc>
        <w:tc>
          <w:tcPr>
            <w:tcW w:w="1880" w:type="dxa"/>
            <w:vAlign w:val="bottom"/>
          </w:tcPr>
          <w:p>
            <w:pPr>
              <w:jc w:val="center"/>
              <w:ind w:right="164"/>
              <w:spacing w:after="0"/>
              <w:rPr>
                <w:sz w:val="20"/>
                <w:szCs w:val="20"/>
                <w:color w:val="auto"/>
              </w:rPr>
            </w:pPr>
            <w:r>
              <w:rPr>
                <w:rFonts w:ascii="Arial" w:cs="Arial" w:eastAsia="Arial" w:hAnsi="Arial"/>
                <w:sz w:val="15"/>
                <w:szCs w:val="15"/>
                <w:b w:val="1"/>
                <w:bCs w:val="1"/>
                <w:color w:val="auto"/>
                <w:w w:val="91"/>
              </w:rPr>
              <w:t>September 30, 2021</w:t>
            </w:r>
          </w:p>
        </w:tc>
      </w:tr>
      <w:tr>
        <w:trPr>
          <w:trHeight w:val="187"/>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24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r>
      <w:tr>
        <w:trPr>
          <w:trHeight w:val="200"/>
        </w:trPr>
        <w:tc>
          <w:tcPr>
            <w:tcW w:w="6780" w:type="dxa"/>
            <w:vAlign w:val="bottom"/>
          </w:tcPr>
          <w:p>
            <w:pPr>
              <w:ind w:left="140"/>
              <w:spacing w:after="0"/>
              <w:rPr>
                <w:sz w:val="20"/>
                <w:szCs w:val="20"/>
                <w:color w:val="auto"/>
              </w:rPr>
            </w:pPr>
            <w:r>
              <w:rPr>
                <w:rFonts w:ascii="Arial" w:cs="Arial" w:eastAsia="Arial" w:hAnsi="Arial"/>
                <w:sz w:val="15"/>
                <w:szCs w:val="15"/>
                <w:b w:val="1"/>
                <w:bCs w:val="1"/>
                <w:color w:val="auto"/>
              </w:rPr>
              <w:t>Revenues</w:t>
            </w: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5"/>
        </w:trPr>
        <w:tc>
          <w:tcPr>
            <w:tcW w:w="6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Real property (excluding transient)</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72,888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180,908</w:t>
            </w:r>
          </w:p>
        </w:tc>
      </w:tr>
      <w:tr>
        <w:trPr>
          <w:trHeight w:val="198"/>
        </w:trPr>
        <w:tc>
          <w:tcPr>
            <w:tcW w:w="6780" w:type="dxa"/>
            <w:vAlign w:val="bottom"/>
          </w:tcPr>
          <w:p>
            <w:pPr>
              <w:ind w:left="240"/>
              <w:spacing w:after="0"/>
              <w:rPr>
                <w:sz w:val="20"/>
                <w:szCs w:val="20"/>
                <w:color w:val="auto"/>
              </w:rPr>
            </w:pPr>
            <w:r>
              <w:rPr>
                <w:rFonts w:ascii="Arial" w:cs="Arial" w:eastAsia="Arial" w:hAnsi="Arial"/>
                <w:sz w:val="15"/>
                <w:szCs w:val="15"/>
                <w:color w:val="auto"/>
              </w:rPr>
              <w:t>Real property - transient</w:t>
            </w:r>
          </w:p>
        </w:tc>
        <w:tc>
          <w:tcPr>
            <w:tcW w:w="24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6,251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jc w:val="right"/>
              <w:ind w:right="164"/>
              <w:spacing w:after="0"/>
              <w:rPr>
                <w:sz w:val="20"/>
                <w:szCs w:val="20"/>
                <w:color w:val="auto"/>
              </w:rPr>
            </w:pPr>
            <w:r>
              <w:rPr>
                <w:rFonts w:ascii="Arial" w:cs="Arial" w:eastAsia="Arial" w:hAnsi="Arial"/>
                <w:sz w:val="15"/>
                <w:szCs w:val="15"/>
                <w:color w:val="auto"/>
              </w:rPr>
              <w:t>11,376</w:t>
            </w:r>
          </w:p>
        </w:tc>
      </w:tr>
      <w:tr>
        <w:trPr>
          <w:trHeight w:val="207"/>
        </w:trPr>
        <w:tc>
          <w:tcPr>
            <w:tcW w:w="6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5,815</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11,134</w:t>
            </w:r>
          </w:p>
        </w:tc>
      </w:tr>
      <w:tr>
        <w:trPr>
          <w:trHeight w:val="192"/>
        </w:trPr>
        <w:tc>
          <w:tcPr>
            <w:tcW w:w="6780" w:type="dxa"/>
            <w:vAlign w:val="bottom"/>
          </w:tcPr>
          <w:p>
            <w:pPr>
              <w:ind w:left="240"/>
              <w:spacing w:after="0"/>
              <w:rPr>
                <w:sz w:val="20"/>
                <w:szCs w:val="20"/>
                <w:color w:val="auto"/>
              </w:rPr>
            </w:pPr>
            <w:r>
              <w:rPr>
                <w:rFonts w:ascii="Arial" w:cs="Arial" w:eastAsia="Arial" w:hAnsi="Arial"/>
                <w:sz w:val="15"/>
                <w:szCs w:val="15"/>
                <w:color w:val="auto"/>
              </w:rPr>
              <w:t>Total Operating</w:t>
            </w:r>
          </w:p>
        </w:tc>
        <w:tc>
          <w:tcPr>
            <w:tcW w:w="24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84,954</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right"/>
              <w:ind w:right="164"/>
              <w:spacing w:after="0"/>
              <w:rPr>
                <w:sz w:val="20"/>
                <w:szCs w:val="20"/>
                <w:color w:val="auto"/>
              </w:rPr>
            </w:pPr>
            <w:r>
              <w:rPr>
                <w:rFonts w:ascii="Arial" w:cs="Arial" w:eastAsia="Arial" w:hAnsi="Arial"/>
                <w:sz w:val="15"/>
                <w:szCs w:val="15"/>
                <w:color w:val="auto"/>
              </w:rPr>
              <w:t>203,418</w:t>
            </w:r>
          </w:p>
        </w:tc>
      </w:tr>
      <w:tr>
        <w:trPr>
          <w:trHeight w:val="207"/>
        </w:trPr>
        <w:tc>
          <w:tcPr>
            <w:tcW w:w="67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Expenses</w:t>
            </w: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03"/>
        </w:trPr>
        <w:tc>
          <w:tcPr>
            <w:tcW w:w="6780" w:type="dxa"/>
            <w:vAlign w:val="bottom"/>
            <w:tcBorders>
              <w:bottom w:val="single" w:sz="8" w:color="CCEEFF"/>
            </w:tcBorders>
          </w:tcPr>
          <w:p>
            <w:pPr>
              <w:ind w:left="260"/>
              <w:spacing w:after="0" w:line="203" w:lineRule="exact"/>
              <w:rPr>
                <w:sz w:val="20"/>
                <w:szCs w:val="20"/>
                <w:color w:val="auto"/>
              </w:rPr>
            </w:pPr>
            <w:r>
              <w:rPr>
                <w:rFonts w:ascii="Arial" w:cs="Arial" w:eastAsia="Arial" w:hAnsi="Arial"/>
                <w:sz w:val="15"/>
                <w:szCs w:val="15"/>
                <w:color w:val="auto"/>
              </w:rPr>
              <w:t>Property Operating</w:t>
            </w:r>
            <w:r>
              <w:rPr>
                <w:rFonts w:ascii="Arial" w:cs="Arial" w:eastAsia="Arial" w:hAnsi="Arial"/>
                <w:sz w:val="19"/>
                <w:szCs w:val="19"/>
                <w:color w:val="auto"/>
                <w:vertAlign w:val="superscript"/>
              </w:rPr>
              <w:t>(a)</w:t>
            </w: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33,995</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85,816</w:t>
            </w:r>
          </w:p>
        </w:tc>
      </w:tr>
      <w:tr>
        <w:trPr>
          <w:trHeight w:val="196"/>
        </w:trPr>
        <w:tc>
          <w:tcPr>
            <w:tcW w:w="67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Real Property NOI</w:t>
            </w: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50,959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117,602</w:t>
            </w:r>
          </w:p>
        </w:tc>
      </w:tr>
      <w:tr>
        <w:trPr>
          <w:trHeight w:val="200"/>
        </w:trPr>
        <w:tc>
          <w:tcPr>
            <w:tcW w:w="6780" w:type="dxa"/>
            <w:vAlign w:val="bottom"/>
          </w:tcPr>
          <w:p>
            <w:pPr>
              <w:ind w:left="140"/>
              <w:spacing w:after="0"/>
              <w:rPr>
                <w:sz w:val="20"/>
                <w:szCs w:val="20"/>
                <w:color w:val="auto"/>
              </w:rPr>
            </w:pPr>
            <w:r>
              <w:rPr>
                <w:rFonts w:ascii="Arial" w:cs="Arial" w:eastAsia="Arial" w:hAnsi="Arial"/>
                <w:sz w:val="15"/>
                <w:szCs w:val="15"/>
                <w:b w:val="1"/>
                <w:bCs w:val="1"/>
                <w:color w:val="auto"/>
              </w:rPr>
              <w:t>Service, retail, dining and entertainment</w:t>
            </w: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5"/>
        </w:trPr>
        <w:tc>
          <w:tcPr>
            <w:tcW w:w="6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Revenue</w:t>
            </w: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74,110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200,702</w:t>
            </w:r>
          </w:p>
        </w:tc>
      </w:tr>
      <w:tr>
        <w:trPr>
          <w:trHeight w:val="199"/>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Expense</w:t>
            </w: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60,606</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159,632</w:t>
            </w:r>
          </w:p>
        </w:tc>
      </w:tr>
      <w:tr>
        <w:trPr>
          <w:trHeight w:val="200"/>
        </w:trPr>
        <w:tc>
          <w:tcPr>
            <w:tcW w:w="6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NOI</w:t>
            </w: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41,070</w:t>
            </w:r>
          </w:p>
        </w:tc>
      </w:tr>
      <w:tr>
        <w:trPr>
          <w:trHeight w:val="216"/>
        </w:trPr>
        <w:tc>
          <w:tcPr>
            <w:tcW w:w="6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221"/>
        </w:trPr>
        <w:tc>
          <w:tcPr>
            <w:tcW w:w="6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Marina NOI</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64,463</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158,672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03"/>
        </w:trPr>
        <w:tc>
          <w:tcPr>
            <w:tcW w:w="6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80" w:type="dxa"/>
            <w:vAlign w:val="bottom"/>
            <w:shd w:val="clear" w:color="auto" w:fill="CCEEFF"/>
          </w:tcPr>
          <w:p>
            <w:pPr>
              <w:jc w:val="center"/>
              <w:ind w:right="184"/>
              <w:spacing w:after="0"/>
              <w:rPr>
                <w:sz w:val="20"/>
                <w:szCs w:val="20"/>
                <w:color w:val="auto"/>
              </w:rPr>
            </w:pPr>
            <w:r>
              <w:rPr>
                <w:rFonts w:ascii="Arial" w:cs="Arial" w:eastAsia="Arial" w:hAnsi="Arial"/>
                <w:sz w:val="15"/>
                <w:szCs w:val="15"/>
                <w:b w:val="1"/>
                <w:bCs w:val="1"/>
                <w:color w:val="auto"/>
                <w:w w:val="90"/>
              </w:rPr>
              <w:t>As of</w:t>
            </w:r>
          </w:p>
        </w:tc>
      </w:tr>
      <w:tr>
        <w:trPr>
          <w:trHeight w:val="20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Other Information - Marinas</w:t>
            </w:r>
          </w:p>
        </w:tc>
        <w:tc>
          <w:tcPr>
            <w:tcW w:w="24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164"/>
              <w:spacing w:after="0"/>
              <w:rPr>
                <w:sz w:val="20"/>
                <w:szCs w:val="20"/>
                <w:color w:val="auto"/>
              </w:rPr>
            </w:pPr>
            <w:r>
              <w:rPr>
                <w:rFonts w:ascii="Arial" w:cs="Arial" w:eastAsia="Arial" w:hAnsi="Arial"/>
                <w:sz w:val="15"/>
                <w:szCs w:val="15"/>
                <w:b w:val="1"/>
                <w:bCs w:val="1"/>
                <w:color w:val="auto"/>
                <w:w w:val="91"/>
              </w:rPr>
              <w:t>September 30, 2021</w:t>
            </w:r>
          </w:p>
        </w:tc>
      </w:tr>
      <w:tr>
        <w:trPr>
          <w:trHeight w:val="198"/>
        </w:trPr>
        <w:tc>
          <w:tcPr>
            <w:tcW w:w="6780" w:type="dxa"/>
            <w:vAlign w:val="bottom"/>
            <w:shd w:val="clear" w:color="auto" w:fill="CCEEFF"/>
          </w:tcPr>
          <w:p>
            <w:pPr>
              <w:ind w:left="140"/>
              <w:spacing w:after="0" w:line="198" w:lineRule="exact"/>
              <w:rPr>
                <w:sz w:val="20"/>
                <w:szCs w:val="20"/>
                <w:color w:val="auto"/>
              </w:rPr>
            </w:pPr>
            <w:r>
              <w:rPr>
                <w:rFonts w:ascii="Arial" w:cs="Arial" w:eastAsia="Arial" w:hAnsi="Arial"/>
                <w:sz w:val="15"/>
                <w:szCs w:val="15"/>
                <w:color w:val="auto"/>
              </w:rPr>
              <w:t>Number of properties</w:t>
            </w:r>
            <w:r>
              <w:rPr>
                <w:rFonts w:ascii="Arial" w:cs="Arial" w:eastAsia="Arial" w:hAnsi="Arial"/>
                <w:sz w:val="19"/>
                <w:szCs w:val="19"/>
                <w:color w:val="auto"/>
                <w:vertAlign w:val="superscript"/>
              </w:rPr>
              <w:t>(b)</w:t>
            </w: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120</w:t>
            </w:r>
          </w:p>
        </w:tc>
      </w:tr>
      <w:tr>
        <w:trPr>
          <w:trHeight w:val="195"/>
        </w:trPr>
        <w:tc>
          <w:tcPr>
            <w:tcW w:w="6780" w:type="dxa"/>
            <w:vAlign w:val="bottom"/>
          </w:tcPr>
          <w:p>
            <w:pPr>
              <w:ind w:left="140"/>
              <w:spacing w:after="0"/>
              <w:rPr>
                <w:sz w:val="20"/>
                <w:szCs w:val="20"/>
                <w:color w:val="auto"/>
              </w:rPr>
            </w:pPr>
            <w:r>
              <w:rPr>
                <w:rFonts w:ascii="Arial" w:cs="Arial" w:eastAsia="Arial" w:hAnsi="Arial"/>
                <w:sz w:val="15"/>
                <w:szCs w:val="15"/>
                <w:color w:val="auto"/>
              </w:rPr>
              <w:t>Total wet slips and dry storage</w:t>
            </w:r>
          </w:p>
        </w:tc>
        <w:tc>
          <w:tcPr>
            <w:tcW w:w="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right"/>
              <w:ind w:right="164"/>
              <w:spacing w:after="0"/>
              <w:rPr>
                <w:sz w:val="20"/>
                <w:szCs w:val="20"/>
                <w:color w:val="auto"/>
              </w:rPr>
            </w:pPr>
            <w:r>
              <w:rPr>
                <w:rFonts w:ascii="Arial" w:cs="Arial" w:eastAsia="Arial" w:hAnsi="Arial"/>
                <w:sz w:val="15"/>
                <w:szCs w:val="15"/>
                <w:color w:val="auto"/>
              </w:rPr>
              <w:t>44,859</w:t>
            </w:r>
          </w:p>
        </w:tc>
      </w:tr>
    </w:tbl>
    <w:p>
      <w:pPr>
        <w:spacing w:after="0" w:line="97" w:lineRule="exact"/>
        <w:rPr>
          <w:sz w:val="20"/>
          <w:szCs w:val="20"/>
          <w:color w:val="auto"/>
        </w:rPr>
      </w:pPr>
    </w:p>
    <w:p>
      <w:pPr>
        <w:ind w:left="180" w:hanging="172"/>
        <w:spacing w:after="0" w:line="217" w:lineRule="auto"/>
        <w:tabs>
          <w:tab w:leader="none" w:pos="164"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Marina results net $4.3 million and $10.5 million of certain utility revenue against the related utility expense in property operating and maintenance expense for three and nine months ended September 30, 2021.</w:t>
      </w:r>
    </w:p>
    <w:p>
      <w:pPr>
        <w:spacing w:after="0" w:line="10"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Marina properties consisted of 14 properties acquired in 2021 and 106 properties acquired in 2020.</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Sales Summary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new homes and acquire pre-owned and repossessed manufactured homes, generally located within our communities, from lenders, dealers, and former residents to sell or lease to current and prospective residents.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statistical information for our Home Sales Program for the three and nine months ended September 30, 2021 and 2020 (in thousands, except for average selling prices and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5"/>
                <w:szCs w:val="15"/>
                <w:b w:val="1"/>
                <w:bCs w:val="1"/>
                <w:color w:val="auto"/>
              </w:rPr>
              <w:t>Nine Months Ended</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116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2"/>
                <w:szCs w:val="12"/>
                <w:color w:val="auto"/>
              </w:rPr>
            </w:pPr>
          </w:p>
        </w:tc>
        <w:tc>
          <w:tcPr>
            <w:tcW w:w="80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Change</w:t>
            </w:r>
          </w:p>
        </w:tc>
        <w:tc>
          <w:tcPr>
            <w:tcW w:w="8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2"/>
                <w:szCs w:val="12"/>
                <w:color w:val="auto"/>
              </w:rPr>
            </w:pPr>
          </w:p>
        </w:tc>
        <w:tc>
          <w:tcPr>
            <w:tcW w:w="1180" w:type="dxa"/>
            <w:vAlign w:val="bottom"/>
            <w:gridSpan w:val="2"/>
          </w:tcPr>
          <w:p>
            <w:pPr>
              <w:ind w:left="40"/>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118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2"/>
                <w:szCs w:val="12"/>
                <w:color w:val="auto"/>
              </w:rPr>
            </w:pPr>
          </w:p>
        </w:tc>
        <w:tc>
          <w:tcPr>
            <w:tcW w:w="78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w w:val="98"/>
              </w:rPr>
              <w:t>Change</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8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220" w:type="dxa"/>
            <w:vAlign w:val="bottom"/>
            <w:gridSpan w:val="5"/>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line="166" w:lineRule="exact"/>
              <w:rPr>
                <w:sz w:val="20"/>
                <w:szCs w:val="20"/>
                <w:color w:val="auto"/>
              </w:rPr>
            </w:pPr>
            <w:r>
              <w:rPr>
                <w:rFonts w:ascii="Arial" w:cs="Arial" w:eastAsia="Arial" w:hAnsi="Arial"/>
                <w:sz w:val="15"/>
                <w:szCs w:val="15"/>
                <w:b w:val="1"/>
                <w:bCs w:val="1"/>
                <w:color w:val="auto"/>
                <w:w w:val="89"/>
              </w:rPr>
              <w:t>New Homes</w:t>
            </w:r>
          </w:p>
        </w:tc>
        <w:tc>
          <w:tcPr>
            <w:tcW w:w="130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rPr>
              <w:t>New home sales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31,433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23,734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24"/>
              <w:spacing w:after="0"/>
              <w:rPr>
                <w:sz w:val="20"/>
                <w:szCs w:val="20"/>
                <w:color w:val="auto"/>
              </w:rPr>
            </w:pPr>
            <w:r>
              <w:rPr>
                <w:rFonts w:ascii="Arial" w:cs="Arial" w:eastAsia="Arial" w:hAnsi="Arial"/>
                <w:sz w:val="15"/>
                <w:szCs w:val="15"/>
                <w:color w:val="auto"/>
              </w:rPr>
              <w:t>7,699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32.4 %</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89,166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58,536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30,630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52.3 %</w:t>
            </w:r>
          </w:p>
        </w:tc>
        <w:tc>
          <w:tcPr>
            <w:tcW w:w="0" w:type="dxa"/>
            <w:vAlign w:val="bottom"/>
          </w:tcPr>
          <w:p>
            <w:pPr>
              <w:spacing w:after="0"/>
              <w:rPr>
                <w:sz w:val="1"/>
                <w:szCs w:val="1"/>
                <w:color w:val="auto"/>
              </w:rPr>
            </w:pPr>
          </w:p>
        </w:tc>
      </w:tr>
      <w:tr>
        <w:trPr>
          <w:trHeight w:val="207"/>
        </w:trPr>
        <w:tc>
          <w:tcPr>
            <w:tcW w:w="1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New home cost of sales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25,856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19,294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6,562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34.0 %</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72,799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47,611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25,188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52.9 %</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rPr>
              <w:t>Gross Profit – new homes</w:t>
            </w:r>
          </w:p>
        </w:tc>
        <w:tc>
          <w:tcPr>
            <w:tcW w:w="12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5,577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4,440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24"/>
              <w:spacing w:after="0"/>
              <w:rPr>
                <w:sz w:val="20"/>
                <w:szCs w:val="20"/>
                <w:color w:val="auto"/>
              </w:rPr>
            </w:pPr>
            <w:r>
              <w:rPr>
                <w:rFonts w:ascii="Arial" w:cs="Arial" w:eastAsia="Arial" w:hAnsi="Arial"/>
                <w:sz w:val="15"/>
                <w:szCs w:val="15"/>
                <w:color w:val="auto"/>
              </w:rPr>
              <w:t>1,137</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25.6 %</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16,367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10,925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5,442</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49.8 %</w:t>
            </w:r>
          </w:p>
        </w:tc>
        <w:tc>
          <w:tcPr>
            <w:tcW w:w="0" w:type="dxa"/>
            <w:vAlign w:val="bottom"/>
          </w:tcPr>
          <w:p>
            <w:pPr>
              <w:spacing w:after="0"/>
              <w:rPr>
                <w:sz w:val="1"/>
                <w:szCs w:val="1"/>
                <w:color w:val="auto"/>
              </w:rPr>
            </w:pPr>
          </w:p>
        </w:tc>
      </w:tr>
      <w:tr>
        <w:trPr>
          <w:trHeight w:val="207"/>
        </w:trPr>
        <w:tc>
          <w:tcPr>
            <w:tcW w:w="1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w w:val="92"/>
              </w:rPr>
              <w:t>Gross margin % – new homes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080" w:type="dxa"/>
            <w:vAlign w:val="bottom"/>
            <w:gridSpan w:val="4"/>
          </w:tcPr>
          <w:p>
            <w:pPr>
              <w:ind w:left="200"/>
              <w:spacing w:after="0" w:line="149" w:lineRule="exact"/>
              <w:rPr>
                <w:sz w:val="20"/>
                <w:szCs w:val="20"/>
                <w:color w:val="auto"/>
              </w:rPr>
            </w:pPr>
            <w:r>
              <w:rPr>
                <w:rFonts w:ascii="Arial" w:cs="Arial" w:eastAsia="Arial" w:hAnsi="Arial"/>
                <w:sz w:val="15"/>
                <w:szCs w:val="15"/>
                <w:color w:val="auto"/>
              </w:rPr>
              <w:t>Average selling price – new</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ind w:right="104"/>
              <w:spacing w:after="0"/>
              <w:rPr>
                <w:sz w:val="20"/>
                <w:szCs w:val="20"/>
                <w:color w:val="auto"/>
              </w:rPr>
            </w:pPr>
            <w:r>
              <w:rPr>
                <w:rFonts w:ascii="Arial" w:cs="Arial" w:eastAsia="Arial" w:hAnsi="Arial"/>
                <w:sz w:val="15"/>
                <w:szCs w:val="15"/>
                <w:color w:val="auto"/>
              </w:rPr>
              <w:t>151,850</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ind w:right="104"/>
              <w:spacing w:after="0"/>
              <w:rPr>
                <w:sz w:val="20"/>
                <w:szCs w:val="20"/>
                <w:color w:val="auto"/>
              </w:rPr>
            </w:pPr>
            <w:r>
              <w:rPr>
                <w:rFonts w:ascii="Arial" w:cs="Arial" w:eastAsia="Arial" w:hAnsi="Arial"/>
                <w:sz w:val="15"/>
                <w:szCs w:val="15"/>
                <w:color w:val="auto"/>
              </w:rPr>
              <w:t>153,123</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vMerge w:val="restart"/>
          </w:tcPr>
          <w:p>
            <w:pPr>
              <w:jc w:val="right"/>
              <w:ind w:right="84"/>
              <w:spacing w:after="0"/>
              <w:rPr>
                <w:sz w:val="20"/>
                <w:szCs w:val="20"/>
                <w:color w:val="auto"/>
              </w:rPr>
            </w:pPr>
            <w:r>
              <w:rPr>
                <w:rFonts w:ascii="Arial" w:cs="Arial" w:eastAsia="Arial" w:hAnsi="Arial"/>
                <w:sz w:val="15"/>
                <w:szCs w:val="15"/>
                <w:color w:val="auto"/>
              </w:rPr>
              <w:t>(1,273)</w:t>
            </w: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color w:val="auto"/>
              </w:rPr>
              <w:t>(0.8)%</w:t>
            </w:r>
          </w:p>
        </w:tc>
        <w:tc>
          <w:tcPr>
            <w:tcW w:w="1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vMerge w:val="restart"/>
          </w:tcPr>
          <w:p>
            <w:pPr>
              <w:jc w:val="right"/>
              <w:ind w:right="104"/>
              <w:spacing w:after="0"/>
              <w:rPr>
                <w:sz w:val="20"/>
                <w:szCs w:val="20"/>
                <w:color w:val="auto"/>
              </w:rPr>
            </w:pPr>
            <w:r>
              <w:rPr>
                <w:rFonts w:ascii="Arial" w:cs="Arial" w:eastAsia="Arial" w:hAnsi="Arial"/>
                <w:sz w:val="15"/>
                <w:szCs w:val="15"/>
                <w:color w:val="auto"/>
              </w:rPr>
              <w:t>152,943</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tcPr>
          <w:p>
            <w:pPr>
              <w:jc w:val="right"/>
              <w:ind w:right="104"/>
              <w:spacing w:after="0"/>
              <w:rPr>
                <w:sz w:val="20"/>
                <w:szCs w:val="20"/>
                <w:color w:val="auto"/>
              </w:rPr>
            </w:pPr>
            <w:r>
              <w:rPr>
                <w:rFonts w:ascii="Arial" w:cs="Arial" w:eastAsia="Arial" w:hAnsi="Arial"/>
                <w:sz w:val="15"/>
                <w:szCs w:val="15"/>
                <w:color w:val="auto"/>
              </w:rPr>
              <w:t>141,391</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tcPr>
          <w:p>
            <w:pPr>
              <w:jc w:val="right"/>
              <w:ind w:right="104"/>
              <w:spacing w:after="0"/>
              <w:rPr>
                <w:sz w:val="20"/>
                <w:szCs w:val="20"/>
                <w:color w:val="auto"/>
              </w:rPr>
            </w:pPr>
            <w:r>
              <w:rPr>
                <w:rFonts w:ascii="Arial" w:cs="Arial" w:eastAsia="Arial" w:hAnsi="Arial"/>
                <w:sz w:val="15"/>
                <w:szCs w:val="15"/>
                <w:color w:val="auto"/>
              </w:rPr>
              <w:t>11,552</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8.2 %</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rPr>
              <w:t>homes</w:t>
            </w:r>
          </w:p>
        </w:tc>
        <w:tc>
          <w:tcPr>
            <w:tcW w:w="1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080" w:type="dxa"/>
            <w:vAlign w:val="bottom"/>
            <w:gridSpan w:val="4"/>
          </w:tcPr>
          <w:p>
            <w:pPr>
              <w:spacing w:after="0" w:line="162" w:lineRule="exact"/>
              <w:rPr>
                <w:sz w:val="20"/>
                <w:szCs w:val="20"/>
                <w:color w:val="auto"/>
              </w:rPr>
            </w:pPr>
            <w:r>
              <w:rPr>
                <w:rFonts w:ascii="Arial" w:cs="Arial" w:eastAsia="Arial" w:hAnsi="Arial"/>
                <w:sz w:val="15"/>
                <w:szCs w:val="15"/>
                <w:b w:val="1"/>
                <w:bCs w:val="1"/>
                <w:color w:val="auto"/>
              </w:rPr>
              <w:t>Pre-owned Homes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Pre-owned home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49,666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23,928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25,738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107.6 %</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125,980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68,243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57,737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84.6 %</w:t>
            </w:r>
          </w:p>
        </w:tc>
        <w:tc>
          <w:tcPr>
            <w:tcW w:w="0" w:type="dxa"/>
            <w:vAlign w:val="bottom"/>
          </w:tcPr>
          <w:p>
            <w:pPr>
              <w:spacing w:after="0"/>
              <w:rPr>
                <w:sz w:val="1"/>
                <w:szCs w:val="1"/>
                <w:color w:val="auto"/>
              </w:rPr>
            </w:pPr>
          </w:p>
        </w:tc>
      </w:tr>
      <w:tr>
        <w:trPr>
          <w:trHeight w:val="198"/>
        </w:trPr>
        <w:tc>
          <w:tcPr>
            <w:tcW w:w="14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gridSpan w:val="4"/>
          </w:tcPr>
          <w:p>
            <w:pPr>
              <w:ind w:left="200"/>
              <w:spacing w:after="0"/>
              <w:rPr>
                <w:sz w:val="20"/>
                <w:szCs w:val="20"/>
                <w:color w:val="auto"/>
              </w:rPr>
            </w:pPr>
            <w:r>
              <w:rPr>
                <w:rFonts w:ascii="Arial" w:cs="Arial" w:eastAsia="Arial" w:hAnsi="Arial"/>
                <w:sz w:val="15"/>
                <w:szCs w:val="15"/>
                <w:color w:val="auto"/>
                <w:w w:val="92"/>
              </w:rPr>
              <w:t>Pre-owned home cost of sales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25,840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16,943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8,897</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52.5 %</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70,369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47,839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22,530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47.1 %</w:t>
            </w:r>
          </w:p>
        </w:tc>
        <w:tc>
          <w:tcPr>
            <w:tcW w:w="0" w:type="dxa"/>
            <w:vAlign w:val="bottom"/>
          </w:tcPr>
          <w:p>
            <w:pPr>
              <w:spacing w:after="0"/>
              <w:rPr>
                <w:sz w:val="1"/>
                <w:szCs w:val="1"/>
                <w:color w:val="auto"/>
              </w:rPr>
            </w:pPr>
          </w:p>
        </w:tc>
      </w:tr>
      <w:tr>
        <w:trPr>
          <w:trHeight w:val="133"/>
        </w:trPr>
        <w:tc>
          <w:tcPr>
            <w:tcW w:w="140" w:type="dxa"/>
            <w:vAlign w:val="bottom"/>
            <w:shd w:val="clear" w:color="auto" w:fill="CCEEFF"/>
          </w:tcPr>
          <w:p>
            <w:pPr>
              <w:spacing w:after="0"/>
              <w:rPr>
                <w:sz w:val="11"/>
                <w:szCs w:val="11"/>
                <w:color w:val="auto"/>
              </w:rPr>
            </w:pPr>
          </w:p>
        </w:tc>
        <w:tc>
          <w:tcPr>
            <w:tcW w:w="2080" w:type="dxa"/>
            <w:vAlign w:val="bottom"/>
            <w:gridSpan w:val="4"/>
            <w:shd w:val="clear" w:color="auto" w:fill="CCEEFF"/>
          </w:tcPr>
          <w:p>
            <w:pPr>
              <w:ind w:left="200"/>
              <w:spacing w:after="0" w:line="133" w:lineRule="exact"/>
              <w:rPr>
                <w:sz w:val="20"/>
                <w:szCs w:val="20"/>
                <w:color w:val="auto"/>
              </w:rPr>
            </w:pPr>
            <w:r>
              <w:rPr>
                <w:rFonts w:ascii="Arial" w:cs="Arial" w:eastAsia="Arial" w:hAnsi="Arial"/>
                <w:sz w:val="15"/>
                <w:szCs w:val="15"/>
                <w:color w:val="auto"/>
              </w:rPr>
              <w:t>Gross Profit – pre-owned</w:t>
            </w: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23,826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6,985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16,841</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241.1 %</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55,611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20,404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35,207</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172.5 %</w:t>
            </w:r>
          </w:p>
        </w:tc>
        <w:tc>
          <w:tcPr>
            <w:tcW w:w="0" w:type="dxa"/>
            <w:vAlign w:val="bottom"/>
          </w:tcPr>
          <w:p>
            <w:pPr>
              <w:spacing w:after="0"/>
              <w:rPr>
                <w:sz w:val="1"/>
                <w:szCs w:val="1"/>
                <w:color w:val="auto"/>
              </w:rPr>
            </w:pPr>
          </w:p>
        </w:tc>
      </w:tr>
      <w:tr>
        <w:trPr>
          <w:trHeight w:val="202"/>
        </w:trPr>
        <w:tc>
          <w:tcPr>
            <w:tcW w:w="1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homes</w:t>
            </w: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080" w:type="dxa"/>
            <w:vAlign w:val="bottom"/>
            <w:gridSpan w:val="4"/>
          </w:tcPr>
          <w:p>
            <w:pPr>
              <w:ind w:left="200"/>
              <w:spacing w:after="0" w:line="149" w:lineRule="exact"/>
              <w:rPr>
                <w:sz w:val="20"/>
                <w:szCs w:val="20"/>
                <w:color w:val="auto"/>
              </w:rPr>
            </w:pPr>
            <w:r>
              <w:rPr>
                <w:rFonts w:ascii="Arial" w:cs="Arial" w:eastAsia="Arial" w:hAnsi="Arial"/>
                <w:sz w:val="15"/>
                <w:szCs w:val="15"/>
                <w:color w:val="auto"/>
                <w:w w:val="95"/>
              </w:rPr>
              <w:t>Gross margin % – pre-owned</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48.0 %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29.2 %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18.8 %</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44.1 %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29.9 %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14.2 %</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rPr>
              <w:t>homes</w:t>
            </w: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40" w:type="dxa"/>
            <w:vAlign w:val="bottom"/>
            <w:shd w:val="clear" w:color="auto" w:fill="CCEEFF"/>
          </w:tcPr>
          <w:p>
            <w:pPr>
              <w:spacing w:after="0"/>
              <w:rPr>
                <w:sz w:val="13"/>
                <w:szCs w:val="13"/>
                <w:color w:val="auto"/>
              </w:rPr>
            </w:pPr>
          </w:p>
        </w:tc>
        <w:tc>
          <w:tcPr>
            <w:tcW w:w="2080" w:type="dxa"/>
            <w:vAlign w:val="bottom"/>
            <w:gridSpan w:val="4"/>
            <w:shd w:val="clear" w:color="auto" w:fill="CCEEFF"/>
          </w:tcPr>
          <w:p>
            <w:pPr>
              <w:ind w:left="200"/>
              <w:spacing w:after="0" w:line="153" w:lineRule="exact"/>
              <w:rPr>
                <w:sz w:val="20"/>
                <w:szCs w:val="20"/>
                <w:color w:val="auto"/>
              </w:rPr>
            </w:pPr>
            <w:r>
              <w:rPr>
                <w:rFonts w:ascii="Arial" w:cs="Arial" w:eastAsia="Arial" w:hAnsi="Arial"/>
                <w:sz w:val="15"/>
                <w:szCs w:val="15"/>
                <w:color w:val="auto"/>
              </w:rPr>
              <w:t>Average selling price – pre-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52,006</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43,114</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8,892</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20.6 %</w:t>
            </w:r>
          </w:p>
        </w:tc>
        <w:tc>
          <w:tcPr>
            <w:tcW w:w="1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48,981</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40,864</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8,117</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19.9 %</w:t>
            </w:r>
          </w:p>
        </w:tc>
        <w:tc>
          <w:tcPr>
            <w:tcW w:w="0" w:type="dxa"/>
            <w:vAlign w:val="bottom"/>
          </w:tcPr>
          <w:p>
            <w:pPr>
              <w:spacing w:after="0"/>
              <w:rPr>
                <w:sz w:val="1"/>
                <w:szCs w:val="1"/>
                <w:color w:val="auto"/>
              </w:rPr>
            </w:pPr>
          </w:p>
        </w:tc>
      </w:tr>
      <w:tr>
        <w:trPr>
          <w:trHeight w:val="202"/>
        </w:trPr>
        <w:tc>
          <w:tcPr>
            <w:tcW w:w="1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owned homes</w:t>
            </w:r>
          </w:p>
        </w:tc>
        <w:tc>
          <w:tcPr>
            <w:tcW w:w="12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CCEEFF"/>
          </w:tcPr>
          <w:p>
            <w:pPr>
              <w:spacing w:after="0"/>
              <w:rPr>
                <w:sz w:val="14"/>
                <w:szCs w:val="14"/>
                <w:color w:val="auto"/>
              </w:rPr>
            </w:pPr>
          </w:p>
        </w:tc>
        <w:tc>
          <w:tcPr>
            <w:tcW w:w="2080" w:type="dxa"/>
            <w:vAlign w:val="bottom"/>
            <w:gridSpan w:val="4"/>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Home Sales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40" w:type="dxa"/>
            <w:vAlign w:val="bottom"/>
          </w:tcPr>
          <w:p>
            <w:pPr>
              <w:spacing w:after="0"/>
              <w:rPr>
                <w:sz w:val="17"/>
                <w:szCs w:val="17"/>
                <w:color w:val="auto"/>
              </w:rPr>
            </w:pPr>
          </w:p>
        </w:tc>
        <w:tc>
          <w:tcPr>
            <w:tcW w:w="2080" w:type="dxa"/>
            <w:vAlign w:val="bottom"/>
            <w:gridSpan w:val="4"/>
          </w:tcPr>
          <w:p>
            <w:pPr>
              <w:ind w:left="220"/>
              <w:spacing w:after="0"/>
              <w:rPr>
                <w:sz w:val="20"/>
                <w:szCs w:val="20"/>
                <w:color w:val="auto"/>
              </w:rPr>
            </w:pPr>
            <w:r>
              <w:rPr>
                <w:rFonts w:ascii="Arial" w:cs="Arial" w:eastAsia="Arial" w:hAnsi="Arial"/>
                <w:sz w:val="15"/>
                <w:szCs w:val="15"/>
                <w:color w:val="auto"/>
              </w:rPr>
              <w:t>Revenue from home sales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81,099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47,662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24"/>
              <w:spacing w:after="0"/>
              <w:rPr>
                <w:sz w:val="20"/>
                <w:szCs w:val="20"/>
                <w:color w:val="auto"/>
              </w:rPr>
            </w:pPr>
            <w:r>
              <w:rPr>
                <w:rFonts w:ascii="Arial" w:cs="Arial" w:eastAsia="Arial" w:hAnsi="Arial"/>
                <w:sz w:val="15"/>
                <w:szCs w:val="15"/>
                <w:color w:val="auto"/>
              </w:rPr>
              <w:t>33,437</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70.2 %</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215,146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126,779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88,367</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69.7 %</w:t>
            </w:r>
          </w:p>
        </w:tc>
        <w:tc>
          <w:tcPr>
            <w:tcW w:w="0" w:type="dxa"/>
            <w:vAlign w:val="bottom"/>
          </w:tcPr>
          <w:p>
            <w:pPr>
              <w:spacing w:after="0"/>
              <w:rPr>
                <w:sz w:val="1"/>
                <w:szCs w:val="1"/>
                <w:color w:val="auto"/>
              </w:rPr>
            </w:pPr>
          </w:p>
        </w:tc>
      </w:tr>
      <w:tr>
        <w:trPr>
          <w:trHeight w:val="207"/>
        </w:trPr>
        <w:tc>
          <w:tcPr>
            <w:tcW w:w="1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Cost of home sales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51,696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36,237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15,459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42.7 %</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143,168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95,450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47,718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50.0 %</w:t>
            </w:r>
          </w:p>
        </w:tc>
        <w:tc>
          <w:tcPr>
            <w:tcW w:w="0" w:type="dxa"/>
            <w:vAlign w:val="bottom"/>
          </w:tcPr>
          <w:p>
            <w:pPr>
              <w:spacing w:after="0"/>
              <w:rPr>
                <w:sz w:val="1"/>
                <w:szCs w:val="1"/>
                <w:color w:val="auto"/>
              </w:rPr>
            </w:pPr>
          </w:p>
        </w:tc>
      </w:tr>
      <w:tr>
        <w:trPr>
          <w:trHeight w:val="198"/>
        </w:trPr>
        <w:tc>
          <w:tcPr>
            <w:tcW w:w="14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gridSpan w:val="4"/>
          </w:tcPr>
          <w:p>
            <w:pPr>
              <w:ind w:left="200"/>
              <w:spacing w:after="0"/>
              <w:rPr>
                <w:sz w:val="20"/>
                <w:szCs w:val="20"/>
                <w:color w:val="auto"/>
              </w:rPr>
            </w:pPr>
            <w:r>
              <w:rPr>
                <w:rFonts w:ascii="Arial" w:cs="Arial" w:eastAsia="Arial" w:hAnsi="Arial"/>
                <w:sz w:val="15"/>
                <w:szCs w:val="15"/>
                <w:color w:val="auto"/>
              </w:rPr>
              <w:t>Home selling expenses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4,871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3,662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1,209</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33.0 %</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13,752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10,539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3,213</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30.5 %</w:t>
            </w:r>
          </w:p>
        </w:tc>
        <w:tc>
          <w:tcPr>
            <w:tcW w:w="0" w:type="dxa"/>
            <w:vAlign w:val="bottom"/>
          </w:tcPr>
          <w:p>
            <w:pPr>
              <w:spacing w:after="0"/>
              <w:rPr>
                <w:sz w:val="1"/>
                <w:szCs w:val="1"/>
                <w:color w:val="auto"/>
              </w:rPr>
            </w:pPr>
          </w:p>
        </w:tc>
      </w:tr>
      <w:tr>
        <w:trPr>
          <w:trHeight w:val="225"/>
        </w:trPr>
        <w:tc>
          <w:tcPr>
            <w:tcW w:w="14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5"/>
                <w:szCs w:val="15"/>
                <w:color w:val="auto"/>
              </w:rPr>
              <w:t>Home Sales NOI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24,532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7,763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16,769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216.0 %</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58,226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20,790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37,436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180.1 %</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220" w:type="dxa"/>
            <w:vAlign w:val="bottom"/>
            <w:gridSpan w:val="5"/>
            <w:shd w:val="clear" w:color="auto" w:fill="CCEEFF"/>
          </w:tcPr>
          <w:p>
            <w:pPr>
              <w:ind w:left="20"/>
              <w:spacing w:after="0"/>
              <w:rPr>
                <w:sz w:val="20"/>
                <w:szCs w:val="20"/>
                <w:color w:val="auto"/>
              </w:rPr>
            </w:pPr>
            <w:r>
              <w:rPr>
                <w:rFonts w:ascii="Arial" w:cs="Arial" w:eastAsia="Arial" w:hAnsi="Arial"/>
                <w:sz w:val="15"/>
                <w:szCs w:val="15"/>
                <w:b w:val="1"/>
                <w:bCs w:val="1"/>
                <w:color w:val="auto"/>
              </w:rPr>
              <w:t>Statistical Information</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rPr>
              <w:t>New home sales volume</w:t>
            </w:r>
          </w:p>
        </w:tc>
        <w:tc>
          <w:tcPr>
            <w:tcW w:w="120" w:type="dxa"/>
            <w:vAlign w:val="bottom"/>
          </w:tcPr>
          <w:p>
            <w:pPr>
              <w:spacing w:after="0"/>
              <w:rPr>
                <w:sz w:val="17"/>
                <w:szCs w:val="17"/>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207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24"/>
              <w:spacing w:after="0"/>
              <w:rPr>
                <w:sz w:val="20"/>
                <w:szCs w:val="20"/>
                <w:color w:val="auto"/>
              </w:rPr>
            </w:pPr>
            <w:r>
              <w:rPr>
                <w:rFonts w:ascii="Arial" w:cs="Arial" w:eastAsia="Arial" w:hAnsi="Arial"/>
                <w:sz w:val="15"/>
                <w:szCs w:val="15"/>
                <w:color w:val="auto"/>
              </w:rPr>
              <w:t>52</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33.5 %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583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414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169</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40.8 %</w:t>
            </w:r>
          </w:p>
        </w:tc>
        <w:tc>
          <w:tcPr>
            <w:tcW w:w="0" w:type="dxa"/>
            <w:vAlign w:val="bottom"/>
          </w:tcPr>
          <w:p>
            <w:pPr>
              <w:spacing w:after="0"/>
              <w:rPr>
                <w:sz w:val="1"/>
                <w:szCs w:val="1"/>
                <w:color w:val="auto"/>
              </w:rPr>
            </w:pPr>
          </w:p>
        </w:tc>
      </w:tr>
      <w:tr>
        <w:trPr>
          <w:trHeight w:val="153"/>
        </w:trPr>
        <w:tc>
          <w:tcPr>
            <w:tcW w:w="140" w:type="dxa"/>
            <w:vAlign w:val="bottom"/>
            <w:shd w:val="clear" w:color="auto" w:fill="CCEEFF"/>
          </w:tcPr>
          <w:p>
            <w:pPr>
              <w:spacing w:after="0"/>
              <w:rPr>
                <w:sz w:val="13"/>
                <w:szCs w:val="13"/>
                <w:color w:val="auto"/>
              </w:rPr>
            </w:pPr>
          </w:p>
        </w:tc>
        <w:tc>
          <w:tcPr>
            <w:tcW w:w="2080" w:type="dxa"/>
            <w:vAlign w:val="bottom"/>
            <w:gridSpan w:val="4"/>
            <w:shd w:val="clear" w:color="auto" w:fill="CCEEFF"/>
          </w:tcPr>
          <w:p>
            <w:pPr>
              <w:ind w:left="200"/>
              <w:spacing w:after="0" w:line="153" w:lineRule="exact"/>
              <w:rPr>
                <w:sz w:val="20"/>
                <w:szCs w:val="20"/>
                <w:color w:val="auto"/>
              </w:rPr>
            </w:pPr>
            <w:r>
              <w:rPr>
                <w:rFonts w:ascii="Arial" w:cs="Arial" w:eastAsia="Arial" w:hAnsi="Arial"/>
                <w:sz w:val="15"/>
                <w:szCs w:val="15"/>
                <w:color w:val="auto"/>
              </w:rPr>
              <w:t>Pre-owned home sales</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955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555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400</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72.1 %</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2,572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1,670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902</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54.0 %</w:t>
            </w:r>
          </w:p>
        </w:tc>
        <w:tc>
          <w:tcPr>
            <w:tcW w:w="0" w:type="dxa"/>
            <w:vAlign w:val="bottom"/>
          </w:tcPr>
          <w:p>
            <w:pPr>
              <w:spacing w:after="0"/>
              <w:rPr>
                <w:sz w:val="1"/>
                <w:szCs w:val="1"/>
                <w:color w:val="auto"/>
              </w:rPr>
            </w:pPr>
          </w:p>
        </w:tc>
      </w:tr>
      <w:tr>
        <w:trPr>
          <w:trHeight w:val="198"/>
        </w:trPr>
        <w:tc>
          <w:tcPr>
            <w:tcW w:w="1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volume</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rPr>
              <w:t>Total home sales volume</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1,162</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710</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452</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63.7 %</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3,155</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2,084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1,071</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51.4 %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New Homes</w:t>
      </w:r>
    </w:p>
    <w:p>
      <w:pPr>
        <w:spacing w:after="0" w:line="23" w:lineRule="exact"/>
        <w:rPr>
          <w:sz w:val="20"/>
          <w:szCs w:val="20"/>
          <w:color w:val="auto"/>
        </w:rPr>
      </w:pPr>
    </w:p>
    <w:p>
      <w:pPr>
        <w:jc w:val="both"/>
        <w:ind w:left="180"/>
        <w:spacing w:after="0" w:line="260" w:lineRule="auto"/>
        <w:rPr>
          <w:sz w:val="20"/>
          <w:szCs w:val="20"/>
          <w:color w:val="auto"/>
        </w:rPr>
      </w:pPr>
      <w:r>
        <w:rPr>
          <w:rFonts w:ascii="Arial" w:cs="Arial" w:eastAsia="Arial" w:hAnsi="Arial"/>
          <w:sz w:val="18"/>
          <w:szCs w:val="18"/>
          <w:color w:val="auto"/>
        </w:rPr>
        <w:t>For the three months ended September 30, 2021, the $1.1 million, or 25.6 percent, increase in gross profit is primarily the result of a 33.5 percent increase in new home sales volume, as compared to the same period in 2020.</w:t>
      </w:r>
    </w:p>
    <w:p>
      <w:pPr>
        <w:spacing w:after="0" w:line="212" w:lineRule="exact"/>
        <w:rPr>
          <w:sz w:val="20"/>
          <w:szCs w:val="20"/>
          <w:color w:val="auto"/>
        </w:rPr>
      </w:pPr>
    </w:p>
    <w:p>
      <w:pPr>
        <w:jc w:val="both"/>
        <w:ind w:left="180"/>
        <w:spacing w:after="0" w:line="342" w:lineRule="auto"/>
        <w:rPr>
          <w:sz w:val="20"/>
          <w:szCs w:val="20"/>
          <w:color w:val="auto"/>
        </w:rPr>
      </w:pPr>
      <w:r>
        <w:rPr>
          <w:rFonts w:ascii="Arial" w:cs="Arial" w:eastAsia="Arial" w:hAnsi="Arial"/>
          <w:sz w:val="16"/>
          <w:szCs w:val="16"/>
          <w:color w:val="auto"/>
        </w:rPr>
        <w:t>For the nine months ended September 30, 2021, the $5.4 million, or 49.8 percent, increase in gross profit is primarily the result of a 40.8 percent increase in new home sales volume coupled with a 8.2 percent increase in the new home average selling price, as compared to the same period in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Pre-owned Homes</w:t>
      </w:r>
    </w:p>
    <w:p>
      <w:pPr>
        <w:spacing w:after="0" w:line="23"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For the three months ended September 30, 2021, the $16.8 million, or 241.1 percent, increase in gross profit is primarily the result of a 72.1 percent increase in pre-owned home sales volume, coupled with a 18.8 percent increase in gross margin, primarily due to a 20.6 percent increase in the pre-owned home average selling price, as compared to the same period in 2020.</w:t>
      </w:r>
    </w:p>
    <w:p>
      <w:pPr>
        <w:spacing w:after="0" w:line="217"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For the nine months ended September 30, 2021, the $35.2 million, or 172.5 percent, increase in gross profit is primarily the result of a 54.0 percent increase in pre-owned home sales volume, coupled with a 14.2 percent increase in gross margin, primarily due to a 19.9 percent increase in the pre-owned home average selling price, as compared to the same period in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Homes sales NOI</w:t>
      </w:r>
    </w:p>
    <w:p>
      <w:pPr>
        <w:spacing w:after="0" w:line="23" w:lineRule="exact"/>
        <w:rPr>
          <w:sz w:val="20"/>
          <w:szCs w:val="20"/>
          <w:color w:val="auto"/>
        </w:rPr>
      </w:pPr>
    </w:p>
    <w:p>
      <w:pPr>
        <w:ind w:left="180" w:right="20"/>
        <w:spacing w:after="0" w:line="290" w:lineRule="auto"/>
        <w:rPr>
          <w:sz w:val="20"/>
          <w:szCs w:val="20"/>
          <w:color w:val="auto"/>
        </w:rPr>
      </w:pPr>
      <w:r>
        <w:rPr>
          <w:rFonts w:ascii="Arial" w:cs="Arial" w:eastAsia="Arial" w:hAnsi="Arial"/>
          <w:sz w:val="17"/>
          <w:szCs w:val="17"/>
          <w:color w:val="auto"/>
        </w:rPr>
        <w:t>For the three months ended September 30, 2021, the $16.8 million, or 216.0 percent, increase in NOI is primarily the result of a 63.7 percent increase in home sales volume, coupled with an increase in pre-owned home average selling price, as compared to the same period in 2020.</w:t>
      </w:r>
    </w:p>
    <w:p>
      <w:pPr>
        <w:spacing w:after="0" w:line="18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For the nine months ended September 30, 2021, the $37.4 million, or 180.1 percent, increase in NOI is primarily the result of a 51.4 percent increase in home sales volume coupled with an increase in home average selling price, as compared to the same period in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Program Summary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Rental Program as of and for the three and nine months ended September 30, 2021 and 2020 (in thousands, except for other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w w:val="95"/>
              </w:rPr>
              <w:t>Three Months Ended</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w w:val="98"/>
              </w:rPr>
              <w:t>Nine Months Ended</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2"/>
                <w:szCs w:val="12"/>
                <w:color w:val="auto"/>
              </w:rPr>
            </w:pPr>
          </w:p>
        </w:tc>
        <w:tc>
          <w:tcPr>
            <w:tcW w:w="116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7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Change</w:t>
            </w:r>
          </w:p>
        </w:tc>
        <w:tc>
          <w:tcPr>
            <w:tcW w:w="8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2"/>
                <w:szCs w:val="12"/>
                <w:color w:val="auto"/>
              </w:rPr>
            </w:pPr>
          </w:p>
        </w:tc>
        <w:tc>
          <w:tcPr>
            <w:tcW w:w="116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116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66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w w:val="90"/>
              </w:rPr>
              <w:t>Change</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98"/>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58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5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Revenues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80" w:type="dxa"/>
            <w:vAlign w:val="bottom"/>
          </w:tcPr>
          <w:p>
            <w:pPr>
              <w:ind w:left="340"/>
              <w:spacing w:after="0"/>
              <w:rPr>
                <w:sz w:val="20"/>
                <w:szCs w:val="20"/>
                <w:color w:val="auto"/>
              </w:rPr>
            </w:pPr>
            <w:r>
              <w:rPr>
                <w:rFonts w:ascii="Arial" w:cs="Arial" w:eastAsia="Arial" w:hAnsi="Arial"/>
                <w:sz w:val="15"/>
                <w:szCs w:val="15"/>
                <w:color w:val="auto"/>
              </w:rPr>
              <w:t>Home rent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16,369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16,171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198</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1.2 %</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50,451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46,607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3,844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8.2 %</w:t>
            </w:r>
          </w:p>
        </w:tc>
        <w:tc>
          <w:tcPr>
            <w:tcW w:w="0" w:type="dxa"/>
            <w:vAlign w:val="bottom"/>
          </w:tcPr>
          <w:p>
            <w:pPr>
              <w:spacing w:after="0"/>
              <w:rPr>
                <w:sz w:val="1"/>
                <w:szCs w:val="1"/>
                <w:color w:val="auto"/>
              </w:rPr>
            </w:pPr>
          </w:p>
        </w:tc>
      </w:tr>
      <w:tr>
        <w:trPr>
          <w:trHeight w:val="207"/>
        </w:trPr>
        <w:tc>
          <w:tcPr>
            <w:tcW w:w="2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Site rent</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17,584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19,101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55,350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55,699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33,953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35,272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(1,319)</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(3.7)%</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105,801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102,306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3,495</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3.4 %</w:t>
            </w:r>
          </w:p>
        </w:tc>
        <w:tc>
          <w:tcPr>
            <w:tcW w:w="0" w:type="dxa"/>
            <w:vAlign w:val="bottom"/>
          </w:tcPr>
          <w:p>
            <w:pPr>
              <w:spacing w:after="0"/>
              <w:rPr>
                <w:sz w:val="1"/>
                <w:szCs w:val="1"/>
                <w:color w:val="auto"/>
              </w:rPr>
            </w:pPr>
          </w:p>
        </w:tc>
      </w:tr>
      <w:tr>
        <w:trPr>
          <w:trHeight w:val="200"/>
        </w:trPr>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80" w:type="dxa"/>
            <w:vAlign w:val="bottom"/>
          </w:tcPr>
          <w:p>
            <w:pPr>
              <w:ind w:left="140"/>
              <w:spacing w:after="0"/>
              <w:rPr>
                <w:sz w:val="20"/>
                <w:szCs w:val="20"/>
                <w:color w:val="auto"/>
              </w:rPr>
            </w:pPr>
            <w:r>
              <w:rPr>
                <w:rFonts w:ascii="Arial" w:cs="Arial" w:eastAsia="Arial" w:hAnsi="Arial"/>
                <w:sz w:val="15"/>
                <w:szCs w:val="15"/>
                <w:b w:val="1"/>
                <w:bCs w:val="1"/>
                <w:color w:val="auto"/>
              </w:rPr>
              <w:t>Expenses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580" w:type="dxa"/>
            <w:vAlign w:val="bottom"/>
            <w:shd w:val="clear" w:color="auto" w:fill="CCEEFF"/>
          </w:tcPr>
          <w:p>
            <w:pPr>
              <w:ind w:left="340"/>
              <w:spacing w:after="0" w:line="151" w:lineRule="exact"/>
              <w:rPr>
                <w:sz w:val="20"/>
                <w:szCs w:val="20"/>
                <w:color w:val="auto"/>
              </w:rPr>
            </w:pPr>
            <w:r>
              <w:rPr>
                <w:rFonts w:ascii="Arial" w:cs="Arial" w:eastAsia="Arial" w:hAnsi="Arial"/>
                <w:sz w:val="15"/>
                <w:szCs w:val="15"/>
                <w:color w:val="auto"/>
              </w:rPr>
              <w:t>Rental Program operating and</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5,547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219</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15,332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14,576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756</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5.2 %</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maintenance</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80" w:type="dxa"/>
            <w:vAlign w:val="bottom"/>
          </w:tcPr>
          <w:p>
            <w:pPr>
              <w:ind w:left="360"/>
              <w:spacing w:after="0"/>
              <w:rPr>
                <w:sz w:val="20"/>
                <w:szCs w:val="20"/>
                <w:color w:val="auto"/>
              </w:rPr>
            </w:pPr>
            <w:r>
              <w:rPr>
                <w:rFonts w:ascii="Arial" w:cs="Arial" w:eastAsia="Arial" w:hAnsi="Arial"/>
                <w:sz w:val="15"/>
                <w:szCs w:val="15"/>
                <w:color w:val="auto"/>
              </w:rPr>
              <w:t>Rental Program NOI</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28,406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29,944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(1,538)</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(5.1)%</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90,469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87,730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3.1 %</w:t>
            </w: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58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Number of sold rental homes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36.4 %</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37.5 %</w:t>
            </w:r>
          </w:p>
        </w:tc>
        <w:tc>
          <w:tcPr>
            <w:tcW w:w="0" w:type="dxa"/>
            <w:vAlign w:val="bottom"/>
          </w:tcPr>
          <w:p>
            <w:pPr>
              <w:spacing w:after="0"/>
              <w:rPr>
                <w:sz w:val="1"/>
                <w:szCs w:val="1"/>
                <w:color w:val="auto"/>
              </w:rPr>
            </w:pPr>
          </w:p>
        </w:tc>
      </w:tr>
      <w:tr>
        <w:trPr>
          <w:trHeight w:val="149"/>
        </w:trPr>
        <w:tc>
          <w:tcPr>
            <w:tcW w:w="2580" w:type="dxa"/>
            <w:vAlign w:val="bottom"/>
          </w:tcPr>
          <w:p>
            <w:pPr>
              <w:ind w:left="140"/>
              <w:spacing w:after="0" w:line="149" w:lineRule="exact"/>
              <w:rPr>
                <w:sz w:val="20"/>
                <w:szCs w:val="20"/>
                <w:color w:val="auto"/>
              </w:rPr>
            </w:pPr>
            <w:r>
              <w:rPr>
                <w:rFonts w:ascii="Arial" w:cs="Arial" w:eastAsia="Arial" w:hAnsi="Arial"/>
                <w:sz w:val="15"/>
                <w:szCs w:val="15"/>
                <w:color w:val="auto"/>
              </w:rPr>
              <w:t>Number of occupied rentals, end of</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10,123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11,729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(1,606)</w:t>
            </w: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98"/>
        </w:trPr>
        <w:tc>
          <w:tcPr>
            <w:tcW w:w="2580" w:type="dxa"/>
            <w:vAlign w:val="bottom"/>
          </w:tcPr>
          <w:p>
            <w:pPr>
              <w:ind w:left="140"/>
              <w:spacing w:after="0"/>
              <w:rPr>
                <w:sz w:val="20"/>
                <w:szCs w:val="20"/>
                <w:color w:val="auto"/>
              </w:rPr>
            </w:pPr>
            <w:r>
              <w:rPr>
                <w:rFonts w:ascii="Arial" w:cs="Arial" w:eastAsia="Arial" w:hAnsi="Arial"/>
                <w:sz w:val="15"/>
                <w:szCs w:val="15"/>
                <w:color w:val="auto"/>
              </w:rPr>
              <w:t>period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5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7"/>
              </w:rPr>
              <w:t>Investment in occupied rental homes,</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559,021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625,922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(66,901)</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end of period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140"/>
              <w:spacing w:after="0" w:line="149" w:lineRule="exact"/>
              <w:rPr>
                <w:sz w:val="20"/>
                <w:szCs w:val="20"/>
                <w:color w:val="auto"/>
              </w:rPr>
            </w:pPr>
            <w:r>
              <w:rPr>
                <w:rFonts w:ascii="Arial" w:cs="Arial" w:eastAsia="Arial" w:hAnsi="Arial"/>
                <w:sz w:val="15"/>
                <w:szCs w:val="15"/>
                <w:color w:val="auto"/>
                <w:w w:val="95"/>
              </w:rPr>
              <w:t>Weighted average monthly rental rate,</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1,114</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1,032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82</w:t>
            </w: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color w:val="auto"/>
              </w:rPr>
              <w:t>7.9 %</w:t>
            </w:r>
          </w:p>
        </w:tc>
        <w:tc>
          <w:tcPr>
            <w:tcW w:w="0" w:type="dxa"/>
            <w:vAlign w:val="bottom"/>
          </w:tcPr>
          <w:p>
            <w:pPr>
              <w:spacing w:after="0"/>
              <w:rPr>
                <w:sz w:val="1"/>
                <w:szCs w:val="1"/>
                <w:color w:val="auto"/>
              </w:rPr>
            </w:pPr>
          </w:p>
        </w:tc>
      </w:tr>
      <w:tr>
        <w:trPr>
          <w:trHeight w:val="194"/>
        </w:trPr>
        <w:tc>
          <w:tcPr>
            <w:tcW w:w="2580" w:type="dxa"/>
            <w:vAlign w:val="bottom"/>
          </w:tcPr>
          <w:p>
            <w:pPr>
              <w:ind w:left="140"/>
              <w:spacing w:after="0"/>
              <w:rPr>
                <w:sz w:val="20"/>
                <w:szCs w:val="20"/>
                <w:color w:val="auto"/>
              </w:rPr>
            </w:pPr>
            <w:r>
              <w:rPr>
                <w:rFonts w:ascii="Arial" w:cs="Arial" w:eastAsia="Arial" w:hAnsi="Arial"/>
                <w:sz w:val="15"/>
                <w:szCs w:val="15"/>
                <w:color w:val="auto"/>
              </w:rPr>
              <w:t>end of period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Rental Program NOI is included in Real Property NOI. The Rental Program NOI is separately reviewed to assess the overall growth and performance of the Rental Program and its financial impact on the Company's operations.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2021, Rental Program NOI decreased $1.5 million, or 5.1 percent as compared to the same period in 2020. The decrease is primarily due to a $1.5 million or 7.9 percent decrease in site rent revenue driven by a 13.7 percent decrease in number of occupied rental homes, as compared to the same period in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2021, Rental Program NOI increased $2.7 million, or 3.1 percent as compared to the same period in 2020. The increase is primarily due to an increase in Rental Program revenue of $3.5 million, or 3.4 percent, due to a 7.9 percent increase in the weighted average monthly rental rate, as compared to the same period in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 Statements of Operations</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other income and expenses for the three and nine months ended September 30, 2021 and 2020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b w:val="1"/>
                <w:bCs w:val="1"/>
                <w:color w:val="auto"/>
              </w:rPr>
              <w:t>Three Months Ended</w:t>
            </w:r>
          </w:p>
        </w:tc>
        <w:tc>
          <w:tcPr>
            <w:tcW w:w="8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80"/>
              <w:spacing w:after="0"/>
              <w:rPr>
                <w:sz w:val="20"/>
                <w:szCs w:val="20"/>
                <w:color w:val="auto"/>
              </w:rPr>
            </w:pPr>
            <w:r>
              <w:rPr>
                <w:rFonts w:ascii="Arial" w:cs="Arial" w:eastAsia="Arial" w:hAnsi="Arial"/>
                <w:sz w:val="15"/>
                <w:szCs w:val="15"/>
                <w:b w:val="1"/>
                <w:bCs w:val="1"/>
                <w:color w:val="auto"/>
              </w:rPr>
              <w:t>Nine Months Ended</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2"/>
                <w:szCs w:val="12"/>
                <w:color w:val="auto"/>
              </w:rPr>
            </w:pPr>
          </w:p>
        </w:tc>
        <w:tc>
          <w:tcPr>
            <w:tcW w:w="114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Change</w:t>
            </w: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2"/>
                <w:szCs w:val="12"/>
                <w:color w:val="auto"/>
              </w:rPr>
            </w:pPr>
          </w:p>
        </w:tc>
        <w:tc>
          <w:tcPr>
            <w:tcW w:w="116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2"/>
                <w:szCs w:val="12"/>
                <w:color w:val="auto"/>
              </w:rPr>
            </w:pPr>
          </w:p>
        </w:tc>
        <w:tc>
          <w:tcPr>
            <w:tcW w:w="116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Change</w:t>
            </w: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74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5"/>
                <w:szCs w:val="15"/>
                <w:color w:val="auto"/>
              </w:rPr>
              <w:t>Service, retail, dining and entertainment,</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25,933</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6,244</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19,689</w:t>
            </w: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315.3 %</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58,981</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5,123</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53,858</w:t>
            </w: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w:t>
            </w: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2,690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2,624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2.5 %</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8,040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7,609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431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5.7 %</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Brokerage commissions and other,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2,960</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13,068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8,672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66.4 %</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5"/>
                <w:szCs w:val="15"/>
                <w:color w:val="auto"/>
              </w:rPr>
              <w:t>General and administrative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43,276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26,834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16,442</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61.3 %</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126,606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78,710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47,896</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60.9 %</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Catastrophic event-related charges,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N/M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5"/>
                <w:szCs w:val="15"/>
                <w:color w:val="auto"/>
              </w:rPr>
              <w:t>Business combination expense,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1,031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1,031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38,592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378,068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259,453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118,615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45.7 %</w:t>
            </w: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Arial" w:cs="Arial" w:eastAsia="Arial" w:hAnsi="Arial"/>
                <w:sz w:val="15"/>
                <w:szCs w:val="15"/>
                <w:color w:val="auto"/>
                <w:w w:val="97"/>
              </w:rPr>
              <w:t>Loss on extinguishment of debt (see Note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N/A</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8,108</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5,209</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2,899</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55.7 %</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5"/>
                <w:szCs w:val="15"/>
                <w:color w:val="auto"/>
              </w:rPr>
              <w:t>8)</w:t>
            </w:r>
          </w:p>
        </w:tc>
        <w:tc>
          <w:tcPr>
            <w:tcW w:w="10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8,812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94,058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22,166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23.6 %</w:t>
            </w: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Arial" w:cs="Arial" w:eastAsia="Arial" w:hAnsi="Arial"/>
                <w:sz w:val="15"/>
                <w:szCs w:val="15"/>
                <w:color w:val="auto"/>
              </w:rPr>
              <w:t>Interest on mandatorily redeemable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1,047</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1,047</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N/A</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3,124</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3,130</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5"/>
                <w:szCs w:val="15"/>
                <w:color w:val="auto"/>
              </w:rPr>
              <w:t>preferred OP units / equity</w:t>
            </w:r>
          </w:p>
        </w:tc>
        <w:tc>
          <w:tcPr>
            <w:tcW w:w="1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Gain / (loss) on remeasurement of</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12,072</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1,492</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10,580</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709.1 %</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43,227</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(2,636)</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45,863</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marketable securities (see Note 14)</w:t>
            </w: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40" w:type="dxa"/>
            <w:vAlign w:val="bottom"/>
            <w:gridSpan w:val="2"/>
          </w:tcPr>
          <w:p>
            <w:pPr>
              <w:ind w:left="20"/>
              <w:spacing w:after="0"/>
              <w:rPr>
                <w:sz w:val="20"/>
                <w:szCs w:val="20"/>
                <w:color w:val="auto"/>
              </w:rPr>
            </w:pPr>
            <w:r>
              <w:rPr>
                <w:rFonts w:ascii="Arial" w:cs="Arial" w:eastAsia="Arial" w:hAnsi="Arial"/>
                <w:sz w:val="15"/>
                <w:szCs w:val="15"/>
                <w:color w:val="auto"/>
                <w:w w:val="93"/>
              </w:rPr>
              <w:t>Gain / (loss) on foreign currency translation $</w:t>
            </w:r>
          </w:p>
        </w:tc>
        <w:tc>
          <w:tcPr>
            <w:tcW w:w="1060" w:type="dxa"/>
            <w:vAlign w:val="bottom"/>
          </w:tcPr>
          <w:p>
            <w:pPr>
              <w:jc w:val="right"/>
              <w:spacing w:after="0"/>
              <w:rPr>
                <w:sz w:val="20"/>
                <w:szCs w:val="20"/>
                <w:color w:val="auto"/>
              </w:rPr>
            </w:pPr>
            <w:r>
              <w:rPr>
                <w:rFonts w:ascii="Arial" w:cs="Arial" w:eastAsia="Arial" w:hAnsi="Arial"/>
                <w:sz w:val="15"/>
                <w:szCs w:val="15"/>
                <w:color w:val="auto"/>
              </w:rPr>
              <w:t>(7,028)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5,023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(12,051)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(239.9)%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(7,107)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(2,496)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(4,611)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184.7 %</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(5,861)</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166.9 %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(5,151)</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105.3 %</w:t>
            </w: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Arial" w:cs="Arial" w:eastAsia="Arial" w:hAnsi="Arial"/>
                <w:sz w:val="15"/>
                <w:szCs w:val="15"/>
                <w:color w:val="auto"/>
              </w:rPr>
              <w:t>Gain / (loss) on remeasurement of notes</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92</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(445)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537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120.7 %</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561</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(2,311)</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2,872</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124.3 %</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5"/>
                <w:szCs w:val="15"/>
                <w:color w:val="auto"/>
              </w:rPr>
              <w:t>receivable (see Note 4)</w:t>
            </w:r>
          </w:p>
        </w:tc>
        <w:tc>
          <w:tcPr>
            <w:tcW w:w="1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3"/>
              </w:rPr>
              <w:t>Income from nonconsolidated affiliates (see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962</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1,204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2,927</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1,348</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1,579</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117.1 %</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Note 6)</w:t>
            </w: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Arial" w:cs="Arial" w:eastAsia="Arial" w:hAnsi="Arial"/>
                <w:sz w:val="15"/>
                <w:szCs w:val="15"/>
                <w:color w:val="auto"/>
                <w:w w:val="99"/>
              </w:rPr>
              <w:t>Loss on remeasurement of investment in</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(446)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327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(73.3)%</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(1,505)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1,375</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(91.4)%</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5"/>
                <w:szCs w:val="15"/>
                <w:color w:val="auto"/>
              </w:rPr>
              <w:t>nonconsolidated affiliates (see Note 6)</w:t>
            </w:r>
          </w:p>
        </w:tc>
        <w:tc>
          <w:tcPr>
            <w:tcW w:w="1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9"/>
              </w:rPr>
              <w:t>Current tax benefit / (expense) (see Note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(509)</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475.7 %</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(1,418)</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(462)</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(956)</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206.9 %</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12)</w:t>
            </w: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Arial" w:cs="Arial" w:eastAsia="Arial" w:hAnsi="Arial"/>
                <w:sz w:val="15"/>
                <w:szCs w:val="15"/>
                <w:color w:val="auto"/>
                <w:w w:val="96"/>
              </w:rPr>
              <w:t>Deferred tax benefit / (expense) (see Note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(1,155)</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562</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(1,717)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(305.5)%</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(1,074)</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804</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(1,878)</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(233.6)%</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5"/>
                <w:szCs w:val="15"/>
                <w:color w:val="auto"/>
              </w:rPr>
              <w:t>12)</w:t>
            </w:r>
          </w:p>
        </w:tc>
        <w:tc>
          <w:tcPr>
            <w:tcW w:w="1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Preferred return to preferred OP units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3,101</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1,645</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1,456</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88.5 %</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9,000</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4,799</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4,201</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87.5 %</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interests</w:t>
            </w: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Arial" w:cs="Arial" w:eastAsia="Arial" w:hAnsi="Arial"/>
                <w:sz w:val="15"/>
                <w:szCs w:val="15"/>
                <w:color w:val="auto"/>
              </w:rPr>
              <w:t>Income attributable to noncontrolling</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15,290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6,907</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8,383</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121.4 %</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22,629</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8,806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13,823</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157.0 %</w:t>
            </w:r>
          </w:p>
        </w:tc>
        <w:tc>
          <w:tcPr>
            <w:tcW w:w="0" w:type="dxa"/>
            <w:vAlign w:val="bottom"/>
          </w:tcPr>
          <w:p>
            <w:pPr>
              <w:spacing w:after="0"/>
              <w:rPr>
                <w:sz w:val="1"/>
                <w:szCs w:val="1"/>
                <w:color w:val="auto"/>
              </w:rPr>
            </w:pPr>
          </w:p>
        </w:tc>
      </w:tr>
      <w:tr>
        <w:trPr>
          <w:trHeight w:val="194"/>
        </w:trPr>
        <w:tc>
          <w:tcPr>
            <w:tcW w:w="2740" w:type="dxa"/>
            <w:vAlign w:val="bottom"/>
          </w:tcPr>
          <w:p>
            <w:pPr>
              <w:ind w:left="20"/>
              <w:spacing w:after="0"/>
              <w:rPr>
                <w:sz w:val="20"/>
                <w:szCs w:val="20"/>
                <w:color w:val="auto"/>
              </w:rPr>
            </w:pPr>
            <w:r>
              <w:rPr>
                <w:rFonts w:ascii="Arial" w:cs="Arial" w:eastAsia="Arial" w:hAnsi="Arial"/>
                <w:sz w:val="15"/>
                <w:szCs w:val="15"/>
                <w:color w:val="auto"/>
              </w:rPr>
              <w:t>interests</w:t>
            </w:r>
          </w:p>
        </w:tc>
        <w:tc>
          <w:tcPr>
            <w:tcW w:w="1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3740" w:firstLine="8"/>
        <w:spacing w:after="0" w:line="428" w:lineRule="auto"/>
        <w:tabs>
          <w:tab w:leader="none" w:pos="132" w:val="left"/>
        </w:tabs>
        <w:numPr>
          <w:ilvl w:val="0"/>
          <w:numId w:val="39"/>
        </w:numPr>
        <w:rPr>
          <w:rFonts w:ascii="Arial" w:cs="Arial" w:eastAsia="Arial" w:hAnsi="Arial"/>
          <w:sz w:val="15"/>
          <w:szCs w:val="15"/>
          <w:color w:val="auto"/>
          <w:vertAlign w:val="superscript"/>
        </w:rPr>
      </w:pPr>
      <w:r>
        <w:rPr>
          <w:rFonts w:ascii="Arial" w:cs="Arial" w:eastAsia="Arial" w:hAnsi="Arial"/>
          <w:sz w:val="11"/>
          <w:szCs w:val="11"/>
          <w:color w:val="auto"/>
        </w:rPr>
        <w:t>Only items determined by management to be material, of interest, or unique to the periods disclosed above are explained below. N/M = Percentage change is not meaningful.</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Service, retail, dining and entertainment, net - </w:t>
      </w:r>
      <w:r>
        <w:rPr>
          <w:rFonts w:ascii="Arial" w:cs="Arial" w:eastAsia="Arial" w:hAnsi="Arial"/>
          <w:sz w:val="18"/>
          <w:szCs w:val="18"/>
          <w:color w:val="auto"/>
        </w:rPr>
        <w:t>for the three and nine months ended September 30, 2021, increased primarily due to the addition of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the Safe Harbor acquisition.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Brokerage commissions and other, net </w:t>
      </w:r>
      <w:r>
        <w:rPr>
          <w:rFonts w:ascii="Arial" w:cs="Arial" w:eastAsia="Arial" w:hAnsi="Arial"/>
          <w:sz w:val="18"/>
          <w:szCs w:val="18"/>
          <w:color w:val="auto"/>
        </w:rPr>
        <w:t>- for the three and nine months ended September 30, 2021, increased primarily due to an increase in brokerage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as a result of an increase in the number of brokered home sales, as compared to 2020.</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General and administrative expenses - </w:t>
      </w:r>
      <w:r>
        <w:rPr>
          <w:rFonts w:ascii="Arial" w:cs="Arial" w:eastAsia="Arial" w:hAnsi="Arial"/>
          <w:sz w:val="18"/>
          <w:szCs w:val="18"/>
          <w:color w:val="auto"/>
        </w:rPr>
        <w:t>for the three and nine months ended September 30, 2021, increased primarily due to an increase in wages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incentives driven by growth in strategic initiatives and acquisition activity, including the acquisition of Safe Harbor, as compared to the same period in 2020.</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Catastrophic event-related charges, net - </w:t>
      </w:r>
      <w:r>
        <w:rPr>
          <w:rFonts w:ascii="Arial" w:cs="Arial" w:eastAsia="Arial" w:hAnsi="Arial"/>
          <w:sz w:val="18"/>
          <w:szCs w:val="18"/>
          <w:color w:val="auto"/>
        </w:rPr>
        <w:t>for the three and nine months ended September 30, 2021, increased primarily due to fire damages and the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of named weather events.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Depreciation and amortization - </w:t>
      </w:r>
      <w:r>
        <w:rPr>
          <w:rFonts w:ascii="Arial" w:cs="Arial" w:eastAsia="Arial" w:hAnsi="Arial"/>
          <w:sz w:val="16"/>
          <w:szCs w:val="16"/>
          <w:color w:val="auto"/>
        </w:rPr>
        <w:t>for the three and nine months ended September 30, 2021, increased as a result of property acquisitions during 2020 and</w:t>
      </w:r>
      <w:r>
        <w:rPr>
          <w:rFonts w:ascii="Arial" w:cs="Arial" w:eastAsia="Arial" w:hAnsi="Arial"/>
          <w:sz w:val="16"/>
          <w:szCs w:val="16"/>
          <w:i w:val="1"/>
          <w:iCs w:val="1"/>
          <w:color w:val="auto"/>
        </w:rPr>
        <w:t xml:space="preserve"> </w:t>
      </w:r>
      <w:r>
        <w:rPr>
          <w:rFonts w:ascii="Arial" w:cs="Arial" w:eastAsia="Arial" w:hAnsi="Arial"/>
          <w:sz w:val="16"/>
          <w:szCs w:val="16"/>
          <w:color w:val="auto"/>
        </w:rPr>
        <w:t>2021. Refer to Note 3, "Real Estate Acquisitions and Dispositions," in our accompanying Consolidated Financial Statements for additional information.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Loss on extinguishment of debt - </w:t>
      </w:r>
      <w:r>
        <w:rPr>
          <w:rFonts w:ascii="Arial" w:cs="Arial" w:eastAsia="Arial" w:hAnsi="Arial"/>
          <w:sz w:val="18"/>
          <w:szCs w:val="18"/>
          <w:color w:val="auto"/>
        </w:rPr>
        <w:t>for the nine months ended September 30, 2021, increased primarily due to the termination of the Safe Harbor line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financing activities as compared to the same period in 2020. Refer to Note 8, "Debt and Line of Credit," in our accompanying Consolidated Financial Statements for additional information.</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Interest expense - </w:t>
      </w:r>
      <w:r>
        <w:rPr>
          <w:rFonts w:ascii="Arial" w:cs="Arial" w:eastAsia="Arial" w:hAnsi="Arial"/>
          <w:sz w:val="16"/>
          <w:szCs w:val="16"/>
          <w:color w:val="auto"/>
        </w:rPr>
        <w:t>for the three and nine months ended September 30, 2021, increased primarily due to the higher carrying balance of debt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2020. Refer to Note 8, "Debt and Line of Credit," of our accompanying Consolidated Financial Statements for additional information.</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 / (loss) on remeasurement of marketable securities - </w:t>
      </w:r>
      <w:r>
        <w:rPr>
          <w:rFonts w:ascii="Arial" w:cs="Arial" w:eastAsia="Arial" w:hAnsi="Arial"/>
          <w:sz w:val="18"/>
          <w:szCs w:val="18"/>
          <w:color w:val="auto"/>
        </w:rPr>
        <w:t>for the three and nine months ended September 30, 2021, the increase was a reflection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publicly traded marketable securities. Refer to Note 14, "Fair Value of Financial Instruments," in our accompanying Consolidated Financial Statements for additional information.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Gain / (loss) on foreign currency translation - </w:t>
      </w:r>
      <w:r>
        <w:rPr>
          <w:rFonts w:ascii="Arial" w:cs="Arial" w:eastAsia="Arial" w:hAnsi="Arial"/>
          <w:sz w:val="17"/>
          <w:szCs w:val="17"/>
          <w:color w:val="auto"/>
        </w:rPr>
        <w:t>for the three months ended September 30, 2021, there was a $7.0 million loss as compared to a $5.0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gain in the same period in 2020, primarily due to fluctuations in exchange rates on Canadian and Australian denominated currencies. For the nine months ended September 30, 2021, there was a $7.1 million loss as compared to a $2.5 million loss in the same period in 2020.</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net - </w:t>
      </w:r>
      <w:r>
        <w:rPr>
          <w:rFonts w:ascii="Arial" w:cs="Arial" w:eastAsia="Arial" w:hAnsi="Arial"/>
          <w:sz w:val="18"/>
          <w:szCs w:val="18"/>
          <w:color w:val="auto"/>
        </w:rPr>
        <w:t>for the three and nine months ended September 30, 2021, the increase was primarily due to an estimated contingent liability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termination of certain ground leases.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 / (loss) on remeasurement of notes receivable - </w:t>
      </w:r>
      <w:r>
        <w:rPr>
          <w:rFonts w:ascii="Arial" w:cs="Arial" w:eastAsia="Arial" w:hAnsi="Arial"/>
          <w:sz w:val="18"/>
          <w:szCs w:val="18"/>
          <w:color w:val="auto"/>
        </w:rPr>
        <w:t>represents the change in fair value of our in-house financing notes receivable portfolio, for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the fair value option on January 1, 2020. Refer to Note 4, "Notes and Other Receivables," and Note 14, "Fair Value of Financial Instruments," in our accompanying Consolidated Financial Statements for additional information.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from nonconsolidated affiliates - </w:t>
      </w:r>
      <w:r>
        <w:rPr>
          <w:rFonts w:ascii="Arial" w:cs="Arial" w:eastAsia="Arial" w:hAnsi="Arial"/>
          <w:sz w:val="18"/>
          <w:szCs w:val="18"/>
          <w:color w:val="auto"/>
        </w:rPr>
        <w:t>decreased primarily due to losses incurred at the RezPlot and SV Lift nonconsolidated affiliates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For the nine months ended September 30, 2021, there was a $1.6 million increase primarily due to increased income at GTSC and the Sungenia JV nonconsolidated affiliate as compared to the same period in 2020. Refer to Note 6, "Investment in Nonconsolidated Affiliates," in our accompanying Consolidated Financial Statements for additional information.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Current tax benefit / (expense) - </w:t>
      </w:r>
      <w:r>
        <w:rPr>
          <w:rFonts w:ascii="Arial" w:cs="Arial" w:eastAsia="Arial" w:hAnsi="Arial"/>
          <w:sz w:val="18"/>
          <w:szCs w:val="18"/>
          <w:color w:val="auto"/>
        </w:rPr>
        <w:t>for the three months ended September 30, 2021, current tax expense was $0.4 million as compared to current tax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For the nine months ended September 30, 2021, current tax expense increased as compared to the same period in 2020, primarily due to improved financial performance of the Company and its consolidated VIEs and a change in the quarterly tax allocation process. Refer to Note 12, "Income Taxes," in our accompanying Consolidated Financial Statements for additional information.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Deferred tax benefit / (expense) - </w:t>
      </w:r>
      <w:r>
        <w:rPr>
          <w:rFonts w:ascii="Arial" w:cs="Arial" w:eastAsia="Arial" w:hAnsi="Arial"/>
          <w:sz w:val="18"/>
          <w:szCs w:val="18"/>
          <w:color w:val="auto"/>
        </w:rPr>
        <w:t>for the three and nine months ended September 30, 2021, deferred tax expense was $1.2 million and $1.1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deferred tax benefit of $0.6 million and $0.8 million in the same periods in 2020, respectively, primarily due to improved financial performance of the Company and its consolidated VIEs and change in the quarterly tax allocation process. Refer to Note 12, "Income Taxes," in our accompanying Consolidated Financial Statements for additional information.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Preferred return to preferred OP units / equity interests </w:t>
      </w:r>
      <w:r>
        <w:rPr>
          <w:rFonts w:ascii="Arial" w:cs="Arial" w:eastAsia="Arial" w:hAnsi="Arial"/>
          <w:sz w:val="17"/>
          <w:szCs w:val="17"/>
          <w:color w:val="auto"/>
        </w:rPr>
        <w:t>- for the three and nine months ended September 30, 2021, increased primarily as a result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volume of preferred OP units issued in conjunction with various acquisitions since 2020. Refer to Note 3, "Real Estate Acquisitions and Dispositions," and Note 9, "Equity and Temporary Equity," of our accompanying Consolidated Financial Statements for additional information.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attributable to noncontrolling interests - </w:t>
      </w:r>
      <w:r>
        <w:rPr>
          <w:rFonts w:ascii="Arial" w:cs="Arial" w:eastAsia="Arial" w:hAnsi="Arial"/>
          <w:sz w:val="18"/>
          <w:szCs w:val="18"/>
          <w:color w:val="auto"/>
        </w:rPr>
        <w:t>for the three and nine months ended September 30, 2021, increased as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due to improved financial performance of the Company and its consolidated VIEs. Refer to Note 7, "Consolidated Variable Interest Entities," in our accompanying Consolidated Financial Statements for additional information.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Attributable to Sun Communities, Inc. Common Stockholders to FFO</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income attributable to Sun Communities, Inc. common stockholders to FFO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(in thousands,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5"/>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2500" w:type="dxa"/>
            <w:vAlign w:val="bottom"/>
            <w:gridSpan w:val="4"/>
          </w:tcPr>
          <w:p>
            <w:pPr>
              <w:jc w:val="right"/>
              <w:ind w:right="584"/>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46"/>
        </w:trPr>
        <w:tc>
          <w:tcPr>
            <w:tcW w:w="5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40"/>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84"/>
              <w:spacing w:after="0" w:line="146" w:lineRule="exact"/>
              <w:rPr>
                <w:sz w:val="20"/>
                <w:szCs w:val="20"/>
                <w:color w:val="auto"/>
              </w:rPr>
            </w:pPr>
            <w:r>
              <w:rPr>
                <w:rFonts w:ascii="Arial" w:cs="Arial" w:eastAsia="Arial" w:hAnsi="Arial"/>
                <w:sz w:val="15"/>
                <w:szCs w:val="15"/>
                <w:b w:val="1"/>
                <w:bCs w:val="1"/>
                <w:color w:val="auto"/>
                <w:w w:val="93"/>
              </w:rPr>
              <w:t>September 30,</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40"/>
              <w:spacing w:after="0" w:line="146"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84"/>
              <w:spacing w:after="0" w:line="146" w:lineRule="exact"/>
              <w:rPr>
                <w:sz w:val="20"/>
                <w:szCs w:val="20"/>
                <w:color w:val="auto"/>
              </w:rPr>
            </w:pPr>
            <w:r>
              <w:rPr>
                <w:rFonts w:ascii="Arial" w:cs="Arial" w:eastAsia="Arial" w:hAnsi="Arial"/>
                <w:sz w:val="15"/>
                <w:szCs w:val="15"/>
                <w:b w:val="1"/>
                <w:bCs w:val="1"/>
                <w:color w:val="auto"/>
                <w:w w:val="91"/>
              </w:rPr>
              <w:t>September 30,</w:t>
            </w:r>
          </w:p>
        </w:tc>
        <w:tc>
          <w:tcPr>
            <w:tcW w:w="0" w:type="dxa"/>
            <w:vAlign w:val="bottom"/>
          </w:tcPr>
          <w:p>
            <w:pPr>
              <w:spacing w:after="0"/>
              <w:rPr>
                <w:sz w:val="1"/>
                <w:szCs w:val="1"/>
                <w:color w:val="auto"/>
              </w:rPr>
            </w:pPr>
          </w:p>
        </w:tc>
      </w:tr>
      <w:tr>
        <w:trPr>
          <w:trHeight w:val="200"/>
        </w:trPr>
        <w:tc>
          <w:tcPr>
            <w:tcW w:w="57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98"/>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231,770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81,204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367,322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124,028</w:t>
            </w:r>
          </w:p>
        </w:tc>
        <w:tc>
          <w:tcPr>
            <w:tcW w:w="0" w:type="dxa"/>
            <w:vAlign w:val="bottom"/>
          </w:tcPr>
          <w:p>
            <w:pPr>
              <w:spacing w:after="0"/>
              <w:rPr>
                <w:sz w:val="1"/>
                <w:szCs w:val="1"/>
                <w:color w:val="auto"/>
              </w:rPr>
            </w:pPr>
          </w:p>
        </w:tc>
      </w:tr>
      <w:tr>
        <w:trPr>
          <w:trHeight w:val="199"/>
        </w:trPr>
        <w:tc>
          <w:tcPr>
            <w:tcW w:w="578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126,814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88,495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377,367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259,543</w:t>
            </w:r>
          </w:p>
        </w:tc>
        <w:tc>
          <w:tcPr>
            <w:tcW w:w="0" w:type="dxa"/>
            <w:vAlign w:val="bottom"/>
          </w:tcPr>
          <w:p>
            <w:pPr>
              <w:spacing w:after="0"/>
              <w:rPr>
                <w:sz w:val="1"/>
                <w:szCs w:val="1"/>
                <w:color w:val="auto"/>
              </w:rPr>
            </w:pPr>
          </w:p>
        </w:tc>
      </w:tr>
      <w:tr>
        <w:trPr>
          <w:trHeight w:val="199"/>
        </w:trPr>
        <w:tc>
          <w:tcPr>
            <w:tcW w:w="5780" w:type="dxa"/>
            <w:vAlign w:val="bottom"/>
          </w:tcPr>
          <w:p>
            <w:pPr>
              <w:ind w:left="220"/>
              <w:spacing w:after="0"/>
              <w:rPr>
                <w:sz w:val="20"/>
                <w:szCs w:val="20"/>
                <w:color w:val="auto"/>
              </w:rPr>
            </w:pPr>
            <w:r>
              <w:rPr>
                <w:rFonts w:ascii="Arial" w:cs="Arial" w:eastAsia="Arial" w:hAnsi="Arial"/>
                <w:sz w:val="15"/>
                <w:szCs w:val="15"/>
                <w:color w:val="auto"/>
              </w:rPr>
              <w:t>Depreciation on nonconsolidated affiliates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6"/>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2,636</w:t>
            </w:r>
          </w:p>
        </w:tc>
        <w:tc>
          <w:tcPr>
            <w:tcW w:w="0" w:type="dxa"/>
            <w:vAlign w:val="bottom"/>
          </w:tcPr>
          <w:p>
            <w:pPr>
              <w:spacing w:after="0"/>
              <w:rPr>
                <w:sz w:val="1"/>
                <w:szCs w:val="1"/>
                <w:color w:val="auto"/>
              </w:rPr>
            </w:pPr>
          </w:p>
        </w:tc>
      </w:tr>
      <w:tr>
        <w:trPr>
          <w:trHeight w:val="199"/>
        </w:trPr>
        <w:tc>
          <w:tcPr>
            <w:tcW w:w="5780" w:type="dxa"/>
            <w:vAlign w:val="bottom"/>
          </w:tcPr>
          <w:p>
            <w:pPr>
              <w:ind w:left="220"/>
              <w:spacing w:after="0"/>
              <w:rPr>
                <w:sz w:val="20"/>
                <w:szCs w:val="20"/>
                <w:color w:val="auto"/>
              </w:rPr>
            </w:pPr>
            <w:r>
              <w:rPr>
                <w:rFonts w:ascii="Arial" w:cs="Arial" w:eastAsia="Arial" w:hAnsi="Arial"/>
                <w:sz w:val="15"/>
                <w:szCs w:val="15"/>
                <w:color w:val="auto"/>
              </w:rPr>
              <w:t>Loss on remeasurement of investment in nonconsolidated affiliates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446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1,505</w:t>
            </w:r>
          </w:p>
        </w:tc>
        <w:tc>
          <w:tcPr>
            <w:tcW w:w="0" w:type="dxa"/>
            <w:vAlign w:val="bottom"/>
          </w:tcPr>
          <w:p>
            <w:pPr>
              <w:spacing w:after="0"/>
              <w:rPr>
                <w:sz w:val="1"/>
                <w:szCs w:val="1"/>
                <w:color w:val="auto"/>
              </w:rPr>
            </w:pPr>
          </w:p>
        </w:tc>
      </w:tr>
      <w:tr>
        <w:trPr>
          <w:trHeight w:val="206"/>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notes receivable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2,311</w:t>
            </w:r>
          </w:p>
        </w:tc>
        <w:tc>
          <w:tcPr>
            <w:tcW w:w="0" w:type="dxa"/>
            <w:vAlign w:val="bottom"/>
          </w:tcPr>
          <w:p>
            <w:pPr>
              <w:spacing w:after="0"/>
              <w:rPr>
                <w:sz w:val="1"/>
                <w:szCs w:val="1"/>
                <w:color w:val="auto"/>
              </w:rPr>
            </w:pPr>
          </w:p>
        </w:tc>
      </w:tr>
      <w:tr>
        <w:trPr>
          <w:trHeight w:val="199"/>
        </w:trPr>
        <w:tc>
          <w:tcPr>
            <w:tcW w:w="5780" w:type="dxa"/>
            <w:vAlign w:val="bottom"/>
          </w:tcPr>
          <w:p>
            <w:pPr>
              <w:ind w:left="220"/>
              <w:spacing w:after="0"/>
              <w:rPr>
                <w:sz w:val="20"/>
                <w:szCs w:val="20"/>
                <w:color w:val="auto"/>
              </w:rPr>
            </w:pPr>
            <w:r>
              <w:rPr>
                <w:rFonts w:ascii="Arial" w:cs="Arial" w:eastAsia="Arial" w:hAnsi="Arial"/>
                <w:sz w:val="15"/>
                <w:szCs w:val="15"/>
                <w:color w:val="auto"/>
              </w:rPr>
              <w:t>Income attributable to noncontrolling interests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6,196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13,678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7,725</w:t>
            </w:r>
          </w:p>
        </w:tc>
        <w:tc>
          <w:tcPr>
            <w:tcW w:w="0" w:type="dxa"/>
            <w:vAlign w:val="bottom"/>
          </w:tcPr>
          <w:p>
            <w:pPr>
              <w:spacing w:after="0"/>
              <w:rPr>
                <w:sz w:val="1"/>
                <w:szCs w:val="1"/>
                <w:color w:val="auto"/>
              </w:rPr>
            </w:pPr>
          </w:p>
        </w:tc>
      </w:tr>
      <w:tr>
        <w:trPr>
          <w:trHeight w:val="206"/>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Preferred return to preferred OP units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w:t>
            </w:r>
          </w:p>
        </w:tc>
        <w:tc>
          <w:tcPr>
            <w:tcW w:w="0" w:type="dxa"/>
            <w:vAlign w:val="bottom"/>
          </w:tcPr>
          <w:p>
            <w:pPr>
              <w:spacing w:after="0"/>
              <w:rPr>
                <w:sz w:val="1"/>
                <w:szCs w:val="1"/>
                <w:color w:val="auto"/>
              </w:rPr>
            </w:pPr>
          </w:p>
        </w:tc>
      </w:tr>
      <w:tr>
        <w:trPr>
          <w:trHeight w:val="198"/>
        </w:trPr>
        <w:tc>
          <w:tcPr>
            <w:tcW w:w="5780" w:type="dxa"/>
            <w:vAlign w:val="bottom"/>
          </w:tcPr>
          <w:p>
            <w:pPr>
              <w:ind w:left="240"/>
              <w:spacing w:after="0"/>
              <w:rPr>
                <w:sz w:val="20"/>
                <w:szCs w:val="20"/>
                <w:color w:val="auto"/>
              </w:rPr>
            </w:pPr>
            <w:r>
              <w:rPr>
                <w:rFonts w:ascii="Arial" w:cs="Arial" w:eastAsia="Arial" w:hAnsi="Arial"/>
                <w:sz w:val="15"/>
                <w:szCs w:val="15"/>
                <w:color w:val="auto"/>
              </w:rPr>
              <w:t>Interest expense on Aspen preferred OP units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514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1,542</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dispositions of properties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(5,595)</w:t>
            </w:r>
          </w:p>
        </w:tc>
        <w:tc>
          <w:tcPr>
            <w:tcW w:w="0" w:type="dxa"/>
            <w:vAlign w:val="bottom"/>
          </w:tcPr>
          <w:p>
            <w:pPr>
              <w:spacing w:after="0"/>
              <w:rPr>
                <w:sz w:val="1"/>
                <w:szCs w:val="1"/>
                <w:color w:val="auto"/>
              </w:rPr>
            </w:pPr>
          </w:p>
        </w:tc>
      </w:tr>
      <w:tr>
        <w:trPr>
          <w:trHeight w:val="198"/>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Gain on dispositions of assets, net</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(20,526)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(46,245)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(15,251)</w:t>
            </w:r>
          </w:p>
        </w:tc>
        <w:tc>
          <w:tcPr>
            <w:tcW w:w="0" w:type="dxa"/>
            <w:vAlign w:val="bottom"/>
          </w:tcPr>
          <w:p>
            <w:pPr>
              <w:spacing w:after="0"/>
              <w:rPr>
                <w:sz w:val="1"/>
                <w:szCs w:val="1"/>
                <w:color w:val="auto"/>
              </w:rPr>
            </w:pPr>
          </w:p>
        </w:tc>
      </w:tr>
      <w:tr>
        <w:trPr>
          <w:trHeight w:val="133"/>
        </w:trPr>
        <w:tc>
          <w:tcPr>
            <w:tcW w:w="578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b w:val="1"/>
                <w:bCs w:val="1"/>
                <w:color w:val="auto"/>
              </w:rPr>
              <w:t>FFO Attributable to Sun Communities, Inc. Common Stockholders and Dilutive</w:t>
            </w: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223,069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165,209</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561,993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379,970</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b w:val="1"/>
                <w:bCs w:val="1"/>
                <w:color w:val="auto"/>
              </w:rPr>
              <w:t>Convertible Securities</w:t>
            </w:r>
            <w:r>
              <w:rPr>
                <w:rFonts w:ascii="Arial" w:cs="Arial" w:eastAsia="Arial" w:hAnsi="Arial"/>
                <w:sz w:val="19"/>
                <w:szCs w:val="19"/>
                <w:b w:val="1"/>
                <w:bCs w:val="1"/>
                <w:color w:val="auto"/>
                <w:vertAlign w:val="superscript"/>
              </w:rPr>
              <w:t>(1)</w:t>
            </w: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20"/>
              <w:spacing w:after="0" w:line="203" w:lineRule="exact"/>
              <w:rPr>
                <w:sz w:val="20"/>
                <w:szCs w:val="20"/>
                <w:color w:val="auto"/>
              </w:rPr>
            </w:pPr>
            <w:r>
              <w:rPr>
                <w:rFonts w:ascii="Arial" w:cs="Arial" w:eastAsia="Arial" w:hAnsi="Arial"/>
                <w:sz w:val="15"/>
                <w:szCs w:val="15"/>
                <w:color w:val="auto"/>
              </w:rPr>
              <w:t>Business combination expense and other acquisition related costs</w:t>
            </w:r>
            <w:r>
              <w:rPr>
                <w:rFonts w:ascii="Arial" w:cs="Arial" w:eastAsia="Arial" w:hAnsi="Arial"/>
                <w:sz w:val="19"/>
                <w:szCs w:val="19"/>
                <w:color w:val="auto"/>
                <w:vertAlign w:val="superscript"/>
              </w:rPr>
              <w:t>(2)</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2,477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402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6,714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1,291</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extinguishment of debt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5,209</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5"/>
                <w:szCs w:val="15"/>
                <w:color w:val="auto"/>
              </w:rPr>
              <w:t>Catastrophic event-related charges, net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line="206" w:lineRule="exact"/>
              <w:rPr>
                <w:sz w:val="20"/>
                <w:szCs w:val="20"/>
                <w:color w:val="auto"/>
              </w:rPr>
            </w:pPr>
            <w:r>
              <w:rPr>
                <w:rFonts w:ascii="Arial" w:cs="Arial" w:eastAsia="Arial" w:hAnsi="Arial"/>
                <w:sz w:val="15"/>
                <w:szCs w:val="15"/>
                <w:color w:val="auto"/>
              </w:rPr>
              <w:t>(Gain) / loss on earnings - catastrophic event-related</w:t>
            </w:r>
            <w:r>
              <w:rPr>
                <w:rFonts w:ascii="Arial" w:cs="Arial" w:eastAsia="Arial" w:hAnsi="Arial"/>
                <w:sz w:val="19"/>
                <w:szCs w:val="19"/>
                <w:color w:val="auto"/>
                <w:vertAlign w:val="superscript"/>
              </w:rPr>
              <w:t>(3)</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5"/>
                <w:szCs w:val="15"/>
                <w:color w:val="auto"/>
              </w:rPr>
              <w:t>(Gain) / loss on foreign currency translation</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7,028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7,107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2,496</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line="206" w:lineRule="exact"/>
              <w:rPr>
                <w:sz w:val="20"/>
                <w:szCs w:val="20"/>
                <w:color w:val="auto"/>
              </w:rPr>
            </w:pPr>
            <w:r>
              <w:rPr>
                <w:rFonts w:ascii="Arial" w:cs="Arial" w:eastAsia="Arial" w:hAnsi="Arial"/>
                <w:sz w:val="15"/>
                <w:szCs w:val="15"/>
                <w:color w:val="auto"/>
              </w:rPr>
              <w:t>Other adjustments, net</w:t>
            </w:r>
            <w:r>
              <w:rPr>
                <w:rFonts w:ascii="Arial" w:cs="Arial" w:eastAsia="Arial" w:hAnsi="Arial"/>
                <w:sz w:val="19"/>
                <w:szCs w:val="19"/>
                <w:color w:val="auto"/>
                <w:vertAlign w:val="superscript"/>
              </w:rPr>
              <w:t>(4)</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11,443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2,322</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11,505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2,819</w:t>
            </w:r>
          </w:p>
        </w:tc>
        <w:tc>
          <w:tcPr>
            <w:tcW w:w="0" w:type="dxa"/>
            <w:vAlign w:val="bottom"/>
          </w:tcPr>
          <w:p>
            <w:pPr>
              <w:spacing w:after="0"/>
              <w:rPr>
                <w:sz w:val="1"/>
                <w:szCs w:val="1"/>
                <w:color w:val="auto"/>
              </w:rPr>
            </w:pPr>
          </w:p>
        </w:tc>
      </w:tr>
      <w:tr>
        <w:trPr>
          <w:trHeight w:val="128"/>
        </w:trPr>
        <w:tc>
          <w:tcPr>
            <w:tcW w:w="578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Core FFO Attributable to Sun Communities, Inc. Common Stockholders and Dilutive</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244,535</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ind w:right="4"/>
              <w:spacing w:after="0"/>
              <w:rPr>
                <w:sz w:val="20"/>
                <w:szCs w:val="20"/>
                <w:color w:val="auto"/>
              </w:rPr>
            </w:pPr>
            <w:r>
              <w:rPr>
                <w:rFonts w:ascii="Arial" w:cs="Arial" w:eastAsia="Arial" w:hAnsi="Arial"/>
                <w:sz w:val="15"/>
                <w:szCs w:val="15"/>
                <w:color w:val="auto"/>
              </w:rPr>
              <w:t>162,624</w:t>
            </w:r>
          </w:p>
        </w:tc>
        <w:tc>
          <w:tcPr>
            <w:tcW w:w="2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598,923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391,839</w:t>
            </w:r>
          </w:p>
        </w:tc>
        <w:tc>
          <w:tcPr>
            <w:tcW w:w="0" w:type="dxa"/>
            <w:vAlign w:val="bottom"/>
          </w:tcPr>
          <w:p>
            <w:pPr>
              <w:spacing w:after="0"/>
              <w:rPr>
                <w:sz w:val="1"/>
                <w:szCs w:val="1"/>
                <w:color w:val="auto"/>
              </w:rPr>
            </w:pPr>
          </w:p>
        </w:tc>
      </w:tr>
      <w:tr>
        <w:trPr>
          <w:trHeight w:val="180"/>
        </w:trPr>
        <w:tc>
          <w:tcPr>
            <w:tcW w:w="5780" w:type="dxa"/>
            <w:vAlign w:val="bottom"/>
          </w:tcPr>
          <w:p>
            <w:pPr>
              <w:ind w:left="20"/>
              <w:spacing w:after="0" w:line="175" w:lineRule="exact"/>
              <w:rPr>
                <w:sz w:val="20"/>
                <w:szCs w:val="20"/>
                <w:color w:val="auto"/>
              </w:rPr>
            </w:pPr>
            <w:r>
              <w:rPr>
                <w:rFonts w:ascii="Arial" w:cs="Arial" w:eastAsia="Arial" w:hAnsi="Arial"/>
                <w:sz w:val="15"/>
                <w:szCs w:val="15"/>
                <w:b w:val="1"/>
                <w:bCs w:val="1"/>
                <w:color w:val="auto"/>
              </w:rPr>
              <w:t>Convertible Securities</w:t>
            </w:r>
            <w:r>
              <w:rPr>
                <w:rFonts w:ascii="Arial" w:cs="Arial" w:eastAsia="Arial" w:hAnsi="Arial"/>
                <w:sz w:val="19"/>
                <w:szCs w:val="19"/>
                <w:b w:val="1"/>
                <w:bCs w:val="1"/>
                <w:color w:val="auto"/>
                <w:vertAlign w:val="superscript"/>
              </w:rPr>
              <w:t>(1)</w:t>
            </w:r>
          </w:p>
        </w:tc>
        <w:tc>
          <w:tcPr>
            <w:tcW w:w="12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115,136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97,542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111,717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95,270</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5"/>
                <w:szCs w:val="15"/>
                <w:color w:val="auto"/>
              </w:rPr>
              <w:t>Common shares dilutive effect from forward equity sale</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6"/>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Common stock issuable upon conversion of stock options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9"/>
        </w:trPr>
        <w:tc>
          <w:tcPr>
            <w:tcW w:w="5780" w:type="dxa"/>
            <w:vAlign w:val="bottom"/>
          </w:tcPr>
          <w:p>
            <w:pPr>
              <w:ind w:left="220"/>
              <w:spacing w:after="0"/>
              <w:rPr>
                <w:sz w:val="20"/>
                <w:szCs w:val="20"/>
                <w:color w:val="auto"/>
              </w:rPr>
            </w:pPr>
            <w:r>
              <w:rPr>
                <w:rFonts w:ascii="Arial" w:cs="Arial" w:eastAsia="Arial" w:hAnsi="Arial"/>
                <w:sz w:val="15"/>
                <w:szCs w:val="15"/>
                <w:color w:val="auto"/>
              </w:rPr>
              <w:t>Restricted stock</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390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395</w:t>
            </w:r>
          </w:p>
        </w:tc>
        <w:tc>
          <w:tcPr>
            <w:tcW w:w="0" w:type="dxa"/>
            <w:vAlign w:val="bottom"/>
          </w:tcPr>
          <w:p>
            <w:pPr>
              <w:spacing w:after="0"/>
              <w:rPr>
                <w:sz w:val="1"/>
                <w:szCs w:val="1"/>
                <w:color w:val="auto"/>
              </w:rPr>
            </w:pPr>
          </w:p>
        </w:tc>
      </w:tr>
      <w:tr>
        <w:trPr>
          <w:trHeight w:val="206"/>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Common OP units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2,476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2,445</w:t>
            </w:r>
          </w:p>
        </w:tc>
        <w:tc>
          <w:tcPr>
            <w:tcW w:w="0" w:type="dxa"/>
            <w:vAlign w:val="bottom"/>
          </w:tcPr>
          <w:p>
            <w:pPr>
              <w:spacing w:after="0"/>
              <w:rPr>
                <w:sz w:val="1"/>
                <w:szCs w:val="1"/>
                <w:color w:val="auto"/>
              </w:rPr>
            </w:pPr>
          </w:p>
        </w:tc>
      </w:tr>
      <w:tr>
        <w:trPr>
          <w:trHeight w:val="199"/>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Common stock issuable upon conversion of certain preferred OP units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1,213</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1,220</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Weighted Average Common Shares Outstanding - Fully Diluted</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115,962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101,628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115,101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99,333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rPr>
              <w:t>FFO Attributable to Sun Communities, Inc. Common Stockholders and Dilutive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1.63</w:t>
            </w:r>
          </w:p>
        </w:tc>
        <w:tc>
          <w:tcPr>
            <w:tcW w:w="2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Convertible Securities Per Share - Fully Diluted</w:t>
            </w:r>
          </w:p>
        </w:tc>
        <w:tc>
          <w:tcPr>
            <w:tcW w:w="1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w w:val="95"/>
              </w:rPr>
              <w:t>Core FFO Attributable to Sun Communities, Inc. Common Stockholders and Dilutive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1.60</w:t>
            </w:r>
          </w:p>
        </w:tc>
        <w:tc>
          <w:tcPr>
            <w:tcW w:w="2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Convertible Securities Per Share - Fully Diluted</w:t>
            </w:r>
          </w:p>
        </w:tc>
        <w:tc>
          <w:tcPr>
            <w:tcW w:w="1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The effect of certain anti-dilutive convertible securities is excluded from these items.</w:t>
      </w:r>
    </w:p>
    <w:p>
      <w:pPr>
        <w:spacing w:after="0" w:line="45" w:lineRule="exact"/>
        <w:rPr>
          <w:rFonts w:ascii="Arial" w:cs="Arial" w:eastAsia="Arial" w:hAnsi="Arial"/>
          <w:sz w:val="18"/>
          <w:szCs w:val="18"/>
          <w:color w:val="auto"/>
          <w:vertAlign w:val="superscript"/>
        </w:rPr>
      </w:pPr>
    </w:p>
    <w:p>
      <w:pPr>
        <w:ind w:left="180" w:right="20" w:hanging="172"/>
        <w:spacing w:after="0" w:line="210" w:lineRule="auto"/>
        <w:tabs>
          <w:tab w:leader="none" w:pos="167"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These costs represent business combination expenses and expenses incurred to bring recently acquired properties up to our operating standards, including items such as tree trimming and painting costs that do not meet our capitalization policy.</w:t>
      </w:r>
    </w:p>
    <w:p>
      <w:pPr>
        <w:spacing w:after="0" w:line="33" w:lineRule="exact"/>
        <w:rPr>
          <w:rFonts w:ascii="Arial" w:cs="Arial" w:eastAsia="Arial" w:hAnsi="Arial"/>
          <w:sz w:val="19"/>
          <w:szCs w:val="19"/>
          <w:color w:val="auto"/>
          <w:vertAlign w:val="superscript"/>
        </w:rPr>
      </w:pPr>
    </w:p>
    <w:p>
      <w:pPr>
        <w:ind w:left="180" w:right="20" w:hanging="172"/>
        <w:spacing w:after="0" w:line="217" w:lineRule="auto"/>
        <w:tabs>
          <w:tab w:leader="none" w:pos="167"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Adjustment related to estimated loss of earnings in excess of the applicable business interruption deductible in relation to our three Florida Keys communities that were impaired by Hurricane Irma which had not yet been received from our insurer.</w:t>
      </w:r>
    </w:p>
    <w:p>
      <w:pPr>
        <w:spacing w:after="0" w:line="34" w:lineRule="exact"/>
        <w:rPr>
          <w:rFonts w:ascii="Arial" w:cs="Arial" w:eastAsia="Arial" w:hAnsi="Arial"/>
          <w:sz w:val="19"/>
          <w:szCs w:val="19"/>
          <w:color w:val="auto"/>
          <w:vertAlign w:val="superscript"/>
        </w:rPr>
      </w:pPr>
    </w:p>
    <w:p>
      <w:pPr>
        <w:jc w:val="both"/>
        <w:ind w:left="180" w:hanging="172"/>
        <w:spacing w:after="0" w:line="224" w:lineRule="auto"/>
        <w:tabs>
          <w:tab w:leader="none" w:pos="167"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Other adjustments, net include the change in estimated contingent consideration payments, long term lease termination expense and deferred tax (benefit) / expense for the three and nine months ended September 30, 2021 and 2020, RV rebranding non-recurring cost for the three and nine months ended September 30, 2021, and deferred compensation amortization upon retirement for the nine months ended September 30, 2020.</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liquidity demands have historically been, and are expected to continue to be, distributions to our stockholders and the unit holders of the Operating Partnership, capital improvement of properties, the purchase of new and pre-owned homes, property acquisitions, development and expansion of properties, and debt repayment.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market conditions, we intend to continue to identify opportunities to expand our development pipeline and acquire existing properties. We finance acquisitions through available cash, secured financing, draws on our line of credit, the assumption of existing debt on properties and the issuance of debt and equity securities. We will continue to evaluate acquisition opportunities that meet our criteria. Refer to Note 3, "Real Estate Acquisitions and Dispositions," in the accompanying Consolidated Financial Statements for information regarding recent property acquisitions.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intend to meet our liquidity requirements through available cash balances, cash flows generated from operations, draws on our line of credit, and the use of debt and equity offerings under our shelf registration statement. Refer to Note 8, "Debt and Line of Credit," and Note 9, "Equity and Temporary Equity," in the accompanying Consolidated Financial Statements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 MH, RV and Marinas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include expansion sites and development construction costs, lot modifications, recurring capital expenditures and rental home purchases.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Expansion and development activities costs of $145.6 million and $197.7 million, were incurred for the nine months ended September 30, 2021 and 2020, respectively. Expansion and development expenditures consist primarily of construction costs such as roads, activities, and amenities, and costs necessary to complete home and RV site improvements, such as driveways, sidewalks and landscaping at our MH communities and RV resorts. Expenditures also include costs to rebuild after damage has been incurred at MH, RV or marina properties.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Lot modification capital expenditures were $20.3 million and $21.8 million, for the nine months ended September 30, 2021 and 2020, respectively, at our MH and RV properties. Lot modification capital expenditures are incurred to modify the foundational structures required to set a new home after a previous home has been removed. These expenditures are necessary to create a revenue stream from a new site renter and often improve the quality of the community. Other lot modification expenditures include land improvements added to annual RV sites to aid in the conversion of transient RV guests to annual contracts.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Recurring capital expenditures at our MH and RV properties were $31.5 million and $17.4 million, for the nine months ended September 30, 2021 and 2020, respectively. These expenditures relate to our continued commitment to the upkeep of our MH and RV properties. Recurring capital expenditures at our marinas were $10.3 million for the nine months ended September 30, 2021, and include items such as dredging, dock repairs and improvements, and equipment maintenance and upgrades.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Growth project expenditures were $57.7 million and $15.2 million, for the nine months ended September 30, 2021 and 2020, respectively. Growth projects consist of revenue generating or expense reducing activities at MH communities, RV resorts and marinas. This includes, but is not limited to, utility efficiency and renewable energy projects, site, slip or amenity upgrades such as the addition of a garage, shed or boat lift, and other special capital projects that substantiate an incremental rental increase.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invest in the acquisition of homes intended for the Rental Program and the purchase of vacation rental homes for rental at our RV resorts. Expenditures for these investments depend upon the condition of the markets for repossessions and new home sales, rental homes and vacation rental homes. We finance certain of our new home and vacation rental home purchases with a $12.0 million manufactured home floor plan facility. Our ability to purchase homes for sale or rent may be limited by cash received from third-party financing of our home sales, available manufactured home floor plan financing and working capital available on our line of credit.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activities are summarized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984"/>
              <w:spacing w:after="0"/>
              <w:rPr>
                <w:sz w:val="20"/>
                <w:szCs w:val="20"/>
                <w:color w:val="auto"/>
              </w:rPr>
            </w:pPr>
            <w:r>
              <w:rPr>
                <w:rFonts w:ascii="Arial" w:cs="Arial" w:eastAsia="Arial" w:hAnsi="Arial"/>
                <w:sz w:val="15"/>
                <w:szCs w:val="15"/>
                <w:b w:val="1"/>
                <w:bCs w:val="1"/>
                <w:color w:val="auto"/>
              </w:rPr>
              <w:t>Nine Months Ended</w:t>
            </w:r>
          </w:p>
        </w:tc>
      </w:tr>
      <w:tr>
        <w:trPr>
          <w:trHeight w:val="198"/>
        </w:trPr>
        <w:tc>
          <w:tcPr>
            <w:tcW w:w="7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Pr>
          <w:p>
            <w:pPr>
              <w:spacing w:after="0"/>
              <w:rPr>
                <w:sz w:val="17"/>
                <w:szCs w:val="17"/>
                <w:color w:val="auto"/>
              </w:rPr>
            </w:pPr>
          </w:p>
        </w:tc>
        <w:tc>
          <w:tcPr>
            <w:tcW w:w="1480" w:type="dxa"/>
            <w:vAlign w:val="bottom"/>
          </w:tcPr>
          <w:p>
            <w:pPr>
              <w:jc w:val="right"/>
              <w:ind w:right="84"/>
              <w:spacing w:after="0"/>
              <w:rPr>
                <w:sz w:val="20"/>
                <w:szCs w:val="20"/>
                <w:color w:val="auto"/>
              </w:rPr>
            </w:pPr>
            <w:r>
              <w:rPr>
                <w:rFonts w:ascii="Arial" w:cs="Arial" w:eastAsia="Arial" w:hAnsi="Arial"/>
                <w:sz w:val="15"/>
                <w:szCs w:val="15"/>
                <w:b w:val="1"/>
                <w:bCs w:val="1"/>
                <w:color w:val="auto"/>
                <w:w w:val="92"/>
              </w:rPr>
              <w:t>September 30, 2020</w:t>
            </w:r>
          </w:p>
        </w:tc>
      </w:tr>
      <w:tr>
        <w:trPr>
          <w:trHeight w:val="198"/>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656,010</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464,458</w:t>
            </w: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Net Cash Used for Investing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(1,363,152)</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(665,708)</w:t>
            </w: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700,389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281,997</w:t>
            </w:r>
          </w:p>
        </w:tc>
      </w:tr>
      <w:tr>
        <w:trPr>
          <w:trHeight w:val="194"/>
        </w:trPr>
        <w:tc>
          <w:tcPr>
            <w:tcW w:w="780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(269)</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(48)</w:t>
            </w:r>
          </w:p>
        </w:tc>
      </w:tr>
    </w:tbl>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cash equivalents, and restricted cash decreased by approximately $7.0 million from $92.6 million as of December 31, 2020, to $85.6 million as of September 30,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provided by operating activities increased by $191.5 million from $464.5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to $656.0 million for the nine months ended September 30, 2021.</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net cash flows provided by operating activities from continuing operations may be adversely impacted by, among other things: (a) the market and economic conditions in our current markets generally, and specifically in metropolitan areas of our current markets; (b) lower occupancy and rental rates of our properties; (c) increased operating costs, such as wage and benefit costs, insurance premiums, real estate taxes and utilities, that cannot be passed on to our tenants; (d) decreased sales of manufactured homes; (e) current volatility in economic conditions and the financial markets; and (f) the effects of the COVID-19 pandemic. See "Risk Factors" in Part I, Item 1A of our 2020 Annual Report.</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used for investing activities was $1.4 billion for the nine months ended September 30, 2021, compared to $665.7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2020. Refer to Note 3, "Real Estate Acquisitions and Dispositions,"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provided by financing activities increased by $418.4 million from $282.0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to $700.4 million for the nine months ended September 30, 2021. Refer to Note 8, "Debt and Line of Credit," and Note 9, "Equity and Temporary Equity," in our accompanying Consolidated Financial Statements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Flexibility</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March 2020, the SEC adopted amendments to Rule 3-10 of Regulation S-X and created Rule 13-01 to simplify disclosure requirements related to certain registered securities. The rule became effective January 4, 2021. In April 2021, we filed a new universal shelf registration statement on Form S-3 with the SEC registering, among other securities, debt securities of the Operating Partnership, which are fully and unconditionally guaranteed by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2, 2021, we priced a $1.1 billion underwritten public offering of an aggregate of 8,050,000 shares at a public offering price of $140.00 per share, before underwriting discounts and commissions. The offering consisted of 4,000,000 shares offered directly by us and 4,050,000 shares offered under a forward equity sales agreement. We sold the 4,000,000 shares on March 9, 2021 and received net proceeds of $537.6 million after deducting expenses related to the offering. In May and June 2021, we completed the physical settlement of the remaining 4,050,000 shares and received net proceeds of $539.7 million after deducting expenses related to the offering. Proceeds from the offering were used to acquire assets and pay down the Safe Harbor Facility.</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30, 2020 and October 1, 2020, we entered into two forward sale agreements (the "September 2020 Forward Equity Offerings") relating to an underwritten registered public offering of 9,200,000 shares of our common stock at a public offering price of $139.50 per share. The offering closed on October 5, 2020. On October 26, 2020, we physically settled the September 2020 Forward Equity Offerings (by the delivery of shares of our common stock). Proceeds from the offering were approximately $1.23 billion after deducting expenses related to the offering. We used the net proceeds of this offering to fund the cash portion of the acquisition of Safe Harbor purchase price, and for working capital and general corporate purposes.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we closed an underwritten registered public offering of 4,968,000 shares of common stock. Proceeds from the offering were $633.1 million after deducting expenses related to the offering. We used the net proceeds of this offering to repay borrowings outstanding under the revolving loan under our senior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4, 2021, we entered into the Sales Agreement with certain sales agents, and forward sellers pursuant to which we may sell, from time to time, up to an aggregate gross sales price of $500.0 million of our common stock, through the sales agents, acting as our sales agents or, if applicable, as forward sellers, or directly to the sales agents as principals for their own accounts. The sales agents and forward sellers are entitled to compensation in an agreed amount not to exceed 2.0 percent of the gross price per share for any shares sold under the Sales Agreement. We forward sold 107,400 shares of common stock under the new Sales Agreement for $21.4 million during the three and nine months ended September 30, 2021. The forward shares are not physically settled as of September 30, 2021. The forward shares will expire if not settled by September 2022.</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entering into the Sales Agreement, we simultaneously terminated our previous At the Market Offering Sales Agreement entered into in July 2017. There were no issuances of common stock under the prior sales agreement during the six months ended June 30, 2021 or during the year ended December 31, 2020. Through June 4, 2021, we sold shares of our common stock for gross proceeds of $163.8 million under the prior sales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2021, we received investment grade ratings of BBB and Baa3 with a stable outlook from S&amp;P Global and Moody's, respectively. Our credit ratings are based on our operating performance, liquidity and leverage ratios, overall financial position and other factors employed by the credit rating agencies in their rating analysis of us, and, although it is our intent to maintain our investment grade credit ratings, there can be no assurance that we will be able to maintain our current credit ratings. In the event our current credit ratings are downgraded, it may become difficult or more expensive to obtain additional financing or refinance existing indebtedness as maturities become due.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In June 2021, we issued $600.0 million of senior unsecured notes with an interest rate of 2.7 percent and a ten-year term, due July 15, 2031 (the "2031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The net proceeds from the offering were approximately $592.4 million, after deducting underwriters' discounts and estimated offering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proceeds were used to pay down borrowings under our line of credit.</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obligations of the Operating Partnership to pay principal, premiums, if any, and interest on the 2031 Notes are guaranteed on a senior basis by Sun Communities, Inc. The guarantee is full and unconditional, and the Operating Partnership is a consolidated subsidiary of the Company. Under Rule 3-10 of Regulation S-X, as amended, subsidiary issuers of obligations guaranteed by the parent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Term Loan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2019, we assumed a term loan facility, in the amount of $58.0 million in relation to an acquisition. The term loan has a four-year term ending October 29, 2023, and bears interest at a floating rate based on the Eurodollar rate or Prime rate plus a margin ranging from 1.20 percent to 2.05 percent. Effective July 1, 2021, the agreement was amended to release the associated collateral. The amendment extended the term loan facility maturity date to October 29, 2025 and adjusted the interest rate margin to a range from 0.80 percent to 1.60 percent. As of September 30, 2021, the margin was 0.95 percent. The outstanding balance was $35.3 million at September 30, 2021 and $45.0 million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14, 2021, we entered into a new credit agreement with certain lenders. The New Credit Agreement combined and replaced our prior $750.0 million A&amp;R Facility and the $1.8 billion Safe Harbor Facility which were scheduled to mature on May 21, 2023 and October 11, 2024, respectively. The Safe Harbor Facility was terminated in connection with the execution of the New Credit Agreement. We repaid all amounts due and outstanding under the Safe Harbor Facility on or prior to such effective date. We recognized a Loss on extinguishment of debt in our Consolidated Statement of Operations related to the termination of the A&amp;R Facility and Safe Harbor Facility of $0.2 million and $7.9 million, respectively.</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New Credit Agreement, we may borrow up to $2.0 billion under the New Credit Facility. The New Credit Facility is available to fund all of the Company's business, including its marina business conducted by Safe Harbor. The New Credit Agreement also permits, subject to the satisfaction of certain conditions, additional borrowings (with the consent of the lenders) in an amount not to exceed $1.0 billion with the option to treat all, or a portion, of such additional funds as an incremental term loan.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New Credit Facility has a four-year term ending June 14, 2025, and, at our option, the maturity date may be extended for two additional six-month periods, subject to the satisfaction of certain conditions. However, the maturity date with respect to $500.0 million of available borrowing under the New Credit Facility is October 11, 2024, which, under the terms of the New Credit Agreement, may not be extended. The New Credit Facility bears interest at a floating rate based on the Adjusted Eurocurrency Rate or Australian Bank Bill Swap Bid Rate (BBSY), plus a margin that is determined based on the Company's credit ratings calculated in accordance with the New Credit Agreement, which can range from 0.725 percent to 1.400 percent. As of September 30, 2021, the margin based on our credit ratings was 0.850 percent on the New Credit Facility.</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the lenders' option, the New Credit Facility will become immediately due and payable upon an event of default under the New Credit Agreement. We had $589.5 million of borrowings on the New Credit Facility as of September 30, 2021, all scheduled to mature June 14, 2025. As of December 31, 2020, we had $40.4 million of borrowings on the revolving loan and no borrowings on the term loan under our A&amp;R Facility, respectively. As of December 31, 2020, we had $652.0 million and $500.0 million of borrowings under the revolving loan and term loan under the Safe Harbor Facility, respectively.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Credit Facility provides us with the ability to issue letters of credit. Our issuance of letters of credit does not increase our borrowings outstanding under the New Credit Facility, but does reduce the borrowing amount available. At September 30, 2021 and December 31, 2020, we had approximately $3.2 million and $2.4 million (including none and $0.3 million associated with Safe Harbor's prior credit facility) of outstanding letters of credit,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New Credit Facility, we are subject to various financial and other covenants. The most restrictive financial covenants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Credit Facility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20" w:type="dxa"/>
            <w:vAlign w:val="bottom"/>
            <w:tcBorders>
              <w:bottom w:val="single" w:sz="8" w:color="auto"/>
            </w:tcBorders>
          </w:tcPr>
          <w:p>
            <w:pPr>
              <w:ind w:left="3000"/>
              <w:spacing w:after="0"/>
              <w:rPr>
                <w:sz w:val="20"/>
                <w:szCs w:val="20"/>
                <w:color w:val="auto"/>
              </w:rPr>
            </w:pPr>
            <w:r>
              <w:rPr>
                <w:rFonts w:ascii="Arial" w:cs="Arial" w:eastAsia="Arial" w:hAnsi="Arial"/>
                <w:sz w:val="15"/>
                <w:szCs w:val="15"/>
                <w:b w:val="1"/>
                <w:bCs w:val="1"/>
                <w:color w:val="auto"/>
              </w:rPr>
              <w:t>Covenant</w:t>
            </w:r>
          </w:p>
        </w:tc>
        <w:tc>
          <w:tcPr>
            <w:tcW w:w="24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Requirement</w:t>
            </w:r>
          </w:p>
        </w:tc>
        <w:tc>
          <w:tcPr>
            <w:tcW w:w="22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As of September 30, 2021</w:t>
            </w:r>
          </w:p>
        </w:tc>
      </w:tr>
      <w:tr>
        <w:trPr>
          <w:trHeight w:val="20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leverage ratio</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&lt;65.0%</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25.1%</w:t>
            </w: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Minimum fixed charge coverage ratio</w:t>
            </w:r>
          </w:p>
        </w:tc>
        <w:tc>
          <w:tcPr>
            <w:tcW w:w="2080" w:type="dxa"/>
            <w:vAlign w:val="bottom"/>
          </w:tcPr>
          <w:p>
            <w:pPr>
              <w:jc w:val="center"/>
              <w:spacing w:after="0"/>
              <w:rPr>
                <w:sz w:val="20"/>
                <w:szCs w:val="20"/>
                <w:color w:val="auto"/>
              </w:rPr>
            </w:pPr>
            <w:r>
              <w:rPr>
                <w:rFonts w:ascii="Arial" w:cs="Arial" w:eastAsia="Arial" w:hAnsi="Arial"/>
                <w:sz w:val="15"/>
                <w:szCs w:val="15"/>
                <w:color w:val="auto"/>
                <w:w w:val="89"/>
              </w:rPr>
              <w:t>&gt;1.40</w:t>
            </w:r>
          </w:p>
        </w:tc>
        <w:tc>
          <w:tcPr>
            <w:tcW w:w="2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5"/>
              </w:rPr>
              <w:t>4.34</w:t>
            </w:r>
          </w:p>
        </w:tc>
      </w:tr>
      <w:tr>
        <w:trPr>
          <w:trHeight w:val="207"/>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dividend payout ratio</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&lt;95.0%</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49.2%</w:t>
            </w:r>
          </w:p>
        </w:tc>
      </w:tr>
      <w:tr>
        <w:trPr>
          <w:trHeight w:val="194"/>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Maximum secured leverage ratio</w:t>
            </w: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&lt;40.0%</w:t>
            </w:r>
          </w:p>
        </w:tc>
        <w:tc>
          <w:tcPr>
            <w:tcW w:w="22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16.2%</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are required to maintain the following covenants with respect to the senior unsecured notes payable: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20" w:type="dxa"/>
            <w:vAlign w:val="bottom"/>
            <w:tcBorders>
              <w:bottom w:val="single" w:sz="8" w:color="auto"/>
            </w:tcBorders>
          </w:tcPr>
          <w:p>
            <w:pPr>
              <w:ind w:left="3000"/>
              <w:spacing w:after="0"/>
              <w:rPr>
                <w:sz w:val="20"/>
                <w:szCs w:val="20"/>
                <w:color w:val="auto"/>
              </w:rPr>
            </w:pPr>
            <w:r>
              <w:rPr>
                <w:rFonts w:ascii="Arial" w:cs="Arial" w:eastAsia="Arial" w:hAnsi="Arial"/>
                <w:sz w:val="15"/>
                <w:szCs w:val="15"/>
                <w:b w:val="1"/>
                <w:bCs w:val="1"/>
                <w:color w:val="auto"/>
              </w:rPr>
              <w:t>Covenant</w:t>
            </w:r>
          </w:p>
        </w:tc>
        <w:tc>
          <w:tcPr>
            <w:tcW w:w="24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Requirement</w:t>
            </w:r>
          </w:p>
        </w:tc>
        <w:tc>
          <w:tcPr>
            <w:tcW w:w="22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As of September 30, 2021</w:t>
            </w:r>
          </w:p>
        </w:tc>
      </w:tr>
      <w:tr>
        <w:trPr>
          <w:trHeight w:val="20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debt to total assets</w:t>
            </w:r>
          </w:p>
        </w:tc>
        <w:tc>
          <w:tcPr>
            <w:tcW w:w="230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94"/>
              </w:rPr>
              <w:t>≤ 60.0%</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34.1%</w:t>
            </w: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Secured debt to total assets</w:t>
            </w:r>
          </w:p>
        </w:tc>
        <w:tc>
          <w:tcPr>
            <w:tcW w:w="2300" w:type="dxa"/>
            <w:vAlign w:val="bottom"/>
            <w:gridSpan w:val="2"/>
          </w:tcPr>
          <w:p>
            <w:pPr>
              <w:jc w:val="center"/>
              <w:ind w:right="220"/>
              <w:spacing w:after="0"/>
              <w:rPr>
                <w:sz w:val="20"/>
                <w:szCs w:val="20"/>
                <w:color w:val="auto"/>
              </w:rPr>
            </w:pPr>
            <w:r>
              <w:rPr>
                <w:rFonts w:ascii="Arial" w:cs="Arial" w:eastAsia="Arial" w:hAnsi="Arial"/>
                <w:sz w:val="15"/>
                <w:szCs w:val="15"/>
                <w:color w:val="auto"/>
                <w:w w:val="94"/>
              </w:rPr>
              <w:t>≤ 40.0%</w:t>
            </w: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24.7%</w:t>
            </w:r>
          </w:p>
        </w:tc>
      </w:tr>
      <w:tr>
        <w:trPr>
          <w:trHeight w:val="207"/>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income available for debt service to debt service</w:t>
            </w:r>
          </w:p>
        </w:tc>
        <w:tc>
          <w:tcPr>
            <w:tcW w:w="230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color w:val="auto"/>
                <w:w w:val="91"/>
              </w:rPr>
              <w:t>≥ 1.50</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6.05</w:t>
            </w:r>
          </w:p>
        </w:tc>
      </w:tr>
      <w:tr>
        <w:trPr>
          <w:trHeight w:val="194"/>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Unencumbered total asset value to total unsecured debt</w:t>
            </w:r>
          </w:p>
        </w:tc>
        <w:tc>
          <w:tcPr>
            <w:tcW w:w="2300" w:type="dxa"/>
            <w:vAlign w:val="bottom"/>
            <w:gridSpan w:val="2"/>
          </w:tcPr>
          <w:p>
            <w:pPr>
              <w:jc w:val="center"/>
              <w:ind w:right="240"/>
              <w:spacing w:after="0"/>
              <w:rPr>
                <w:sz w:val="20"/>
                <w:szCs w:val="20"/>
                <w:color w:val="auto"/>
              </w:rPr>
            </w:pPr>
            <w:r>
              <w:rPr>
                <w:rFonts w:ascii="Arial" w:cs="Arial" w:eastAsia="Arial" w:hAnsi="Arial"/>
                <w:sz w:val="15"/>
                <w:szCs w:val="15"/>
                <w:color w:val="auto"/>
                <w:w w:val="91"/>
              </w:rPr>
              <w:t>≥ 150.0%</w:t>
            </w:r>
          </w:p>
        </w:tc>
        <w:tc>
          <w:tcPr>
            <w:tcW w:w="2080" w:type="dxa"/>
            <w:vAlign w:val="bottom"/>
          </w:tcPr>
          <w:p>
            <w:pPr>
              <w:jc w:val="center"/>
              <w:spacing w:after="0"/>
              <w:rPr>
                <w:sz w:val="20"/>
                <w:szCs w:val="20"/>
                <w:color w:val="auto"/>
              </w:rPr>
            </w:pPr>
            <w:r>
              <w:rPr>
                <w:rFonts w:ascii="Arial" w:cs="Arial" w:eastAsia="Arial" w:hAnsi="Arial"/>
                <w:sz w:val="15"/>
                <w:szCs w:val="15"/>
                <w:color w:val="auto"/>
                <w:w w:val="94"/>
              </w:rPr>
              <w:t>692.7%</w:t>
            </w:r>
          </w:p>
        </w:tc>
      </w:tr>
    </w:tbl>
    <w:p>
      <w:pPr>
        <w:spacing w:after="0" w:line="3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2021, we were in compliance with the above covenants and do not anticipate that we will be unable to meet these covenants in the near term.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meeting our long-term liquidity requirements, such as scheduled debt maturities, large property acquisitions, expansion and development of properties, other nonrecurring capital improvements and Operating Partnership unit redemptions through the long-term unsecured and secured indebtedness and the issuance of certain debt or equity securities subject to market conditions.</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had unrestricted cash on hand as of September 30, 2021, of approximately $71.6 million. As of September 30, 2021, there was approximately $1.4 billion of remaining capacity on the New Credit Facility. At September 30, 2021 we had a total of 392 unencumbered MH, RV and Marina properties.</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RV and marina industries at the time, including the effects of the COVID-19 pandemic,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See "Risk Factors" in Part I, Item 1A of our 2020 Annual Report. If we are unable to obtain additional debt or equity financing on acceptable terms, our business, results of operations and financial condition would be adversely impacted.</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2021, our net debt to enterprise value was approximately 17.1 percent (assuming conversion of all common OP units, Series A-1 preferred OP units, Series A-3 preferred OP units, Series C preferred OP units, Series D preferred OP units, Series E preferred OP units, Series F preferred OP units, Series G preferred OP units, Series H preferred OP units, Series I preferred OP units and Series J preferred OP units to shares of common stock). Our debt has a weighted average maturity of approximately 9.6 years and a weighted average interest rate of 3.3 percent.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off-balance sheet investments include nonconsolidated affiliates. These investments all have varying ownership structures. Substantially all of our nonconsolidated affiliates are accounted for under the equity method of accounting as we have the ability to exercise significant influence, but not control, over the operating and financial decisions of these joint venture arrangements. Refer to Note 6, "Investment in Nonconsolidated Affiliates," and Note 8, "Debt and Line of Credit," in the accompanying Consolidated Financial Statements, for additional information on our off-balance sheet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Nonconsolidated Affiliate Indebtedness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GTSC </w:t>
      </w:r>
      <w:r>
        <w:rPr>
          <w:rFonts w:ascii="Arial" w:cs="Arial" w:eastAsia="Arial" w:hAnsi="Arial"/>
          <w:sz w:val="17"/>
          <w:szCs w:val="17"/>
          <w:color w:val="auto"/>
        </w:rPr>
        <w:t>- During September 2019, GTSC entered into a warehouse line of credit with a maximum loan amount of $125.0 million. During September 2020</w:t>
      </w:r>
      <w:r>
        <w:rPr>
          <w:rFonts w:ascii="Arial" w:cs="Arial" w:eastAsia="Arial" w:hAnsi="Arial"/>
          <w:sz w:val="17"/>
          <w:szCs w:val="17"/>
          <w:i w:val="1"/>
          <w:iCs w:val="1"/>
          <w:color w:val="auto"/>
        </w:rPr>
        <w:t xml:space="preserve"> </w:t>
      </w:r>
      <w:r>
        <w:rPr>
          <w:rFonts w:ascii="Arial" w:cs="Arial" w:eastAsia="Arial" w:hAnsi="Arial"/>
          <w:sz w:val="17"/>
          <w:szCs w:val="17"/>
          <w:color w:val="auto"/>
        </w:rPr>
        <w:t>and May 2021, the maximum amount was increased to $180.0 million and $230.0 million, respectively with an option to increase to $255.0 million subject to the lender's consent. As of September 30, 2021, the aggregate carrying amount of debt, including both our and our partner's share, incurred by GTSC was $218.4 million (of which our proportionate share is $87.3 million). The debt bears interest at a variable rate based on LIBOR plus 1.65 percent per annum and matures on September 15, 2023. Refer to Note 6, "Investment in Nonconsolidated Affiliates," in the accompanying Consolidated Financial Statements for additional information on our nonconsolidated affiliates.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Sungenia JV </w:t>
      </w:r>
      <w:r>
        <w:rPr>
          <w:rFonts w:ascii="Arial" w:cs="Arial" w:eastAsia="Arial" w:hAnsi="Arial"/>
          <w:sz w:val="17"/>
          <w:szCs w:val="17"/>
          <w:color w:val="auto"/>
        </w:rPr>
        <w:t>- During May 2020, Sungenia JV entered into a debt facility agreement with a maximum loan amount of $27.0 million Australian dollars, or</w:t>
      </w:r>
      <w:r>
        <w:rPr>
          <w:rFonts w:ascii="Arial" w:cs="Arial" w:eastAsia="Arial" w:hAnsi="Arial"/>
          <w:sz w:val="17"/>
          <w:szCs w:val="17"/>
          <w:i w:val="1"/>
          <w:iCs w:val="1"/>
          <w:color w:val="auto"/>
        </w:rPr>
        <w:t xml:space="preserve"> </w:t>
      </w:r>
      <w:r>
        <w:rPr>
          <w:rFonts w:ascii="Arial" w:cs="Arial" w:eastAsia="Arial" w:hAnsi="Arial"/>
          <w:sz w:val="17"/>
          <w:szCs w:val="17"/>
          <w:color w:val="auto"/>
        </w:rPr>
        <w:t>$19.5 million converted at the September 30, 2021 exchange rate. As of September 30, 2021, the aggregate carrying amount of debt, including both our and our partners' share, incurred by Sungenia JV was $6.2 million (of which our proportionate share is $3.1 million). The debt bears interest at a variable rate based on Australian BBSY plus 2.05 percent per annum and is available for a minimum of three years. Refer to Note 6, "Investment in Nonconsolidated Affiliates," in the accompanying Consolidated Financial Statements for additional information on our nonconsolidated affiliates.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filing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filing. These risks and uncertainties may cause our actual results to be materially different from any future results expressed or implied by such forward-looking statements. In addition to the risks disclosed under "Risk Factors" in our 2020 Annual Report, and in our other filings with the SEC, such risks and uncertainties include, but are not limited to:</w:t>
      </w:r>
    </w:p>
    <w:p>
      <w:pPr>
        <w:spacing w:after="0" w:line="206" w:lineRule="exact"/>
        <w:rPr>
          <w:sz w:val="20"/>
          <w:szCs w:val="20"/>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outbreaks of disease, including the COVID-19 pandemic, and related stay-at-home orders, quarantine policies and restrictions on travel, trade and business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general economic conditions, the real estate industry and the markets in which we operate;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developments and expansions successfully;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liquidity and refinancing demands;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obtain or refinance maturing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compliance with covenants contained in our debt facilities and our senior unsecured notes;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foreign currency exchange rates, including between the U.S. dollar and each of the Canadian and Australian dollars;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rental rates and occupancy levels;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 and disclosure controls and procedures;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interest rates and operating costs, including insurance premiums and real property taxes;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related to natural disasters such as hurricanes, earthquakes, floods, droughts and wildfires;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volatility of the capital markets and the market price of shares of our capital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real estate and zoning laws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legislative or regulatory changes, including changes to laws governing the taxation of REITs;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judgments or settlements;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competitive market forces;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purchasers of manufactured homes and boats to obtain financing;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repossessions by manufactured home and boat lenders.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filing, whether as a result of new information, future events, changes in our expectations or otherwise, except as required by law.</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variable rate debt totaled $624.8 million and $79.3 million as of September 30, 2021 and 2020, respectively, and bears interest at the Adjusted Eurocurrency Rate or BBSY rate, plus a margin, and Prime or various LIBOR rates, respectively. If Adjusted Eurocurrency Rate or BBSY rate, and Prime or LIBOR rates increased or decreased by 1.0 percent, our interest expense would have increased or decreased by approximately $7.1 million and $1.7 million for the nine months ended September 30, 2021 and 2020, respectively, based on the $945.7 million and $231.1 million average balances outstanding under our variable rate debt facilities,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Canadian properties, and our Australian equity investment and joint venture into U.S. dollars. Fluctuations in foreign currency exchange rates can therefore create volatility in our results of operations and may adversely affect our financial condition.</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2021 and December 31, 2020, our stockholder's equity included $297.1 million and $250.8 million from our Canadian subsidiaries and Australian equity investments, respectively, which represented 4.4 percent and 4.5 percent of total stockholder's equity, respectively. Based on our sensitivity analysis, a 10.0 percent strengthening of the U.S. dollar against the Canadian and Australian dollar would have caused a reduction of $29.7 million and $25.1 million to our total stockholder's equity at September 30, 2021 and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Market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(pursuant to Rules 13a-15(e) or 15d-15(e) of the Exchange Act) at September 30, 2021. Based upon this evaluation, our CEO and CFO concluded that our disclosure controls and procedures were effective as of September 30, 2021.</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2020, we completed the acquisition of Safe Harbor and are currently integrating Safe Harbor into our operations, compliance program and internal control processes. Safe Harbor constituted approximately 23 percent of our total assets as of December 31, 2020, including the goodwill and other intangible assets recorded as part of the purchase price allocation, and three percent of our revenues for the year ended December 31, 2020. SEC regulations allow companies to exclude acquisitions from their assessment of internal control over financial reporting during the first year following an acquisition. We are finalizing the integration of Safe Harbor's control framework and expect that to be completed during the three months ending December 31, 2021. Accordingly, we have excluded the acquired operations of Safe Harbor from our assessment of our internal control over financial reporting for the nine months ended September 30, 2021. As of September 30, 2021, Safe Harbor represented approximately 28 percent of our total assets and 24 percent of our revenues in the nine months ended September 30,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Refer to "Legal Proceedings" in Part 1 - Item 1 - Note 15, "Commitments and Contingencies," in our accompanying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described in Part 1, Item 1A., "Risk Factors," in our 2020 Annual Report, which could materially affect our business, financial condition or future results. There have been no material changes to the disclosure on these matters as set forth in such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OP units have converted the following units during the three months ended September 30, 2021:</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3"/>
          </w:tcPr>
          <w:p>
            <w:pPr>
              <w:jc w:val="right"/>
              <w:ind w:right="50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07"/>
        </w:trPr>
        <w:tc>
          <w:tcPr>
            <w:tcW w:w="7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5"/>
                <w:szCs w:val="15"/>
                <w:b w:val="1"/>
                <w:bCs w:val="1"/>
                <w:color w:val="auto"/>
              </w:rPr>
              <w:t>September 30, 2021</w:t>
            </w:r>
          </w:p>
        </w:tc>
        <w:tc>
          <w:tcPr>
            <w:tcW w:w="0" w:type="dxa"/>
            <w:vAlign w:val="bottom"/>
          </w:tcPr>
          <w:p>
            <w:pPr>
              <w:spacing w:after="0"/>
              <w:rPr>
                <w:sz w:val="1"/>
                <w:szCs w:val="1"/>
                <w:color w:val="auto"/>
              </w:rPr>
            </w:pPr>
          </w:p>
        </w:tc>
      </w:tr>
      <w:tr>
        <w:trPr>
          <w:trHeight w:val="146"/>
        </w:trPr>
        <w:tc>
          <w:tcPr>
            <w:tcW w:w="71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Series</w:t>
            </w:r>
          </w:p>
        </w:tc>
        <w:tc>
          <w:tcPr>
            <w:tcW w:w="120" w:type="dxa"/>
            <w:vAlign w:val="bottom"/>
            <w:vMerge w:val="restart"/>
          </w:tcPr>
          <w:p>
            <w:pPr>
              <w:spacing w:after="0"/>
              <w:rPr>
                <w:sz w:val="12"/>
                <w:szCs w:val="12"/>
                <w:color w:val="auto"/>
              </w:rPr>
            </w:pPr>
          </w:p>
        </w:tc>
        <w:tc>
          <w:tcPr>
            <w:tcW w:w="12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w w:val="95"/>
              </w:rPr>
              <w:t>Conversion Rate</w:t>
            </w:r>
          </w:p>
        </w:tc>
        <w:tc>
          <w:tcPr>
            <w:tcW w:w="120" w:type="dxa"/>
            <w:vAlign w:val="bottom"/>
            <w:vMerge w:val="restart"/>
          </w:tcPr>
          <w:p>
            <w:pPr>
              <w:spacing w:after="0"/>
              <w:rPr>
                <w:sz w:val="12"/>
                <w:szCs w:val="12"/>
                <w:color w:val="auto"/>
              </w:rPr>
            </w:pPr>
          </w:p>
        </w:tc>
        <w:tc>
          <w:tcPr>
            <w:tcW w:w="1360" w:type="dxa"/>
            <w:vAlign w:val="bottom"/>
            <w:gridSpan w:val="2"/>
          </w:tcPr>
          <w:p>
            <w:pPr>
              <w:ind w:left="160"/>
              <w:spacing w:after="0" w:line="146" w:lineRule="exact"/>
              <w:rPr>
                <w:sz w:val="20"/>
                <w:szCs w:val="20"/>
                <w:color w:val="auto"/>
              </w:rPr>
            </w:pPr>
            <w:r>
              <w:rPr>
                <w:rFonts w:ascii="Arial" w:cs="Arial" w:eastAsia="Arial" w:hAnsi="Arial"/>
                <w:sz w:val="15"/>
                <w:szCs w:val="15"/>
                <w:b w:val="1"/>
                <w:bCs w:val="1"/>
                <w:color w:val="auto"/>
              </w:rPr>
              <w:t>Units / Shares</w:t>
            </w:r>
          </w:p>
        </w:tc>
        <w:tc>
          <w:tcPr>
            <w:tcW w:w="12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0"/>
              </w:rPr>
              <w:t>Common Stock</w:t>
            </w:r>
            <w:r>
              <w:rPr>
                <w:rFonts w:ascii="Arial" w:cs="Arial" w:eastAsia="Arial" w:hAnsi="Arial"/>
                <w:sz w:val="19"/>
                <w:szCs w:val="19"/>
                <w:b w:val="1"/>
                <w:bCs w:val="1"/>
                <w:color w:val="auto"/>
                <w:w w:val="90"/>
                <w:vertAlign w:val="superscript"/>
              </w:rPr>
              <w:t>(1)</w:t>
            </w:r>
          </w:p>
        </w:tc>
        <w:tc>
          <w:tcPr>
            <w:tcW w:w="0" w:type="dxa"/>
            <w:vAlign w:val="bottom"/>
          </w:tcPr>
          <w:p>
            <w:pPr>
              <w:spacing w:after="0"/>
              <w:rPr>
                <w:sz w:val="1"/>
                <w:szCs w:val="1"/>
                <w:color w:val="auto"/>
              </w:rPr>
            </w:pPr>
          </w:p>
        </w:tc>
      </w:tr>
      <w:tr>
        <w:trPr>
          <w:trHeight w:val="203"/>
        </w:trPr>
        <w:tc>
          <w:tcPr>
            <w:tcW w:w="7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Converted</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40,862</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40,862</w:t>
            </w:r>
          </w:p>
        </w:tc>
        <w:tc>
          <w:tcPr>
            <w:tcW w:w="0" w:type="dxa"/>
            <w:vAlign w:val="bottom"/>
          </w:tcPr>
          <w:p>
            <w:pPr>
              <w:spacing w:after="0"/>
              <w:rPr>
                <w:sz w:val="1"/>
                <w:szCs w:val="1"/>
                <w:color w:val="auto"/>
              </w:rPr>
            </w:pPr>
          </w:p>
        </w:tc>
      </w:tr>
      <w:tr>
        <w:trPr>
          <w:trHeight w:val="194"/>
        </w:trPr>
        <w:tc>
          <w:tcPr>
            <w:tcW w:w="7240" w:type="dxa"/>
            <w:vAlign w:val="bottom"/>
            <w:gridSpan w:val="2"/>
          </w:tcPr>
          <w:p>
            <w:pPr>
              <w:ind w:left="20"/>
              <w:spacing w:after="0"/>
              <w:rPr>
                <w:sz w:val="20"/>
                <w:szCs w:val="20"/>
                <w:color w:val="auto"/>
              </w:rPr>
            </w:pPr>
            <w:r>
              <w:rPr>
                <w:rFonts w:ascii="Arial" w:cs="Arial" w:eastAsia="Arial" w:hAnsi="Arial"/>
                <w:sz w:val="15"/>
                <w:szCs w:val="15"/>
                <w:color w:val="auto"/>
              </w:rPr>
              <w:t>Series A-1 preferred OP units</w:t>
            </w:r>
          </w:p>
        </w:tc>
        <w:tc>
          <w:tcPr>
            <w:tcW w:w="1240" w:type="dxa"/>
            <w:vAlign w:val="bottom"/>
          </w:tcPr>
          <w:p>
            <w:pPr>
              <w:jc w:val="right"/>
              <w:spacing w:after="0"/>
              <w:rPr>
                <w:sz w:val="20"/>
                <w:szCs w:val="20"/>
                <w:color w:val="auto"/>
              </w:rPr>
            </w:pPr>
            <w:r>
              <w:rPr>
                <w:rFonts w:ascii="Arial" w:cs="Arial" w:eastAsia="Arial" w:hAnsi="Arial"/>
                <w:sz w:val="15"/>
                <w:szCs w:val="15"/>
                <w:color w:val="auto"/>
              </w:rPr>
              <w:t>2.4390</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12,686</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30,939</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Calculation may yield minor differences due to rounding incorporated in the above numbers.</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 above shares of common stock were issued in private placements in reliance on Section 4(a)(2) of the Securities Act, including Regulation D promulgated thereunder, based on certain investment representations made by the parties to whom the securities were issued. No underwriters were used in connection with any of such issuances.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6. EXHIBITS</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Exhibit No.</w:t>
            </w:r>
          </w:p>
        </w:tc>
        <w:tc>
          <w:tcPr>
            <w:tcW w:w="10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3980" w:type="dxa"/>
            <w:vAlign w:val="bottom"/>
            <w:tcBorders>
              <w:top w:val="single" w:sz="8" w:color="auto"/>
              <w:bottom w:val="single" w:sz="8" w:color="auto"/>
              <w:right w:val="single" w:sz="8" w:color="auto"/>
            </w:tcBorders>
            <w:gridSpan w:val="12"/>
          </w:tcPr>
          <w:p>
            <w:pPr>
              <w:ind w:left="140"/>
              <w:spacing w:after="0"/>
              <w:rPr>
                <w:sz w:val="20"/>
                <w:szCs w:val="20"/>
                <w:color w:val="auto"/>
              </w:rPr>
            </w:pPr>
            <w:r>
              <w:rPr>
                <w:rFonts w:ascii="Arial" w:cs="Arial" w:eastAsia="Arial" w:hAnsi="Arial"/>
                <w:sz w:val="18"/>
                <w:szCs w:val="18"/>
                <w:b w:val="1"/>
                <w:bCs w:val="1"/>
                <w:color w:val="auto"/>
              </w:rPr>
              <w:t>Description</w:t>
            </w:r>
          </w:p>
        </w:tc>
        <w:tc>
          <w:tcPr>
            <w:tcW w:w="276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Method of Filing</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3.1</w:t>
            </w:r>
          </w:p>
        </w:tc>
        <w:tc>
          <w:tcPr>
            <w:tcW w:w="6680" w:type="dxa"/>
            <w:vAlign w:val="bottom"/>
            <w:tcBorders>
              <w:right w:val="single" w:sz="8" w:color="auto"/>
            </w:tcBorders>
            <w:gridSpan w:val="16"/>
            <w:shd w:val="clear" w:color="auto" w:fill="CCEEFF"/>
          </w:tcPr>
          <w:p>
            <w:pP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Sun Communities, Inc. Articles of Restatement</w:t>
              </w:r>
            </w:hyperlink>
          </w:p>
        </w:tc>
        <w:tc>
          <w:tcPr>
            <w:tcW w:w="2760" w:type="dxa"/>
            <w:vAlign w:val="bottom"/>
            <w:tcBorders>
              <w:right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42"/>
        </w:trPr>
        <w:tc>
          <w:tcPr>
            <w:tcW w:w="1820" w:type="dxa"/>
            <w:vAlign w:val="bottom"/>
            <w:tcBorders>
              <w:top w:val="single" w:sz="8" w:color="CCEEFF"/>
              <w:left w:val="single" w:sz="8" w:color="auto"/>
              <w:right w:val="single" w:sz="8" w:color="auto"/>
            </w:tcBorders>
            <w:shd w:val="clear" w:color="auto" w:fill="CCEEFF"/>
          </w:tcPr>
          <w:p>
            <w:pPr>
              <w:spacing w:after="0"/>
              <w:rPr>
                <w:sz w:val="12"/>
                <w:szCs w:val="12"/>
                <w:color w:val="auto"/>
              </w:rPr>
            </w:pPr>
          </w:p>
        </w:tc>
        <w:tc>
          <w:tcPr>
            <w:tcW w:w="1080" w:type="dxa"/>
            <w:vAlign w:val="bottom"/>
            <w:tcBorders>
              <w:top w:val="single" w:sz="8" w:color="0000FF"/>
            </w:tcBorders>
            <w:shd w:val="clear" w:color="auto" w:fill="CCEEFF"/>
          </w:tcPr>
          <w:p>
            <w:pPr>
              <w:spacing w:after="0"/>
              <w:rPr>
                <w:sz w:val="12"/>
                <w:szCs w:val="12"/>
                <w:color w:val="auto"/>
              </w:rPr>
            </w:pPr>
          </w:p>
        </w:tc>
        <w:tc>
          <w:tcPr>
            <w:tcW w:w="12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70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auto"/>
            </w:tcBorders>
            <w:shd w:val="clear" w:color="auto" w:fill="CCEEFF"/>
          </w:tcPr>
          <w:p>
            <w:pPr>
              <w:spacing w:after="0"/>
              <w:rPr>
                <w:sz w:val="12"/>
                <w:szCs w:val="12"/>
                <w:color w:val="auto"/>
              </w:rPr>
            </w:pPr>
          </w:p>
        </w:tc>
        <w:tc>
          <w:tcPr>
            <w:tcW w:w="2760" w:type="dxa"/>
            <w:vAlign w:val="bottom"/>
            <w:tcBorders>
              <w:top w:val="single" w:sz="8" w:color="CCEEFF"/>
              <w:right w:val="single" w:sz="8" w:color="auto"/>
            </w:tcBorders>
            <w:shd w:val="clear" w:color="auto" w:fill="CCEEFF"/>
          </w:tcPr>
          <w:p>
            <w:pPr>
              <w:spacing w:after="0" w:line="142" w:lineRule="exact"/>
              <w:rPr>
                <w:sz w:val="20"/>
                <w:szCs w:val="20"/>
                <w:color w:val="auto"/>
              </w:rPr>
            </w:pPr>
            <w:r>
              <w:rPr>
                <w:rFonts w:ascii="Arial" w:cs="Arial" w:eastAsia="Arial" w:hAnsi="Arial"/>
                <w:sz w:val="16"/>
                <w:szCs w:val="16"/>
                <w:color w:val="auto"/>
              </w:rPr>
              <w:t>Communities, Inc.'s Annual Report on</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2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Form 10-K filed on February 22, 2018</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3.2</w:t>
            </w:r>
          </w:p>
        </w:tc>
        <w:tc>
          <w:tcPr>
            <w:tcW w:w="6680" w:type="dxa"/>
            <w:vAlign w:val="bottom"/>
            <w:tcBorders>
              <w:right w:val="single" w:sz="8" w:color="auto"/>
            </w:tcBorders>
            <w:gridSpan w:val="16"/>
          </w:tcPr>
          <w:p>
            <w:pPr>
              <w:spacing w:after="0" w:line="182" w:lineRule="exact"/>
              <w:rPr>
                <w:rFonts w:ascii="Arial" w:cs="Arial" w:eastAsia="Arial" w:hAnsi="Arial"/>
                <w:sz w:val="18"/>
                <w:szCs w:val="18"/>
                <w:color w:val="0000FF"/>
              </w:rPr>
            </w:pPr>
            <w:hyperlink r:id="rId85">
              <w:r>
                <w:rPr>
                  <w:rFonts w:ascii="Arial" w:cs="Arial" w:eastAsia="Arial" w:hAnsi="Arial"/>
                  <w:sz w:val="18"/>
                  <w:szCs w:val="18"/>
                  <w:color w:val="0000FF"/>
                </w:rPr>
                <w:t>Third Amended and Restated Bylaws</w:t>
              </w:r>
            </w:hyperlink>
          </w:p>
        </w:tc>
        <w:tc>
          <w:tcPr>
            <w:tcW w:w="27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42"/>
        </w:trPr>
        <w:tc>
          <w:tcPr>
            <w:tcW w:w="1820" w:type="dxa"/>
            <w:vAlign w:val="bottom"/>
            <w:tcBorders>
              <w:left w:val="single" w:sz="8" w:color="auto"/>
              <w:right w:val="single" w:sz="8" w:color="auto"/>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color w:val="auto"/>
              </w:rPr>
              <w:t>Communities Inc.'s Current Report on</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Form 8-K filed on May 12, 2017</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4.1</w:t>
            </w:r>
          </w:p>
        </w:tc>
        <w:tc>
          <w:tcPr>
            <w:tcW w:w="6680" w:type="dxa"/>
            <w:vAlign w:val="bottom"/>
            <w:tcBorders>
              <w:right w:val="single" w:sz="8" w:color="auto"/>
            </w:tcBorders>
            <w:gridSpan w:val="16"/>
            <w:shd w:val="clear" w:color="auto" w:fill="CCEEFF"/>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Second Supplemental Indenture, dated as of September, 2021 by and among Sun</w:t>
              </w:r>
            </w:hyperlink>
          </w:p>
        </w:tc>
        <w:tc>
          <w:tcPr>
            <w:tcW w:w="2760" w:type="dxa"/>
            <w:vAlign w:val="bottom"/>
            <w:tcBorders>
              <w:right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63"/>
        </w:trPr>
        <w:tc>
          <w:tcPr>
            <w:tcW w:w="1820" w:type="dxa"/>
            <w:vAlign w:val="bottom"/>
            <w:tcBorders>
              <w:top w:val="single" w:sz="8" w:color="CCEEFF"/>
              <w:left w:val="single" w:sz="8" w:color="auto"/>
              <w:right w:val="single" w:sz="8" w:color="auto"/>
            </w:tcBorders>
            <w:shd w:val="clear" w:color="auto" w:fill="CCEEFF"/>
          </w:tcPr>
          <w:p>
            <w:pPr>
              <w:spacing w:after="0"/>
              <w:rPr>
                <w:sz w:val="14"/>
                <w:szCs w:val="14"/>
                <w:color w:val="auto"/>
              </w:rPr>
            </w:pPr>
          </w:p>
        </w:tc>
        <w:tc>
          <w:tcPr>
            <w:tcW w:w="6680" w:type="dxa"/>
            <w:vAlign w:val="bottom"/>
            <w:tcBorders>
              <w:top w:val="single" w:sz="8" w:color="0000FF"/>
              <w:right w:val="single" w:sz="8" w:color="auto"/>
            </w:tcBorders>
            <w:gridSpan w:val="16"/>
            <w:shd w:val="clear" w:color="auto" w:fill="CCEEFF"/>
          </w:tcPr>
          <w:p>
            <w:pPr>
              <w:spacing w:after="0" w:line="156" w:lineRule="exact"/>
              <w:rPr>
                <w:rFonts w:ascii="Arial" w:cs="Arial" w:eastAsia="Arial" w:hAnsi="Arial"/>
                <w:sz w:val="18"/>
                <w:szCs w:val="18"/>
                <w:color w:val="0000FF"/>
                <w:w w:val="98"/>
              </w:rPr>
            </w:pPr>
            <w:hyperlink r:id="rId86">
              <w:r>
                <w:rPr>
                  <w:rFonts w:ascii="Arial" w:cs="Arial" w:eastAsia="Arial" w:hAnsi="Arial"/>
                  <w:sz w:val="18"/>
                  <w:szCs w:val="18"/>
                  <w:color w:val="0000FF"/>
                  <w:w w:val="98"/>
                </w:rPr>
                <w:t>Communities Operating Limited Partnership, Sun Communities, Inc., and UMB Bank,</w:t>
              </w:r>
            </w:hyperlink>
          </w:p>
        </w:tc>
        <w:tc>
          <w:tcPr>
            <w:tcW w:w="2760" w:type="dxa"/>
            <w:vAlign w:val="bottom"/>
            <w:tcBorders>
              <w:top w:val="single" w:sz="8" w:color="CCEEFF"/>
              <w:right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0"/>
              </w:rPr>
              <w:t>Communities Inc.'s Current Report on</w:t>
            </w:r>
          </w:p>
        </w:tc>
        <w:tc>
          <w:tcPr>
            <w:tcW w:w="0" w:type="dxa"/>
            <w:vAlign w:val="bottom"/>
          </w:tcPr>
          <w:p>
            <w:pPr>
              <w:spacing w:after="0"/>
              <w:rPr>
                <w:sz w:val="1"/>
                <w:szCs w:val="1"/>
                <w:color w:val="auto"/>
              </w:rPr>
            </w:pPr>
          </w:p>
        </w:tc>
      </w:tr>
      <w:tr>
        <w:trPr>
          <w:trHeight w:val="229"/>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9"/>
                <w:szCs w:val="19"/>
                <w:color w:val="auto"/>
              </w:rPr>
            </w:pPr>
          </w:p>
        </w:tc>
        <w:tc>
          <w:tcPr>
            <w:tcW w:w="6600" w:type="dxa"/>
            <w:vAlign w:val="bottom"/>
            <w:tcBorders>
              <w:top w:val="single" w:sz="8" w:color="0000FF"/>
              <w:bottom w:val="single" w:sz="8" w:color="auto"/>
            </w:tcBorders>
            <w:gridSpan w:val="14"/>
            <w:shd w:val="clear" w:color="auto" w:fill="CCEEFF"/>
          </w:tcPr>
          <w:p>
            <w:pPr>
              <w:spacing w:after="0" w:line="176" w:lineRule="exact"/>
              <w:rPr>
                <w:rFonts w:ascii="Arial" w:cs="Arial" w:eastAsia="Arial" w:hAnsi="Arial"/>
                <w:sz w:val="18"/>
                <w:szCs w:val="18"/>
                <w:color w:val="0000FF"/>
              </w:rPr>
            </w:pPr>
            <w:hyperlink r:id="rId86">
              <w:r>
                <w:rPr>
                  <w:rFonts w:ascii="Arial" w:cs="Arial" w:eastAsia="Arial" w:hAnsi="Arial"/>
                  <w:sz w:val="18"/>
                  <w:szCs w:val="18"/>
                  <w:color w:val="0000FF"/>
                </w:rPr>
                <w:t>N.A. as trustee</w:t>
              </w:r>
            </w:hyperlink>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2760" w:type="dxa"/>
            <w:vAlign w:val="bottom"/>
            <w:tcBorders>
              <w:top w:val="single" w:sz="8" w:color="CCEEFF"/>
              <w:bottom w:val="single" w:sz="8" w:color="auto"/>
              <w:right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Form 8-K filed on October 5, 2021</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4.2</w:t>
            </w:r>
          </w:p>
        </w:tc>
        <w:tc>
          <w:tcPr>
            <w:tcW w:w="6680" w:type="dxa"/>
            <w:vAlign w:val="bottom"/>
            <w:tcBorders>
              <w:right w:val="single" w:sz="8" w:color="auto"/>
            </w:tcBorders>
            <w:gridSpan w:val="16"/>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Form of Global Note for 2.300% Notes due 2028</w:t>
              </w:r>
            </w:hyperlink>
          </w:p>
        </w:tc>
        <w:tc>
          <w:tcPr>
            <w:tcW w:w="27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42"/>
        </w:trPr>
        <w:tc>
          <w:tcPr>
            <w:tcW w:w="1820" w:type="dxa"/>
            <w:vAlign w:val="bottom"/>
            <w:tcBorders>
              <w:left w:val="single" w:sz="8" w:color="auto"/>
              <w:right w:val="single" w:sz="8" w:color="auto"/>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color w:val="auto"/>
              </w:rPr>
              <w:t>Communities Inc.'s Current Report on</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Form 8-K filed on October 5, 2021</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10.1*</w:t>
            </w:r>
          </w:p>
        </w:tc>
        <w:tc>
          <w:tcPr>
            <w:tcW w:w="6680" w:type="dxa"/>
            <w:vAlign w:val="bottom"/>
            <w:tcBorders>
              <w:right w:val="single" w:sz="8" w:color="auto"/>
            </w:tcBorders>
            <w:gridSpan w:val="16"/>
            <w:shd w:val="clear" w:color="auto" w:fill="CCEEFF"/>
          </w:tcPr>
          <w:p>
            <w:pPr>
              <w:spacing w:after="0" w:line="182" w:lineRule="exact"/>
              <w:rPr>
                <w:rFonts w:ascii="Arial" w:cs="Arial" w:eastAsia="Arial" w:hAnsi="Arial"/>
                <w:sz w:val="18"/>
                <w:szCs w:val="18"/>
                <w:color w:val="0000FF"/>
                <w:w w:val="95"/>
              </w:rPr>
            </w:pPr>
            <w:hyperlink r:id="rId87">
              <w:r>
                <w:rPr>
                  <w:rFonts w:ascii="Arial" w:cs="Arial" w:eastAsia="Arial" w:hAnsi="Arial"/>
                  <w:sz w:val="18"/>
                  <w:szCs w:val="18"/>
                  <w:color w:val="0000FF"/>
                  <w:w w:val="95"/>
                </w:rPr>
                <w:t>Employment  Agreement  dated  July  16,  2021  among  Sun  Communities,  Inc.,  Sun</w:t>
              </w:r>
            </w:hyperlink>
          </w:p>
        </w:tc>
        <w:tc>
          <w:tcPr>
            <w:tcW w:w="2760" w:type="dxa"/>
            <w:vAlign w:val="bottom"/>
            <w:tcBorders>
              <w:right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63"/>
        </w:trPr>
        <w:tc>
          <w:tcPr>
            <w:tcW w:w="1820" w:type="dxa"/>
            <w:vAlign w:val="bottom"/>
            <w:tcBorders>
              <w:top w:val="single" w:sz="8" w:color="CCEEFF"/>
              <w:left w:val="single" w:sz="8" w:color="auto"/>
              <w:right w:val="single" w:sz="8" w:color="auto"/>
            </w:tcBorders>
            <w:shd w:val="clear" w:color="auto" w:fill="CCEEFF"/>
          </w:tcPr>
          <w:p>
            <w:pPr>
              <w:spacing w:after="0"/>
              <w:rPr>
                <w:sz w:val="14"/>
                <w:szCs w:val="14"/>
                <w:color w:val="auto"/>
              </w:rPr>
            </w:pPr>
          </w:p>
        </w:tc>
        <w:tc>
          <w:tcPr>
            <w:tcW w:w="656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Communities Operating Limited Partnership and Bruce Thelen#</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right w:val="single" w:sz="8" w:color="auto"/>
            </w:tcBorders>
            <w:shd w:val="clear" w:color="auto" w:fill="CCEEFF"/>
          </w:tcPr>
          <w:p>
            <w:pPr>
              <w:spacing w:after="0"/>
              <w:rPr>
                <w:sz w:val="14"/>
                <w:szCs w:val="14"/>
                <w:color w:val="auto"/>
              </w:rPr>
            </w:pPr>
          </w:p>
        </w:tc>
        <w:tc>
          <w:tcPr>
            <w:tcW w:w="2760" w:type="dxa"/>
            <w:vAlign w:val="bottom"/>
            <w:tcBorders>
              <w:top w:val="single" w:sz="8" w:color="CCEEFF"/>
              <w:right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0"/>
              </w:rPr>
              <w:t>Communities Inc.'s Current Report on</w:t>
            </w:r>
          </w:p>
        </w:tc>
        <w:tc>
          <w:tcPr>
            <w:tcW w:w="0" w:type="dxa"/>
            <w:vAlign w:val="bottom"/>
          </w:tcPr>
          <w:p>
            <w:pPr>
              <w:spacing w:after="0"/>
              <w:rPr>
                <w:sz w:val="1"/>
                <w:szCs w:val="1"/>
                <w:color w:val="auto"/>
              </w:rPr>
            </w:pPr>
          </w:p>
        </w:tc>
      </w:tr>
      <w:tr>
        <w:trPr>
          <w:trHeight w:val="189"/>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6"/>
                <w:szCs w:val="16"/>
                <w:color w:val="auto"/>
              </w:rPr>
            </w:pPr>
          </w:p>
        </w:tc>
        <w:tc>
          <w:tcPr>
            <w:tcW w:w="1080" w:type="dxa"/>
            <w:vAlign w:val="bottom"/>
            <w:tcBorders>
              <w:top w:val="single" w:sz="8" w:color="0000FF"/>
              <w:bottom w:val="single" w:sz="8" w:color="auto"/>
            </w:tcBorders>
            <w:shd w:val="clear" w:color="auto" w:fill="CCEEFF"/>
          </w:tcPr>
          <w:p>
            <w:pPr>
              <w:spacing w:after="0"/>
              <w:rPr>
                <w:sz w:val="16"/>
                <w:szCs w:val="16"/>
                <w:color w:val="auto"/>
              </w:rPr>
            </w:pPr>
          </w:p>
        </w:tc>
        <w:tc>
          <w:tcPr>
            <w:tcW w:w="1280" w:type="dxa"/>
            <w:vAlign w:val="bottom"/>
            <w:tcBorders>
              <w:top w:val="single" w:sz="8" w:color="0000FF"/>
              <w:bottom w:val="single" w:sz="8" w:color="auto"/>
            </w:tcBorders>
            <w:shd w:val="clear" w:color="auto" w:fill="CCEEFF"/>
          </w:tcPr>
          <w:p>
            <w:pPr>
              <w:spacing w:after="0"/>
              <w:rPr>
                <w:sz w:val="16"/>
                <w:szCs w:val="16"/>
                <w:color w:val="auto"/>
              </w:rPr>
            </w:pPr>
          </w:p>
        </w:tc>
        <w:tc>
          <w:tcPr>
            <w:tcW w:w="200" w:type="dxa"/>
            <w:vAlign w:val="bottom"/>
            <w:tcBorders>
              <w:top w:val="single" w:sz="8" w:color="0000FF"/>
              <w:bottom w:val="single" w:sz="8" w:color="auto"/>
            </w:tcBorders>
            <w:shd w:val="clear" w:color="auto" w:fill="CCEEFF"/>
          </w:tcPr>
          <w:p>
            <w:pPr>
              <w:spacing w:after="0"/>
              <w:rPr>
                <w:sz w:val="16"/>
                <w:szCs w:val="16"/>
                <w:color w:val="auto"/>
              </w:rPr>
            </w:pPr>
          </w:p>
        </w:tc>
        <w:tc>
          <w:tcPr>
            <w:tcW w:w="140" w:type="dxa"/>
            <w:vAlign w:val="bottom"/>
            <w:tcBorders>
              <w:top w:val="single" w:sz="8" w:color="0000FF"/>
              <w:bottom w:val="single" w:sz="8" w:color="auto"/>
            </w:tcBorders>
            <w:shd w:val="clear" w:color="auto" w:fill="CCEEFF"/>
          </w:tcPr>
          <w:p>
            <w:pPr>
              <w:spacing w:after="0"/>
              <w:rPr>
                <w:sz w:val="16"/>
                <w:szCs w:val="16"/>
                <w:color w:val="auto"/>
              </w:rPr>
            </w:pPr>
          </w:p>
        </w:tc>
        <w:tc>
          <w:tcPr>
            <w:tcW w:w="700" w:type="dxa"/>
            <w:vAlign w:val="bottom"/>
            <w:tcBorders>
              <w:top w:val="single" w:sz="8" w:color="0000FF"/>
              <w:bottom w:val="single" w:sz="8" w:color="auto"/>
            </w:tcBorders>
            <w:shd w:val="clear" w:color="auto" w:fill="CCEEFF"/>
          </w:tcPr>
          <w:p>
            <w:pPr>
              <w:spacing w:after="0"/>
              <w:rPr>
                <w:sz w:val="16"/>
                <w:szCs w:val="16"/>
                <w:color w:val="auto"/>
              </w:rPr>
            </w:pPr>
          </w:p>
        </w:tc>
        <w:tc>
          <w:tcPr>
            <w:tcW w:w="140" w:type="dxa"/>
            <w:vAlign w:val="bottom"/>
            <w:tcBorders>
              <w:top w:val="single" w:sz="8" w:color="0000FF"/>
              <w:bottom w:val="single" w:sz="8" w:color="auto"/>
            </w:tcBorders>
            <w:shd w:val="clear" w:color="auto" w:fill="CCEEFF"/>
          </w:tcPr>
          <w:p>
            <w:pPr>
              <w:spacing w:after="0"/>
              <w:rPr>
                <w:sz w:val="16"/>
                <w:szCs w:val="16"/>
                <w:color w:val="auto"/>
              </w:rPr>
            </w:pPr>
          </w:p>
        </w:tc>
        <w:tc>
          <w:tcPr>
            <w:tcW w:w="1040" w:type="dxa"/>
            <w:vAlign w:val="bottom"/>
            <w:tcBorders>
              <w:top w:val="single" w:sz="8" w:color="0000FF"/>
              <w:bottom w:val="single" w:sz="8" w:color="auto"/>
            </w:tcBorders>
            <w:shd w:val="clear" w:color="auto" w:fill="CCEEFF"/>
          </w:tcPr>
          <w:p>
            <w:pPr>
              <w:spacing w:after="0"/>
              <w:rPr>
                <w:sz w:val="16"/>
                <w:szCs w:val="16"/>
                <w:color w:val="auto"/>
              </w:rPr>
            </w:pPr>
          </w:p>
        </w:tc>
        <w:tc>
          <w:tcPr>
            <w:tcW w:w="40" w:type="dxa"/>
            <w:vAlign w:val="bottom"/>
            <w:tcBorders>
              <w:top w:val="single" w:sz="8" w:color="0000FF"/>
              <w:bottom w:val="single" w:sz="8" w:color="auto"/>
            </w:tcBorders>
            <w:shd w:val="clear" w:color="auto" w:fill="CCEEFF"/>
          </w:tcPr>
          <w:p>
            <w:pPr>
              <w:spacing w:after="0"/>
              <w:rPr>
                <w:sz w:val="16"/>
                <w:szCs w:val="16"/>
                <w:color w:val="auto"/>
              </w:rPr>
            </w:pPr>
          </w:p>
        </w:tc>
        <w:tc>
          <w:tcPr>
            <w:tcW w:w="1680" w:type="dxa"/>
            <w:vAlign w:val="bottom"/>
            <w:tcBorders>
              <w:top w:val="single" w:sz="8" w:color="CCEEFF"/>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6"/>
                <w:szCs w:val="16"/>
                <w:color w:val="auto"/>
              </w:rPr>
            </w:pPr>
          </w:p>
        </w:tc>
        <w:tc>
          <w:tcPr>
            <w:tcW w:w="2760" w:type="dxa"/>
            <w:vAlign w:val="bottom"/>
            <w:tcBorders>
              <w:top w:val="single" w:sz="8" w:color="CCEEFF"/>
              <w:bottom w:val="single" w:sz="8" w:color="auto"/>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Form 8-K filed on July 20, 2021</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10.2*</w:t>
            </w:r>
          </w:p>
        </w:tc>
        <w:tc>
          <w:tcPr>
            <w:tcW w:w="6680" w:type="dxa"/>
            <w:vAlign w:val="bottom"/>
            <w:tcBorders>
              <w:right w:val="single" w:sz="8" w:color="auto"/>
            </w:tcBorders>
            <w:gridSpan w:val="16"/>
          </w:tcPr>
          <w:p>
            <w:pPr>
              <w:spacing w:after="0" w:line="182" w:lineRule="exact"/>
              <w:rPr>
                <w:rFonts w:ascii="Arial" w:cs="Arial" w:eastAsia="Arial" w:hAnsi="Arial"/>
                <w:sz w:val="18"/>
                <w:szCs w:val="18"/>
                <w:color w:val="0000FF"/>
                <w:w w:val="98"/>
              </w:rPr>
            </w:pPr>
            <w:hyperlink r:id="rId88">
              <w:r>
                <w:rPr>
                  <w:rFonts w:ascii="Arial" w:cs="Arial" w:eastAsia="Arial" w:hAnsi="Arial"/>
                  <w:sz w:val="18"/>
                  <w:szCs w:val="18"/>
                  <w:color w:val="0000FF"/>
                  <w:w w:val="98"/>
                </w:rPr>
                <w:t>Employment Agreement dated October 18, 2021 among Sun Communities, Inc., Sun</w:t>
              </w:r>
            </w:hyperlink>
          </w:p>
        </w:tc>
        <w:tc>
          <w:tcPr>
            <w:tcW w:w="27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63"/>
        </w:trPr>
        <w:tc>
          <w:tcPr>
            <w:tcW w:w="1820" w:type="dxa"/>
            <w:vAlign w:val="bottom"/>
            <w:tcBorders>
              <w:left w:val="single" w:sz="8" w:color="auto"/>
              <w:right w:val="single" w:sz="8" w:color="auto"/>
            </w:tcBorders>
          </w:tcPr>
          <w:p>
            <w:pPr>
              <w:spacing w:after="0"/>
              <w:rPr>
                <w:sz w:val="14"/>
                <w:szCs w:val="14"/>
                <w:color w:val="auto"/>
              </w:rPr>
            </w:pPr>
          </w:p>
        </w:tc>
        <w:tc>
          <w:tcPr>
            <w:tcW w:w="66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Communities Operating Limited Partnership and Aaron Weiss#</w:t>
              </w:r>
            </w:hyperlink>
          </w:p>
        </w:tc>
        <w:tc>
          <w:tcPr>
            <w:tcW w:w="60" w:type="dxa"/>
            <w:vAlign w:val="bottom"/>
            <w:tcBorders>
              <w:right w:val="single" w:sz="8" w:color="auto"/>
            </w:tcBorders>
          </w:tcPr>
          <w:p>
            <w:pPr>
              <w:spacing w:after="0"/>
              <w:rPr>
                <w:sz w:val="14"/>
                <w:szCs w:val="14"/>
                <w:color w:val="auto"/>
              </w:rPr>
            </w:pPr>
          </w:p>
        </w:tc>
        <w:tc>
          <w:tcPr>
            <w:tcW w:w="2760" w:type="dxa"/>
            <w:vAlign w:val="bottom"/>
            <w:tcBorders>
              <w:right w:val="single" w:sz="8" w:color="auto"/>
            </w:tcBorders>
          </w:tcPr>
          <w:p>
            <w:pPr>
              <w:spacing w:after="0" w:line="156" w:lineRule="exact"/>
              <w:rPr>
                <w:sz w:val="20"/>
                <w:szCs w:val="20"/>
                <w:color w:val="auto"/>
              </w:rPr>
            </w:pPr>
            <w:r>
              <w:rPr>
                <w:rFonts w:ascii="Arial" w:cs="Arial" w:eastAsia="Arial" w:hAnsi="Arial"/>
                <w:sz w:val="18"/>
                <w:szCs w:val="18"/>
                <w:color w:val="auto"/>
                <w:w w:val="90"/>
              </w:rPr>
              <w:t>Communities Inc.'s Current Report on</w:t>
            </w:r>
          </w:p>
        </w:tc>
        <w:tc>
          <w:tcPr>
            <w:tcW w:w="0" w:type="dxa"/>
            <w:vAlign w:val="bottom"/>
          </w:tcPr>
          <w:p>
            <w:pPr>
              <w:spacing w:after="0"/>
              <w:rPr>
                <w:sz w:val="1"/>
                <w:szCs w:val="1"/>
                <w:color w:val="auto"/>
              </w:rPr>
            </w:pPr>
          </w:p>
        </w:tc>
      </w:tr>
      <w:tr>
        <w:trPr>
          <w:trHeight w:val="189"/>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080" w:type="dxa"/>
            <w:vAlign w:val="bottom"/>
            <w:tcBorders>
              <w:top w:val="single" w:sz="8" w:color="0000FF"/>
              <w:bottom w:val="single" w:sz="8" w:color="auto"/>
            </w:tcBorders>
          </w:tcPr>
          <w:p>
            <w:pPr>
              <w:spacing w:after="0"/>
              <w:rPr>
                <w:sz w:val="16"/>
                <w:szCs w:val="16"/>
                <w:color w:val="auto"/>
              </w:rPr>
            </w:pPr>
          </w:p>
        </w:tc>
        <w:tc>
          <w:tcPr>
            <w:tcW w:w="1280" w:type="dxa"/>
            <w:vAlign w:val="bottom"/>
            <w:tcBorders>
              <w:top w:val="single" w:sz="8" w:color="0000FF"/>
              <w:bottom w:val="single" w:sz="8" w:color="auto"/>
            </w:tcBorders>
          </w:tcPr>
          <w:p>
            <w:pPr>
              <w:spacing w:after="0"/>
              <w:rPr>
                <w:sz w:val="16"/>
                <w:szCs w:val="16"/>
                <w:color w:val="auto"/>
              </w:rPr>
            </w:pPr>
          </w:p>
        </w:tc>
        <w:tc>
          <w:tcPr>
            <w:tcW w:w="200" w:type="dxa"/>
            <w:vAlign w:val="bottom"/>
            <w:tcBorders>
              <w:top w:val="single" w:sz="8" w:color="0000FF"/>
              <w:bottom w:val="single" w:sz="8" w:color="auto"/>
            </w:tcBorders>
          </w:tcPr>
          <w:p>
            <w:pPr>
              <w:spacing w:after="0"/>
              <w:rPr>
                <w:sz w:val="16"/>
                <w:szCs w:val="16"/>
                <w:color w:val="auto"/>
              </w:rPr>
            </w:pPr>
          </w:p>
        </w:tc>
        <w:tc>
          <w:tcPr>
            <w:tcW w:w="140" w:type="dxa"/>
            <w:vAlign w:val="bottom"/>
            <w:tcBorders>
              <w:top w:val="single" w:sz="8" w:color="0000FF"/>
              <w:bottom w:val="single" w:sz="8" w:color="auto"/>
            </w:tcBorders>
          </w:tcPr>
          <w:p>
            <w:pPr>
              <w:spacing w:after="0"/>
              <w:rPr>
                <w:sz w:val="16"/>
                <w:szCs w:val="16"/>
                <w:color w:val="auto"/>
              </w:rPr>
            </w:pPr>
          </w:p>
        </w:tc>
        <w:tc>
          <w:tcPr>
            <w:tcW w:w="700" w:type="dxa"/>
            <w:vAlign w:val="bottom"/>
            <w:tcBorders>
              <w:top w:val="single" w:sz="8" w:color="0000FF"/>
              <w:bottom w:val="single" w:sz="8" w:color="auto"/>
            </w:tcBorders>
          </w:tcPr>
          <w:p>
            <w:pPr>
              <w:spacing w:after="0"/>
              <w:rPr>
                <w:sz w:val="16"/>
                <w:szCs w:val="16"/>
                <w:color w:val="auto"/>
              </w:rPr>
            </w:pPr>
          </w:p>
        </w:tc>
        <w:tc>
          <w:tcPr>
            <w:tcW w:w="140" w:type="dxa"/>
            <w:vAlign w:val="bottom"/>
            <w:tcBorders>
              <w:top w:val="single" w:sz="8" w:color="0000FF"/>
              <w:bottom w:val="single" w:sz="8" w:color="auto"/>
            </w:tcBorders>
          </w:tcPr>
          <w:p>
            <w:pPr>
              <w:spacing w:after="0"/>
              <w:rPr>
                <w:sz w:val="16"/>
                <w:szCs w:val="16"/>
                <w:color w:val="auto"/>
              </w:rPr>
            </w:pPr>
          </w:p>
        </w:tc>
        <w:tc>
          <w:tcPr>
            <w:tcW w:w="1040" w:type="dxa"/>
            <w:vAlign w:val="bottom"/>
            <w:tcBorders>
              <w:top w:val="single" w:sz="8" w:color="0000FF"/>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2760" w:type="dxa"/>
            <w:vAlign w:val="bottom"/>
            <w:tcBorders>
              <w:bottom w:val="single" w:sz="8" w:color="auto"/>
              <w:right w:val="single" w:sz="8" w:color="auto"/>
            </w:tcBorders>
          </w:tcPr>
          <w:p>
            <w:pPr>
              <w:spacing w:after="0" w:line="189" w:lineRule="exact"/>
              <w:rPr>
                <w:sz w:val="20"/>
                <w:szCs w:val="20"/>
                <w:color w:val="auto"/>
              </w:rPr>
            </w:pPr>
            <w:r>
              <w:rPr>
                <w:rFonts w:ascii="Arial" w:cs="Arial" w:eastAsia="Arial" w:hAnsi="Arial"/>
                <w:sz w:val="18"/>
                <w:szCs w:val="18"/>
                <w:color w:val="auto"/>
                <w:w w:val="96"/>
              </w:rPr>
              <w:t>Form 8-K filed on October 18, 2021</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22.1</w:t>
            </w:r>
          </w:p>
        </w:tc>
        <w:tc>
          <w:tcPr>
            <w:tcW w:w="6680" w:type="dxa"/>
            <w:vAlign w:val="bottom"/>
            <w:tcBorders>
              <w:bottom w:val="single" w:sz="8" w:color="auto"/>
              <w:right w:val="single" w:sz="8" w:color="auto"/>
            </w:tcBorders>
            <w:gridSpan w:val="16"/>
            <w:shd w:val="clear" w:color="auto" w:fill="CCEEFF"/>
          </w:tcPr>
          <w:p>
            <w:pPr>
              <w:spacing w:after="0" w:line="182" w:lineRule="exact"/>
              <w:rPr>
                <w:rFonts w:ascii="Arial" w:cs="Arial" w:eastAsia="Arial" w:hAnsi="Arial"/>
                <w:sz w:val="18"/>
                <w:szCs w:val="18"/>
                <w:color w:val="0000FF"/>
              </w:rPr>
            </w:pPr>
            <w:hyperlink w:anchor="page70">
              <w:r>
                <w:rPr>
                  <w:rFonts w:ascii="Arial" w:cs="Arial" w:eastAsia="Arial" w:hAnsi="Arial"/>
                  <w:sz w:val="18"/>
                  <w:szCs w:val="18"/>
                  <w:color w:val="0000FF"/>
                </w:rPr>
                <w:t>List issuers of guaranteed securities</w:t>
              </w:r>
            </w:hyperlink>
          </w:p>
        </w:tc>
        <w:tc>
          <w:tcPr>
            <w:tcW w:w="2760" w:type="dxa"/>
            <w:vAlign w:val="bottom"/>
            <w:tcBorders>
              <w:bottom w:val="single" w:sz="8" w:color="auto"/>
              <w:right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31.1</w:t>
            </w:r>
          </w:p>
        </w:tc>
        <w:tc>
          <w:tcPr>
            <w:tcW w:w="6360" w:type="dxa"/>
            <w:vAlign w:val="bottom"/>
            <w:tcBorders>
              <w:bottom w:val="single" w:sz="8" w:color="0000FF"/>
            </w:tcBorders>
            <w:gridSpan w:val="10"/>
          </w:tcPr>
          <w:p>
            <w:pPr>
              <w:spacing w:after="0" w:line="182" w:lineRule="exact"/>
              <w:rPr>
                <w:rFonts w:ascii="Arial" w:cs="Arial" w:eastAsia="Arial" w:hAnsi="Arial"/>
                <w:sz w:val="18"/>
                <w:szCs w:val="18"/>
                <w:color w:val="0000FF"/>
                <w:w w:val="91"/>
              </w:rPr>
            </w:pPr>
            <w:hyperlink w:anchor="page71">
              <w:r>
                <w:rPr>
                  <w:rFonts w:ascii="Arial" w:cs="Arial" w:eastAsia="Arial" w:hAnsi="Arial"/>
                  <w:sz w:val="18"/>
                  <w:szCs w:val="18"/>
                  <w:color w:val="0000FF"/>
                  <w:w w:val="91"/>
                </w:rPr>
                <w:t>Certification of Chief Executive Officer pursuant to Securities Exchange Act Rules 13a-</w:t>
              </w:r>
            </w:hyperlink>
          </w:p>
        </w:tc>
        <w:tc>
          <w:tcPr>
            <w:tcW w:w="320" w:type="dxa"/>
            <w:vAlign w:val="bottom"/>
            <w:tcBorders>
              <w:right w:val="single" w:sz="8" w:color="auto"/>
            </w:tcBorders>
            <w:gridSpan w:val="6"/>
          </w:tcPr>
          <w:p>
            <w:pPr>
              <w:spacing w:after="0"/>
              <w:rPr>
                <w:sz w:val="15"/>
                <w:szCs w:val="15"/>
                <w:color w:val="auto"/>
              </w:rPr>
            </w:pPr>
          </w:p>
        </w:tc>
        <w:tc>
          <w:tcPr>
            <w:tcW w:w="27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6"/>
        </w:trPr>
        <w:tc>
          <w:tcPr>
            <w:tcW w:w="1820" w:type="dxa"/>
            <w:vAlign w:val="bottom"/>
            <w:tcBorders>
              <w:left w:val="single" w:sz="8" w:color="auto"/>
              <w:right w:val="single" w:sz="8" w:color="auto"/>
            </w:tcBorders>
          </w:tcPr>
          <w:p>
            <w:pPr>
              <w:spacing w:after="0"/>
              <w:rPr>
                <w:sz w:val="13"/>
                <w:szCs w:val="13"/>
                <w:color w:val="auto"/>
              </w:rPr>
            </w:pPr>
          </w:p>
        </w:tc>
        <w:tc>
          <w:tcPr>
            <w:tcW w:w="6680" w:type="dxa"/>
            <w:vAlign w:val="bottom"/>
            <w:tcBorders>
              <w:right w:val="single" w:sz="8" w:color="auto"/>
            </w:tcBorders>
            <w:gridSpan w:val="16"/>
          </w:tcPr>
          <w:p>
            <w:pPr>
              <w:spacing w:after="0" w:line="156" w:lineRule="exact"/>
              <w:rPr>
                <w:rFonts w:ascii="Arial" w:cs="Arial" w:eastAsia="Arial" w:hAnsi="Arial"/>
                <w:sz w:val="18"/>
                <w:szCs w:val="18"/>
                <w:color w:val="0000FF"/>
                <w:w w:val="92"/>
              </w:rPr>
            </w:pPr>
            <w:hyperlink w:anchor="page71">
              <w:r>
                <w:rPr>
                  <w:rFonts w:ascii="Arial" w:cs="Arial" w:eastAsia="Arial" w:hAnsi="Arial"/>
                  <w:sz w:val="18"/>
                  <w:szCs w:val="18"/>
                  <w:color w:val="0000FF"/>
                  <w:w w:val="92"/>
                </w:rPr>
                <w:t>14(a)/15(d)-14(a), as adopted pursuant to Section 302 of the Sarbanes-Oxley Act of 2002.</w:t>
              </w:r>
            </w:hyperlink>
          </w:p>
        </w:tc>
        <w:tc>
          <w:tcPr>
            <w:tcW w:w="2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31.2</w:t>
            </w:r>
          </w:p>
        </w:tc>
        <w:tc>
          <w:tcPr>
            <w:tcW w:w="6680" w:type="dxa"/>
            <w:vAlign w:val="bottom"/>
            <w:tcBorders>
              <w:right w:val="single" w:sz="8" w:color="auto"/>
            </w:tcBorders>
            <w:gridSpan w:val="16"/>
            <w:shd w:val="clear" w:color="auto" w:fill="CCEEFF"/>
          </w:tcPr>
          <w:p>
            <w:pPr>
              <w:spacing w:after="0" w:line="182" w:lineRule="exact"/>
              <w:rPr>
                <w:rFonts w:ascii="Arial" w:cs="Arial" w:eastAsia="Arial" w:hAnsi="Arial"/>
                <w:sz w:val="18"/>
                <w:szCs w:val="18"/>
                <w:color w:val="0000FF"/>
                <w:w w:val="97"/>
              </w:rPr>
            </w:pPr>
            <w:hyperlink w:anchor="page72">
              <w:r>
                <w:rPr>
                  <w:rFonts w:ascii="Arial" w:cs="Arial" w:eastAsia="Arial" w:hAnsi="Arial"/>
                  <w:sz w:val="18"/>
                  <w:szCs w:val="18"/>
                  <w:color w:val="0000FF"/>
                  <w:w w:val="97"/>
                </w:rPr>
                <w:t>Certification of Chief Financial Officer pursuant to Securities Exchange Act Rules 13a-</w:t>
              </w:r>
            </w:hyperlink>
          </w:p>
        </w:tc>
        <w:tc>
          <w:tcPr>
            <w:tcW w:w="2760" w:type="dxa"/>
            <w:vAlign w:val="bottom"/>
            <w:tcBorders>
              <w:right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940" w:type="dxa"/>
            <w:vAlign w:val="bottom"/>
            <w:gridSpan w:val="7"/>
            <w:shd w:val="clear" w:color="auto" w:fill="0000FF"/>
          </w:tcPr>
          <w:p>
            <w:pPr>
              <w:spacing w:after="0" w:line="20" w:lineRule="exact"/>
              <w:rPr>
                <w:sz w:val="1"/>
                <w:szCs w:val="1"/>
                <w:color w:val="auto"/>
              </w:rPr>
            </w:pPr>
          </w:p>
        </w:tc>
        <w:tc>
          <w:tcPr>
            <w:tcW w:w="280" w:type="dxa"/>
            <w:vAlign w:val="bottom"/>
            <w:gridSpan w:val="4"/>
            <w:shd w:val="clear" w:color="auto" w:fill="CCEEFF"/>
          </w:tcPr>
          <w:p>
            <w:pPr>
              <w:spacing w:after="0" w:line="20" w:lineRule="exact"/>
              <w:rPr>
                <w:sz w:val="1"/>
                <w:szCs w:val="1"/>
                <w:color w:val="auto"/>
              </w:rPr>
            </w:pPr>
          </w:p>
        </w:tc>
        <w:tc>
          <w:tcPr>
            <w:tcW w:w="100" w:type="dxa"/>
            <w:vAlign w:val="bottom"/>
            <w:tcBorders>
              <w:right w:val="single" w:sz="8" w:color="auto"/>
            </w:tcBorders>
            <w:gridSpan w:val="3"/>
            <w:shd w:val="clear" w:color="auto" w:fill="CCEEFF"/>
          </w:tcPr>
          <w:p>
            <w:pPr>
              <w:spacing w:after="0" w:line="20" w:lineRule="exact"/>
              <w:rPr>
                <w:sz w:val="1"/>
                <w:szCs w:val="1"/>
                <w:color w:val="auto"/>
              </w:rPr>
            </w:pPr>
          </w:p>
        </w:tc>
        <w:tc>
          <w:tcPr>
            <w:tcW w:w="276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6680" w:type="dxa"/>
            <w:vAlign w:val="bottom"/>
            <w:tcBorders>
              <w:bottom w:val="single" w:sz="8" w:color="auto"/>
              <w:right w:val="single" w:sz="8" w:color="auto"/>
            </w:tcBorders>
            <w:gridSpan w:val="16"/>
            <w:shd w:val="clear" w:color="auto" w:fill="CCEEFF"/>
          </w:tcPr>
          <w:p>
            <w:pPr>
              <w:spacing w:after="0" w:line="156" w:lineRule="exact"/>
              <w:rPr>
                <w:rFonts w:ascii="Arial" w:cs="Arial" w:eastAsia="Arial" w:hAnsi="Arial"/>
                <w:sz w:val="18"/>
                <w:szCs w:val="18"/>
                <w:color w:val="0000FF"/>
                <w:w w:val="92"/>
              </w:rPr>
            </w:pPr>
            <w:hyperlink w:anchor="page72">
              <w:r>
                <w:rPr>
                  <w:rFonts w:ascii="Arial" w:cs="Arial" w:eastAsia="Arial" w:hAnsi="Arial"/>
                  <w:sz w:val="18"/>
                  <w:szCs w:val="18"/>
                  <w:color w:val="0000FF"/>
                  <w:w w:val="92"/>
                </w:rPr>
                <w:t>14(a)/15(d)-14(a), as adopted pursuant to Section 302 of the Sarbanes-Oxley Act of 2002.</w:t>
              </w:r>
            </w:hyperlink>
          </w:p>
        </w:tc>
        <w:tc>
          <w:tcPr>
            <w:tcW w:w="276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32.1</w:t>
            </w:r>
          </w:p>
        </w:tc>
        <w:tc>
          <w:tcPr>
            <w:tcW w:w="6680" w:type="dxa"/>
            <w:vAlign w:val="bottom"/>
            <w:tcBorders>
              <w:right w:val="single" w:sz="8" w:color="auto"/>
            </w:tcBorders>
            <w:gridSpan w:val="16"/>
          </w:tcPr>
          <w:p>
            <w:pPr>
              <w:spacing w:after="0" w:line="182" w:lineRule="exact"/>
              <w:rPr>
                <w:rFonts w:ascii="Arial" w:cs="Arial" w:eastAsia="Arial" w:hAnsi="Arial"/>
                <w:sz w:val="18"/>
                <w:szCs w:val="18"/>
                <w:color w:val="0000FF"/>
                <w:w w:val="95"/>
              </w:rPr>
            </w:pPr>
            <w:hyperlink w:anchor="page73">
              <w:r>
                <w:rPr>
                  <w:rFonts w:ascii="Arial" w:cs="Arial" w:eastAsia="Arial" w:hAnsi="Arial"/>
                  <w:sz w:val="18"/>
                  <w:szCs w:val="18"/>
                  <w:color w:val="0000FF"/>
                  <w:w w:val="95"/>
                </w:rPr>
                <w:t>Certification pursuant to 18 U.S.C. Section 1350, as adopted pursuant to Section 906 of</w:t>
              </w:r>
            </w:hyperlink>
          </w:p>
        </w:tc>
        <w:tc>
          <w:tcPr>
            <w:tcW w:w="27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5"/>
        </w:trPr>
        <w:tc>
          <w:tcPr>
            <w:tcW w:w="1820" w:type="dxa"/>
            <w:vAlign w:val="bottom"/>
            <w:tcBorders>
              <w:left w:val="single" w:sz="8" w:color="auto"/>
              <w:right w:val="single" w:sz="8" w:color="auto"/>
            </w:tcBorders>
          </w:tcPr>
          <w:p>
            <w:pPr>
              <w:spacing w:after="0"/>
              <w:rPr>
                <w:sz w:val="13"/>
                <w:szCs w:val="13"/>
                <w:color w:val="auto"/>
              </w:rPr>
            </w:pPr>
          </w:p>
        </w:tc>
        <w:tc>
          <w:tcPr>
            <w:tcW w:w="65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the Sarbanes-Oxley Act of 2002.</w:t>
              </w:r>
            </w:hyperlink>
          </w:p>
        </w:tc>
        <w:tc>
          <w:tcPr>
            <w:tcW w:w="100" w:type="dxa"/>
            <w:vAlign w:val="bottom"/>
            <w:tcBorders>
              <w:right w:val="single" w:sz="8" w:color="auto"/>
            </w:tcBorders>
            <w:gridSpan w:val="3"/>
          </w:tcPr>
          <w:p>
            <w:pPr>
              <w:spacing w:after="0"/>
              <w:rPr>
                <w:sz w:val="13"/>
                <w:szCs w:val="13"/>
                <w:color w:val="auto"/>
              </w:rPr>
            </w:pPr>
          </w:p>
        </w:tc>
        <w:tc>
          <w:tcPr>
            <w:tcW w:w="2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101.INS</w:t>
            </w:r>
          </w:p>
        </w:tc>
        <w:tc>
          <w:tcPr>
            <w:tcW w:w="6680" w:type="dxa"/>
            <w:vAlign w:val="bottom"/>
            <w:tcBorders>
              <w:right w:val="single" w:sz="8" w:color="auto"/>
            </w:tcBorders>
            <w:gridSpan w:val="16"/>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7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The instance document does not</w:t>
            </w:r>
          </w:p>
        </w:tc>
        <w:tc>
          <w:tcPr>
            <w:tcW w:w="0" w:type="dxa"/>
            <w:vAlign w:val="bottom"/>
          </w:tcPr>
          <w:p>
            <w:pPr>
              <w:spacing w:after="0"/>
              <w:rPr>
                <w:sz w:val="1"/>
                <w:szCs w:val="1"/>
                <w:color w:val="auto"/>
              </w:rPr>
            </w:pPr>
          </w:p>
        </w:tc>
      </w:tr>
      <w:tr>
        <w:trPr>
          <w:trHeight w:val="40"/>
        </w:trPr>
        <w:tc>
          <w:tcPr>
            <w:tcW w:w="1820" w:type="dxa"/>
            <w:vAlign w:val="bottom"/>
            <w:tcBorders>
              <w:left w:val="single" w:sz="8" w:color="auto"/>
              <w:right w:val="single" w:sz="8" w:color="auto"/>
            </w:tcBorders>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tcBorders>
              <w:right w:val="single" w:sz="8" w:color="auto"/>
            </w:tcBorders>
            <w:shd w:val="clear" w:color="auto" w:fill="CCEEFF"/>
          </w:tcPr>
          <w:p>
            <w:pPr>
              <w:spacing w:after="0"/>
              <w:rPr>
                <w:sz w:val="3"/>
                <w:szCs w:val="3"/>
                <w:color w:val="auto"/>
              </w:rPr>
            </w:pPr>
          </w:p>
        </w:tc>
        <w:tc>
          <w:tcPr>
            <w:tcW w:w="276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760" w:type="dxa"/>
            <w:vAlign w:val="bottom"/>
            <w:tcBorders>
              <w:right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appear in the Interactive Data File</w:t>
            </w:r>
          </w:p>
        </w:tc>
        <w:tc>
          <w:tcPr>
            <w:tcW w:w="0" w:type="dxa"/>
            <w:vAlign w:val="bottom"/>
          </w:tcPr>
          <w:p>
            <w:pPr>
              <w:spacing w:after="0"/>
              <w:rPr>
                <w:sz w:val="1"/>
                <w:szCs w:val="1"/>
                <w:color w:val="auto"/>
              </w:rPr>
            </w:pPr>
          </w:p>
        </w:tc>
      </w:tr>
      <w:tr>
        <w:trPr>
          <w:trHeight w:val="175"/>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760" w:type="dxa"/>
            <w:vAlign w:val="bottom"/>
            <w:tcBorders>
              <w:right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because its XBRL tags are embedded</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right w:val="single" w:sz="8" w:color="auto"/>
            </w:tcBorders>
            <w:shd w:val="clear" w:color="auto" w:fill="CCEEFF"/>
          </w:tcPr>
          <w:p>
            <w:pPr>
              <w:spacing w:after="0"/>
              <w:rPr>
                <w:sz w:val="20"/>
                <w:szCs w:val="20"/>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68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right w:val="single" w:sz="8" w:color="auto"/>
            </w:tcBorders>
            <w:shd w:val="clear" w:color="auto" w:fill="CCEEFF"/>
          </w:tcPr>
          <w:p>
            <w:pPr>
              <w:spacing w:after="0"/>
              <w:rPr>
                <w:sz w:val="6"/>
                <w:szCs w:val="6"/>
                <w:color w:val="auto"/>
              </w:rPr>
            </w:pPr>
          </w:p>
        </w:tc>
        <w:tc>
          <w:tcPr>
            <w:tcW w:w="276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101.SCH</w:t>
            </w:r>
          </w:p>
        </w:tc>
        <w:tc>
          <w:tcPr>
            <w:tcW w:w="66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101.CAL</w:t>
            </w:r>
          </w:p>
        </w:tc>
        <w:tc>
          <w:tcPr>
            <w:tcW w:w="6680" w:type="dxa"/>
            <w:vAlign w:val="bottom"/>
            <w:tcBorders>
              <w:bottom w:val="single" w:sz="8" w:color="auto"/>
              <w:right w:val="single" w:sz="8" w:color="auto"/>
            </w:tcBorders>
            <w:gridSpan w:val="16"/>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101.LAB</w:t>
            </w:r>
          </w:p>
        </w:tc>
        <w:tc>
          <w:tcPr>
            <w:tcW w:w="66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18"/>
                <w:szCs w:val="18"/>
                <w:color w:val="auto"/>
              </w:rPr>
              <w:t>XBRL Taxonomy Extension Label Linkbase Document</w:t>
            </w: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101.PRE</w:t>
            </w:r>
          </w:p>
        </w:tc>
        <w:tc>
          <w:tcPr>
            <w:tcW w:w="6680" w:type="dxa"/>
            <w:vAlign w:val="bottom"/>
            <w:tcBorders>
              <w:bottom w:val="single" w:sz="8" w:color="auto"/>
              <w:right w:val="single" w:sz="8" w:color="auto"/>
            </w:tcBorders>
            <w:gridSpan w:val="16"/>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101.DEF</w:t>
            </w:r>
          </w:p>
        </w:tc>
        <w:tc>
          <w:tcPr>
            <w:tcW w:w="66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right w:val="single" w:sz="8" w:color="auto"/>
            </w:tcBorders>
            <w:shd w:val="clear" w:color="auto" w:fill="CCEEFF"/>
          </w:tcPr>
          <w:p>
            <w:pPr>
              <w:ind w:left="140"/>
              <w:spacing w:after="0" w:line="169" w:lineRule="exact"/>
              <w:rPr>
                <w:sz w:val="20"/>
                <w:szCs w:val="20"/>
                <w:color w:val="auto"/>
              </w:rPr>
            </w:pPr>
            <w:r>
              <w:rPr>
                <w:rFonts w:ascii="Arial" w:cs="Arial" w:eastAsia="Arial" w:hAnsi="Arial"/>
                <w:sz w:val="18"/>
                <w:szCs w:val="18"/>
                <w:color w:val="auto"/>
              </w:rPr>
              <w:t>104</w:t>
            </w:r>
          </w:p>
        </w:tc>
        <w:tc>
          <w:tcPr>
            <w:tcW w:w="6680" w:type="dxa"/>
            <w:vAlign w:val="bottom"/>
            <w:tcBorders>
              <w:right w:val="single" w:sz="8" w:color="auto"/>
            </w:tcBorders>
            <w:gridSpan w:val="16"/>
            <w:shd w:val="clear" w:color="auto" w:fill="CCEEFF"/>
          </w:tcPr>
          <w:p>
            <w:pPr>
              <w:spacing w:after="0" w:line="169" w:lineRule="exact"/>
              <w:rPr>
                <w:sz w:val="20"/>
                <w:szCs w:val="20"/>
                <w:color w:val="auto"/>
              </w:rPr>
            </w:pPr>
            <w:r>
              <w:rPr>
                <w:rFonts w:ascii="Arial" w:cs="Arial" w:eastAsia="Arial" w:hAnsi="Arial"/>
                <w:sz w:val="18"/>
                <w:szCs w:val="18"/>
                <w:color w:val="auto"/>
                <w:w w:val="94"/>
              </w:rPr>
              <w:t>Cover Page Interactive Data File (embedded within the Inline XBRL document contained</w:t>
            </w:r>
          </w:p>
        </w:tc>
        <w:tc>
          <w:tcPr>
            <w:tcW w:w="2760" w:type="dxa"/>
            <w:vAlign w:val="bottom"/>
            <w:tcBorders>
              <w:right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6680" w:type="dxa"/>
            <w:vAlign w:val="bottom"/>
            <w:tcBorders>
              <w:bottom w:val="single" w:sz="8" w:color="auto"/>
              <w:right w:val="single" w:sz="8" w:color="auto"/>
            </w:tcBorders>
            <w:gridSpan w:val="16"/>
            <w:shd w:val="clear" w:color="auto" w:fill="CCEEFF"/>
          </w:tcPr>
          <w:p>
            <w:pPr>
              <w:spacing w:after="0"/>
              <w:rPr>
                <w:sz w:val="20"/>
                <w:szCs w:val="20"/>
                <w:color w:val="auto"/>
              </w:rPr>
            </w:pPr>
            <w:r>
              <w:rPr>
                <w:rFonts w:ascii="Arial" w:cs="Arial" w:eastAsia="Arial" w:hAnsi="Arial"/>
                <w:sz w:val="18"/>
                <w:szCs w:val="18"/>
                <w:color w:val="auto"/>
              </w:rPr>
              <w:t>in Exhibit 101)</w:t>
            </w:r>
          </w:p>
        </w:tc>
        <w:tc>
          <w:tcPr>
            <w:tcW w:w="27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360" w:right="40" w:hanging="334"/>
        <w:spacing w:after="0" w:line="224" w:lineRule="auto"/>
        <w:tabs>
          <w:tab w:leader="none" w:pos="1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pursuance to Item 601(a)(5) of Regulation S-K because such schedules and exhibits do not contain information which is material to an investment decision or which is not otherwise disclosed in the filed agreements. The Company will furnish the omitted schedules and exhibits to the SEC upon request by the SEC.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20"/>
        <w:spacing w:after="0"/>
        <w:tabs>
          <w:tab w:leader="none" w:pos="4200" w:val="left"/>
          <w:tab w:leader="none" w:pos="4660" w:val="left"/>
        </w:tabs>
        <w:rPr>
          <w:sz w:val="20"/>
          <w:szCs w:val="20"/>
          <w:color w:val="auto"/>
        </w:rPr>
      </w:pPr>
      <w:r>
        <w:rPr>
          <w:rFonts w:ascii="Arial" w:cs="Arial" w:eastAsia="Arial" w:hAnsi="Arial"/>
          <w:sz w:val="18"/>
          <w:szCs w:val="18"/>
          <w:color w:val="auto"/>
        </w:rPr>
        <w:t>Dated: October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36175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Karen J. Dearing, Chief Financial Officer and Secretary</w:t>
      </w:r>
    </w:p>
    <w:p>
      <w:pPr>
        <w:ind w:left="46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364"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7"/>
          <w:szCs w:val="17"/>
          <w:b w:val="1"/>
          <w:bCs w:val="1"/>
          <w:color w:val="auto"/>
        </w:rPr>
        <w:t>ist of Issuers of Guaranteed Securities</w:t>
      </w:r>
    </w:p>
    <w:p>
      <w:pPr>
        <w:spacing w:after="0" w:line="2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October 26, 2021, Sun Communities Operating Limited Partnership was the issuer of the debt instruments indicated below guaranteed by Sun Communities, Inc.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Debt Instrument</w:t>
            </w:r>
          </w:p>
        </w:tc>
        <w:tc>
          <w:tcPr>
            <w:tcW w:w="4920" w:type="dxa"/>
            <w:vAlign w:val="bottom"/>
            <w:gridSpan w:val="2"/>
          </w:tcPr>
          <w:p>
            <w:pPr>
              <w:ind w:left="20"/>
              <w:spacing w:after="0"/>
              <w:rPr>
                <w:sz w:val="20"/>
                <w:szCs w:val="20"/>
                <w:color w:val="auto"/>
              </w:rPr>
            </w:pPr>
            <w:r>
              <w:rPr>
                <w:rFonts w:ascii="Arial" w:cs="Arial" w:eastAsia="Arial" w:hAnsi="Arial"/>
                <w:sz w:val="18"/>
                <w:szCs w:val="18"/>
                <w:b w:val="1"/>
                <w:bCs w:val="1"/>
                <w:color w:val="auto"/>
              </w:rPr>
              <w:t>Issuer</w:t>
            </w: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Jurisdiction of Organization</w:t>
            </w: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2.7% Senior Notes due 2031</w:t>
            </w:r>
          </w:p>
        </w:tc>
        <w:tc>
          <w:tcPr>
            <w:tcW w:w="8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Sun Communities Operating Limited Partnership</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2.3% Senior Notes due 2028</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Sun Communities Operating Limited Partnership</w:t>
            </w:r>
          </w:p>
        </w:tc>
        <w:tc>
          <w:tcPr>
            <w:tcW w:w="3040" w:type="dxa"/>
            <w:vAlign w:val="bottom"/>
          </w:tcPr>
          <w:p>
            <w:pPr>
              <w:ind w:left="20"/>
              <w:spacing w:after="0"/>
              <w:rPr>
                <w:sz w:val="20"/>
                <w:szCs w:val="20"/>
                <w:color w:val="auto"/>
              </w:rPr>
            </w:pPr>
            <w:r>
              <w:rPr>
                <w:rFonts w:ascii="Arial" w:cs="Arial" w:eastAsia="Arial" w:hAnsi="Arial"/>
                <w:sz w:val="18"/>
                <w:szCs w:val="18"/>
                <w:color w:val="auto"/>
              </w:rPr>
              <w:t>Michigan</w:t>
            </w:r>
          </w:p>
        </w:tc>
      </w:tr>
    </w:tbl>
    <w:p>
      <w:pPr>
        <w:sectPr>
          <w:pgSz w:w="11900" w:h="16838" w:orient="portrait"/>
          <w:cols w:equalWidth="0" w:num="1">
            <w:col w:w="11240"/>
          </w:cols>
          <w:pgMar w:left="320" w:top="140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Gary A. Shiffman, certify that:</w:t>
      </w:r>
    </w:p>
    <w:p>
      <w:pPr>
        <w:spacing w:after="0" w:line="252"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4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right="20" w:hanging="323"/>
        <w:spacing w:after="0" w:line="263" w:lineRule="auto"/>
        <w:tabs>
          <w:tab w:leader="none" w:pos="1083"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323"/>
        <w:spacing w:after="0" w:line="263" w:lineRule="auto"/>
        <w:tabs>
          <w:tab w:leader="none" w:pos="112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323"/>
        <w:spacing w:after="0" w:line="342" w:lineRule="auto"/>
        <w:tabs>
          <w:tab w:leader="none" w:pos="114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323"/>
        <w:spacing w:after="0" w:line="263" w:lineRule="auto"/>
        <w:tabs>
          <w:tab w:leader="none" w:pos="11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3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hanging="323"/>
        <w:spacing w:after="0" w:line="308" w:lineRule="auto"/>
        <w:tabs>
          <w:tab w:leader="none" w:pos="1206" w:val="left"/>
        </w:tabs>
        <w:numPr>
          <w:ilvl w:val="2"/>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hanging="323"/>
        <w:spacing w:after="0" w:line="277" w:lineRule="auto"/>
        <w:tabs>
          <w:tab w:leader="none" w:pos="1157"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00"/>
        <w:spacing w:after="0"/>
        <w:tabs>
          <w:tab w:leader="none" w:pos="4440" w:val="left"/>
        </w:tabs>
        <w:rPr>
          <w:sz w:val="20"/>
          <w:szCs w:val="20"/>
          <w:color w:val="auto"/>
        </w:rPr>
      </w:pPr>
      <w:r>
        <w:rPr>
          <w:rFonts w:ascii="Arial" w:cs="Arial" w:eastAsia="Arial" w:hAnsi="Arial"/>
          <w:sz w:val="18"/>
          <w:szCs w:val="18"/>
          <w:color w:val="auto"/>
        </w:rPr>
        <w:t>Dated: October 26, 2021</w:t>
      </w:r>
      <w:r>
        <w:rPr>
          <w:sz w:val="20"/>
          <w:szCs w:val="20"/>
          <w:color w:val="auto"/>
        </w:rPr>
        <w:tab/>
      </w:r>
      <w:r>
        <w:rPr>
          <w:rFonts w:ascii="Arial" w:cs="Arial" w:eastAsia="Arial" w:hAnsi="Arial"/>
          <w:sz w:val="16"/>
          <w:szCs w:val="16"/>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14605</wp:posOffset>
            </wp:positionV>
            <wp:extent cx="36518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Gary A. Shiffman, Chief Executive Officer</w:t>
      </w:r>
    </w:p>
    <w:p>
      <w:pPr>
        <w:sectPr>
          <w:pgSz w:w="11900" w:h="16838" w:orient="portrait"/>
          <w:cols w:equalWidth="0" w:num="1">
            <w:col w:w="11240"/>
          </w:cols>
          <w:pgMar w:left="320" w:top="89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Karen J. Dearing, certify that:</w:t>
      </w:r>
    </w:p>
    <w:p>
      <w:pPr>
        <w:spacing w:after="0" w:line="252"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4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right="20" w:hanging="323"/>
        <w:spacing w:after="0" w:line="263" w:lineRule="auto"/>
        <w:tabs>
          <w:tab w:leader="none" w:pos="108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323"/>
        <w:spacing w:after="0" w:line="263" w:lineRule="auto"/>
        <w:tabs>
          <w:tab w:leader="none" w:pos="112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right="20" w:hanging="323"/>
        <w:spacing w:after="0" w:line="342" w:lineRule="auto"/>
        <w:tabs>
          <w:tab w:leader="none" w:pos="1142"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323"/>
        <w:spacing w:after="0" w:line="263" w:lineRule="auto"/>
        <w:tabs>
          <w:tab w:leader="none" w:pos="114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hanging="323"/>
        <w:spacing w:after="0" w:line="308" w:lineRule="auto"/>
        <w:tabs>
          <w:tab w:leader="none" w:pos="1206" w:val="left"/>
        </w:tabs>
        <w:numPr>
          <w:ilvl w:val="2"/>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right="20" w:hanging="323"/>
        <w:spacing w:after="0" w:line="277" w:lineRule="auto"/>
        <w:tabs>
          <w:tab w:leader="none" w:pos="1152"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18"/>
          <w:szCs w:val="18"/>
          <w:color w:val="auto"/>
        </w:rPr>
        <w:t>Dated: October 26, 2021</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5833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Karen J. Dearing, Chief Financial Officer</w:t>
      </w:r>
    </w:p>
    <w:p>
      <w:pPr>
        <w:sectPr>
          <w:pgSz w:w="11900" w:h="16838" w:orient="portrait"/>
          <w:cols w:equalWidth="0" w:num="1">
            <w:col w:w="11240"/>
          </w:cols>
          <w:pgMar w:left="320" w:top="773"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Under 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officers, Gary A. Shiffman and Karen J. Dearing, hereby certify that to the best of their knowledge: (a) this Quarterly Report on Form 10-Q of Sun Communities, Inc., for the period ended September 30, 2021,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6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Gary A. Shiffman</w:t>
            </w:r>
          </w:p>
        </w:tc>
        <w:tc>
          <w:tcPr>
            <w:tcW w:w="2700" w:type="dxa"/>
            <w:vAlign w:val="bottom"/>
            <w:gridSpan w:val="3"/>
          </w:tcPr>
          <w:p>
            <w:pPr>
              <w:jc w:val="center"/>
              <w:ind w:left="1350"/>
              <w:spacing w:after="0"/>
              <w:rPr>
                <w:sz w:val="20"/>
                <w:szCs w:val="20"/>
                <w:color w:val="auto"/>
              </w:rPr>
            </w:pPr>
            <w:r>
              <w:rPr>
                <w:rFonts w:ascii="Arial" w:cs="Arial" w:eastAsia="Arial" w:hAnsi="Arial"/>
                <w:sz w:val="18"/>
                <w:szCs w:val="18"/>
                <w:color w:val="auto"/>
                <w:w w:val="90"/>
              </w:rPr>
              <w:t>October 26, 2021</w:t>
            </w:r>
          </w:p>
        </w:tc>
      </w:tr>
      <w:tr>
        <w:trPr>
          <w:trHeight w:val="224"/>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Gary A. Shiffman, Chief Executive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99"/>
        </w:trPr>
        <w:tc>
          <w:tcPr>
            <w:tcW w:w="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Karen J. Dearing</w:t>
            </w:r>
          </w:p>
        </w:tc>
        <w:tc>
          <w:tcPr>
            <w:tcW w:w="2700" w:type="dxa"/>
            <w:vAlign w:val="bottom"/>
            <w:gridSpan w:val="3"/>
          </w:tcPr>
          <w:p>
            <w:pPr>
              <w:jc w:val="center"/>
              <w:ind w:left="1350"/>
              <w:spacing w:after="0"/>
              <w:rPr>
                <w:sz w:val="20"/>
                <w:szCs w:val="20"/>
                <w:color w:val="auto"/>
              </w:rPr>
            </w:pPr>
            <w:r>
              <w:rPr>
                <w:rFonts w:ascii="Arial" w:cs="Arial" w:eastAsia="Arial" w:hAnsi="Arial"/>
                <w:sz w:val="18"/>
                <w:szCs w:val="18"/>
                <w:color w:val="auto"/>
                <w:w w:val="90"/>
              </w:rPr>
              <w:t>October 26, 2021</w:t>
            </w:r>
          </w:p>
        </w:tc>
      </w:tr>
      <w:tr>
        <w:trPr>
          <w:trHeight w:val="224"/>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Karen J. Dearing, Chief Financial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240"/>
      </w:cols>
      <w:pgMar w:left="320" w:top="6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3"/>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lvl w:ilvl="1">
      <w:lvlJc w:val="left"/>
      <w:lvlText w:val="/"/>
      <w:numFmt w:val="bullet"/>
      <w:start w:val="1"/>
    </w:lvl>
  </w:abstractNum>
  <w:abstractNum w:abstractNumId="10">
    <w:nsid w:val="2CA88611"/>
    <w:multiLevelType w:val="hybridMultilevel"/>
    <w:lvl w:ilvl="0">
      <w:lvlJc w:val="left"/>
      <w:lvlText w:val="%1."/>
      <w:numFmt w:val="decimal"/>
      <w:start w:val="4"/>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6"/>
    </w:lvl>
  </w:abstractNum>
  <w:abstractNum w:abstractNumId="14">
    <w:nsid w:val="8138641"/>
    <w:multiLevelType w:val="hybridMultilevel"/>
    <w:lvl w:ilvl="0">
      <w:lvlJc w:val="left"/>
      <w:lvlText w:val="%1."/>
      <w:numFmt w:val="decimal"/>
      <w:start w:val="7"/>
    </w:lvl>
  </w:abstractNum>
  <w:abstractNum w:abstractNumId="15">
    <w:nsid w:val="1E7FF521"/>
    <w:multiLevelType w:val="hybridMultilevel"/>
    <w:lvl w:ilvl="0">
      <w:lvlJc w:val="left"/>
      <w:lvlText w:val="%1."/>
      <w:numFmt w:val="decimal"/>
      <w:start w:val="8"/>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9"/>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0"/>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2"/>
    </w:lvl>
  </w:abstractNum>
  <w:abstractNum w:abstractNumId="27">
    <w:nsid w:val="3804823E"/>
    <w:multiLevelType w:val="hybridMultilevel"/>
    <w:lvl w:ilvl="0">
      <w:lvlJc w:val="left"/>
      <w:lvlText w:val="%1."/>
      <w:numFmt w:val="decimal"/>
      <w:start w:val="13"/>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4"/>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7"/>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84" Type="http://schemas.openxmlformats.org/officeDocument/2006/relationships/hyperlink" Target="http://www.sec.gov/Archives/edgar/data/912593/000091259318000049/exhibit31-suncommunitiesin.htm" TargetMode="External"/><Relationship Id="rId85" Type="http://schemas.openxmlformats.org/officeDocument/2006/relationships/hyperlink" Target="http://www.sec.gov/Archives/edgar/data/912593/000091259317000078/exhibit31-thirdamendedandr.htm" TargetMode="External"/><Relationship Id="rId86" Type="http://schemas.openxmlformats.org/officeDocument/2006/relationships/hyperlink" Target="https://www.sec.gov/Archives/edgar/data/912593/000091259321000200/0000912593-21-000200-index.htm" TargetMode="External"/><Relationship Id="rId87" Type="http://schemas.openxmlformats.org/officeDocument/2006/relationships/hyperlink" Target="https://www.sec.gov/Archives/edgar/data/912593/000091259321000173/0000912593-21-000173-index.htm" TargetMode="External"/><Relationship Id="rId88" Type="http://schemas.openxmlformats.org/officeDocument/2006/relationships/hyperlink" Target="https://www.sec.gov/Archives/edgar/data/912593/000091259321000211/0000912593-21-000211-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2021-10-26T13:27:03Z</dcterms:created>
  <dcterms:modified xsi:type="dcterms:W3CDTF">2021-10-26T13:27:03Z</dcterms:modified>
</cp:coreProperties>
</file>