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260" w:hanging="204"/>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w:t>
      </w:r>
    </w:p>
    <w:p>
      <w:pPr>
        <w:spacing w:after="0" w:line="40" w:lineRule="exact"/>
        <w:rPr>
          <w:rFonts w:ascii="MS PGothic" w:cs="MS PGothic" w:eastAsia="MS PGothic" w:hAnsi="MS PGothic"/>
          <w:sz w:val="17"/>
          <w:szCs w:val="17"/>
          <w:color w:val="auto"/>
        </w:rPr>
      </w:pPr>
    </w:p>
    <w:p>
      <w:pPr>
        <w:ind w:left="46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ended September 30, 2019.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620" w:hanging="211"/>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SUN COMMUNITIES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9" w:right="2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jc w:val="center"/>
        <w:ind w:left="6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38-2730780</w:t>
      </w:r>
    </w:p>
    <w:p>
      <w:pPr>
        <w:spacing w:after="0" w:line="90" w:lineRule="exact"/>
        <w:rPr>
          <w:sz w:val="24"/>
          <w:szCs w:val="24"/>
          <w:color w:val="auto"/>
        </w:rPr>
      </w:pPr>
    </w:p>
    <w:p>
      <w:pPr>
        <w:sectPr>
          <w:pgSz w:w="11900" w:h="16838" w:orient="portrait"/>
          <w:cols w:equalWidth="0" w:num="3">
            <w:col w:w="4680" w:space="720"/>
            <w:col w:w="2220" w:space="720"/>
            <w:col w:w="3080"/>
          </w:cols>
          <w:pgMar w:left="240" w:top="769" w:right="239"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100" w:space="720"/>
            <w:col w:w="1940" w:space="720"/>
            <w:col w:w="3940"/>
          </w:cols>
          <w:pgMar w:left="240" w:top="769" w:right="239" w:bottom="1440" w:gutter="0" w:footer="0" w:header="0"/>
          <w:type w:val="continuous"/>
        </w:sectPr>
      </w:pPr>
    </w:p>
    <w:p>
      <w:pPr>
        <w:spacing w:after="0" w:line="17" w:lineRule="exact"/>
        <w:rPr>
          <w:sz w:val="24"/>
          <w:szCs w:val="24"/>
          <w:color w:val="auto"/>
        </w:rPr>
      </w:pPr>
    </w:p>
    <w:p>
      <w:pPr>
        <w:ind w:left="1200"/>
        <w:spacing w:after="0"/>
        <w:rPr>
          <w:sz w:val="20"/>
          <w:szCs w:val="20"/>
          <w:color w:val="auto"/>
        </w:rPr>
      </w:pPr>
      <w:r>
        <w:rPr>
          <w:rFonts w:ascii="Arial" w:cs="Arial" w:eastAsia="Arial" w:hAnsi="Arial"/>
          <w:sz w:val="17"/>
          <w:szCs w:val="17"/>
          <w:b w:val="1"/>
          <w:bCs w:val="1"/>
          <w:color w:val="auto"/>
        </w:rPr>
        <w:t>27777 Franklin Rd, Suite 200, Southfield,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48034</w:t>
      </w:r>
    </w:p>
    <w:p>
      <w:pPr>
        <w:spacing w:after="0" w:line="101" w:lineRule="exact"/>
        <w:rPr>
          <w:sz w:val="24"/>
          <w:szCs w:val="24"/>
          <w:color w:val="auto"/>
        </w:rPr>
      </w:pPr>
    </w:p>
    <w:p>
      <w:pPr>
        <w:sectPr>
          <w:pgSz w:w="11900" w:h="16838" w:orient="portrait"/>
          <w:cols w:equalWidth="0" w:num="2">
            <w:col w:w="7840" w:space="720"/>
            <w:col w:w="2860"/>
          </w:cols>
          <w:pgMar w:left="240" w:top="769"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60" w:space="720"/>
            <w:col w:w="3040"/>
          </w:cols>
          <w:pgMar w:left="240" w:top="769" w:right="239" w:bottom="1440" w:gutter="0" w:footer="0" w:header="0"/>
          <w:type w:val="continuous"/>
        </w:sectPr>
      </w:pP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5"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3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 Stock, $0.01 par value</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SUI</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420"/>
          </w:cols>
          <w:pgMar w:left="240" w:top="769" w:right="239" w:bottom="1440" w:gutter="0" w:footer="0" w:header="0"/>
          <w:type w:val="continuous"/>
        </w:sectPr>
      </w:pPr>
    </w:p>
    <w:p>
      <w:pPr>
        <w:spacing w:after="0" w:line="116" w:lineRule="exact"/>
        <w:rPr>
          <w:sz w:val="24"/>
          <w:szCs w:val="24"/>
          <w:color w:val="auto"/>
        </w:rPr>
      </w:pPr>
    </w:p>
    <w:p>
      <w:pP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53" w:lineRule="exact"/>
        <w:rPr>
          <w:sz w:val="24"/>
          <w:szCs w:val="24"/>
          <w:color w:val="auto"/>
        </w:rPr>
      </w:pPr>
    </w:p>
    <w:p>
      <w:pPr>
        <w:sectPr>
          <w:pgSz w:w="11900" w:h="16838" w:orient="portrait"/>
          <w:cols w:equalWidth="0" w:num="5">
            <w:col w:w="1800" w:space="480"/>
            <w:col w:w="1200" w:space="620"/>
            <w:col w:w="1540" w:space="620"/>
            <w:col w:w="1960" w:space="560"/>
            <w:col w:w="2640"/>
          </w:cols>
          <w:pgMar w:left="240" w:top="769" w:right="239" w:bottom="1440" w:gutter="0" w:footer="0" w:header="0"/>
          <w:type w:val="continuous"/>
        </w:sectPr>
      </w:pPr>
    </w:p>
    <w:p>
      <w:pPr>
        <w:ind w:left="9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center"/>
        <w:ind w:right="16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5">
            <w:col w:w="2080" w:space="720"/>
            <w:col w:w="1260" w:space="720"/>
            <w:col w:w="1660" w:space="720"/>
            <w:col w:w="1800" w:space="720"/>
            <w:col w:w="1740"/>
          </w:cols>
          <w:pgMar w:left="240" w:top="769" w:right="239" w:bottom="1440" w:gutter="0" w:footer="0" w:header="0"/>
          <w:type w:val="continuous"/>
        </w:sectPr>
      </w:pPr>
    </w:p>
    <w:p>
      <w:pPr>
        <w:spacing w:after="0" w:line="11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October 17, 2019: 90,687,618</w:t>
      </w:r>
    </w:p>
    <w:p>
      <w:pPr>
        <w:sectPr>
          <w:pgSz w:w="11900" w:h="16838" w:orient="portrait"/>
          <w:cols w:equalWidth="0" w:num="1">
            <w:col w:w="11420"/>
          </w:cols>
          <w:pgMar w:left="240" w:top="7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9"/>
          </w:tcPr>
          <w:p>
            <w:pPr>
              <w:ind w:left="16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2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00" w:type="dxa"/>
            <w:vAlign w:val="bottom"/>
            <w:gridSpan w:val="12"/>
          </w:tcPr>
          <w:p>
            <w:pPr>
              <w:jc w:val="center"/>
              <w:ind w:right="31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 FINANCIAL INFORMATION</w:t>
              </w:r>
            </w:hyperlink>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80" w:type="dxa"/>
            <w:vAlign w:val="bottom"/>
            <w:gridSpan w:val="3"/>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92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3160" w:type="dxa"/>
            <w:vAlign w:val="bottom"/>
            <w:tcBorders>
              <w:top w:val="single" w:sz="8" w:color="auto"/>
            </w:tcBorders>
            <w:gridSpan w:val="5"/>
          </w:tcPr>
          <w:p>
            <w:pPr>
              <w:spacing w:after="0"/>
              <w:rPr>
                <w:sz w:val="24"/>
                <w:szCs w:val="24"/>
                <w:color w:val="auto"/>
              </w:rPr>
            </w:pPr>
          </w:p>
        </w:tc>
        <w:tc>
          <w:tcPr>
            <w:tcW w:w="314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20" w:type="dxa"/>
            <w:vAlign w:val="bottom"/>
            <w:gridSpan w:val="19"/>
          </w:tcPr>
          <w:p>
            <w:pPr>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Balance Sheets as of </w:t>
              </w:r>
            </w:hyperlink>
            <w:r>
              <w:rPr>
                <w:rFonts w:ascii="Arial" w:cs="Arial" w:eastAsia="Arial" w:hAnsi="Arial"/>
                <w:sz w:val="18"/>
                <w:szCs w:val="18"/>
                <w:color w:val="auto"/>
              </w:rPr>
              <w:t>September 30, 2019 (Unaudited) and December 31, 2018</w:t>
            </w:r>
          </w:p>
        </w:tc>
        <w:tc>
          <w:tcPr>
            <w:tcW w:w="680" w:type="dxa"/>
            <w:vAlign w:val="bottom"/>
            <w:gridSpan w:val="3"/>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20" w:type="dxa"/>
            <w:vAlign w:val="bottom"/>
            <w:gridSpan w:val="19"/>
          </w:tcPr>
          <w:p>
            <w:pPr>
              <w:spacing w:after="0"/>
              <w:rPr>
                <w:rFonts w:ascii="Arial" w:cs="Arial" w:eastAsia="Arial" w:hAnsi="Arial"/>
                <w:sz w:val="18"/>
                <w:szCs w:val="18"/>
                <w:color w:val="auto"/>
                <w:w w:val="95"/>
              </w:rPr>
            </w:pPr>
            <w:hyperlink w:anchor="page4">
              <w:r>
                <w:rPr>
                  <w:rFonts w:ascii="Arial" w:cs="Arial" w:eastAsia="Arial" w:hAnsi="Arial"/>
                  <w:sz w:val="18"/>
                  <w:szCs w:val="18"/>
                  <w:color w:val="auto"/>
                  <w:w w:val="95"/>
                </w:rPr>
                <w:t xml:space="preserve">Consolidated Statements of Operations for the </w:t>
              </w:r>
            </w:hyperlink>
            <w:r>
              <w:rPr>
                <w:rFonts w:ascii="Arial" w:cs="Arial" w:eastAsia="Arial" w:hAnsi="Arial"/>
                <w:sz w:val="18"/>
                <w:szCs w:val="18"/>
                <w:color w:val="auto"/>
                <w:w w:val="95"/>
              </w:rPr>
              <w:t>Three and Nine Months Ended September 30, 2019 and 2018 (Unaudited)</w:t>
            </w:r>
          </w:p>
        </w:tc>
        <w:tc>
          <w:tcPr>
            <w:tcW w:w="680" w:type="dxa"/>
            <w:vAlign w:val="bottom"/>
            <w:gridSpan w:val="3"/>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2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89"/>
              </w:rPr>
              <w:t>Consolidated Statements of Comprehensive Income for the Three and Nine Months Ended September 30, 2019 and 2018</w:t>
            </w:r>
          </w:p>
        </w:tc>
        <w:tc>
          <w:tcPr>
            <w:tcW w:w="50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20" w:type="dxa"/>
            <w:vAlign w:val="bottom"/>
            <w:gridSpan w:val="19"/>
          </w:tcPr>
          <w:p>
            <w:pPr>
              <w:spacing w:after="0" w:line="196" w:lineRule="exact"/>
              <w:rPr>
                <w:sz w:val="20"/>
                <w:szCs w:val="20"/>
                <w:color w:val="auto"/>
              </w:rPr>
            </w:pPr>
            <w:r>
              <w:rPr>
                <w:rFonts w:ascii="Arial" w:cs="Arial" w:eastAsia="Arial" w:hAnsi="Arial"/>
                <w:sz w:val="18"/>
                <w:szCs w:val="18"/>
                <w:color w:val="auto"/>
              </w:rPr>
              <w:t>(Unaudited)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0" w:type="dxa"/>
            <w:vAlign w:val="bottom"/>
            <w:tcBorders>
              <w:bottom w:val="single" w:sz="8" w:color="auto"/>
            </w:tcBorders>
            <w:gridSpan w:val="15"/>
          </w:tcPr>
          <w:p>
            <w:pPr>
              <w:spacing w:after="0"/>
              <w:rPr>
                <w:rFonts w:ascii="Arial" w:cs="Arial" w:eastAsia="Arial" w:hAnsi="Arial"/>
                <w:sz w:val="18"/>
                <w:szCs w:val="18"/>
                <w:color w:val="auto"/>
                <w:w w:val="90"/>
              </w:rPr>
            </w:pPr>
            <w:hyperlink w:anchor="page6">
              <w:r>
                <w:rPr>
                  <w:rFonts w:ascii="Arial" w:cs="Arial" w:eastAsia="Arial" w:hAnsi="Arial"/>
                  <w:sz w:val="18"/>
                  <w:szCs w:val="18"/>
                  <w:color w:val="auto"/>
                  <w:w w:val="90"/>
                </w:rPr>
                <w:t xml:space="preserve">Consolidated Statements of Cash Flows for the </w:t>
              </w:r>
            </w:hyperlink>
            <w:r>
              <w:rPr>
                <w:rFonts w:ascii="Arial" w:cs="Arial" w:eastAsia="Arial" w:hAnsi="Arial"/>
                <w:sz w:val="18"/>
                <w:szCs w:val="18"/>
                <w:color w:val="auto"/>
                <w:w w:val="90"/>
              </w:rPr>
              <w:t>Nine Months Ended September 30, 2019 and 2018 (Unaudited)</w:t>
            </w:r>
          </w:p>
        </w:tc>
        <w:tc>
          <w:tcPr>
            <w:tcW w:w="1220" w:type="dxa"/>
            <w:vAlign w:val="bottom"/>
            <w:gridSpan w:val="4"/>
          </w:tcPr>
          <w:p>
            <w:pPr>
              <w:spacing w:after="0"/>
              <w:rPr>
                <w:sz w:val="21"/>
                <w:szCs w:val="21"/>
                <w:color w:val="auto"/>
              </w:rPr>
            </w:pPr>
          </w:p>
        </w:tc>
        <w:tc>
          <w:tcPr>
            <w:tcW w:w="58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20" w:type="dxa"/>
            <w:vAlign w:val="bottom"/>
            <w:gridSpan w:val="19"/>
          </w:tcPr>
          <w:p>
            <w:pPr>
              <w:spacing w:after="0"/>
              <w:rPr>
                <w:sz w:val="20"/>
                <w:szCs w:val="20"/>
                <w:color w:val="auto"/>
              </w:rPr>
            </w:pPr>
            <w:r>
              <w:rPr>
                <w:rFonts w:ascii="Arial" w:cs="Arial" w:eastAsia="Arial" w:hAnsi="Arial"/>
                <w:sz w:val="18"/>
                <w:szCs w:val="18"/>
                <w:color w:val="auto"/>
                <w:w w:val="99"/>
              </w:rPr>
              <w:t>Consolidated Statement of Equity for the Three and Nine Months Ended September 30, 2019 and 2018 (Unaudited)</w:t>
            </w:r>
          </w:p>
        </w:tc>
        <w:tc>
          <w:tcPr>
            <w:tcW w:w="680" w:type="dxa"/>
            <w:vAlign w:val="bottom"/>
            <w:gridSpan w:val="3"/>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320" w:type="dxa"/>
            <w:vAlign w:val="bottom"/>
            <w:tcBorders>
              <w:top w:val="single" w:sz="8" w:color="auto"/>
            </w:tcBorders>
            <w:gridSpan w:val="16"/>
          </w:tcPr>
          <w:p>
            <w:pPr>
              <w:spacing w:after="0"/>
              <w:rPr>
                <w:rFonts w:ascii="Arial" w:cs="Arial" w:eastAsia="Arial" w:hAnsi="Arial"/>
                <w:sz w:val="18"/>
                <w:szCs w:val="18"/>
                <w:color w:val="auto"/>
              </w:rPr>
            </w:pPr>
            <w:hyperlink w:anchor="page9">
              <w:r>
                <w:rPr>
                  <w:rFonts w:ascii="Arial" w:cs="Arial" w:eastAsia="Arial" w:hAnsi="Arial"/>
                  <w:sz w:val="18"/>
                  <w:szCs w:val="18"/>
                  <w:color w:val="auto"/>
                </w:rPr>
                <w:t>Notes to Consolidated Financial Statements</w:t>
              </w:r>
            </w:hyperlink>
          </w:p>
        </w:tc>
        <w:tc>
          <w:tcPr>
            <w:tcW w:w="900" w:type="dxa"/>
            <w:vAlign w:val="bottom"/>
            <w:gridSpan w:val="3"/>
          </w:tcPr>
          <w:p>
            <w:pPr>
              <w:spacing w:after="0"/>
              <w:rPr>
                <w:sz w:val="21"/>
                <w:szCs w:val="21"/>
                <w:color w:val="auto"/>
              </w:rPr>
            </w:pPr>
          </w:p>
        </w:tc>
        <w:tc>
          <w:tcPr>
            <w:tcW w:w="58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2.</w:t>
              </w:r>
            </w:hyperlink>
          </w:p>
        </w:tc>
        <w:tc>
          <w:tcPr>
            <w:tcW w:w="9220" w:type="dxa"/>
            <w:vAlign w:val="bottom"/>
            <w:gridSpan w:val="19"/>
          </w:tcPr>
          <w:p>
            <w:pPr>
              <w:spacing w:after="0"/>
              <w:rPr>
                <w:rFonts w:ascii="Arial" w:cs="Arial" w:eastAsia="Arial" w:hAnsi="Arial"/>
                <w:sz w:val="18"/>
                <w:szCs w:val="18"/>
                <w:color w:val="auto"/>
              </w:rPr>
            </w:pPr>
            <w:hyperlink w:anchor="page35">
              <w:r>
                <w:rPr>
                  <w:rFonts w:ascii="Arial" w:cs="Arial" w:eastAsia="Arial" w:hAnsi="Arial"/>
                  <w:sz w:val="18"/>
                  <w:szCs w:val="18"/>
                  <w:color w:val="auto"/>
                </w:rPr>
                <w:t>Management's Discussion and Analysis of Financial Condition and Results of Operations</w:t>
              </w:r>
            </w:hyperlink>
          </w:p>
        </w:tc>
        <w:tc>
          <w:tcPr>
            <w:tcW w:w="680" w:type="dxa"/>
            <w:vAlign w:val="bottom"/>
            <w:gridSpan w:val="3"/>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3.</w:t>
              </w:r>
            </w:hyperlink>
          </w:p>
        </w:tc>
        <w:tc>
          <w:tcPr>
            <w:tcW w:w="9220" w:type="dxa"/>
            <w:vAlign w:val="bottom"/>
            <w:gridSpan w:val="19"/>
          </w:tcPr>
          <w:p>
            <w:pPr>
              <w:spacing w:after="0"/>
              <w:rPr>
                <w:rFonts w:ascii="Arial" w:cs="Arial" w:eastAsia="Arial" w:hAnsi="Arial"/>
                <w:sz w:val="18"/>
                <w:szCs w:val="18"/>
                <w:color w:val="auto"/>
              </w:rPr>
            </w:pPr>
            <w:hyperlink w:anchor="page50">
              <w:r>
                <w:rPr>
                  <w:rFonts w:ascii="Arial" w:cs="Arial" w:eastAsia="Arial" w:hAnsi="Arial"/>
                  <w:sz w:val="18"/>
                  <w:szCs w:val="18"/>
                  <w:color w:val="auto"/>
                </w:rPr>
                <w:t>Quantitative and Qualitative Disclosures about Market Risk</w:t>
              </w:r>
            </w:hyperlink>
          </w:p>
        </w:tc>
        <w:tc>
          <w:tcPr>
            <w:tcW w:w="680" w:type="dxa"/>
            <w:vAlign w:val="bottom"/>
            <w:gridSpan w:val="3"/>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9220" w:type="dxa"/>
            <w:vAlign w:val="bottom"/>
            <w:gridSpan w:val="19"/>
          </w:tcPr>
          <w:p>
            <w:pPr>
              <w:spacing w:after="0"/>
              <w:rPr>
                <w:rFonts w:ascii="Arial" w:cs="Arial" w:eastAsia="Arial" w:hAnsi="Arial"/>
                <w:sz w:val="18"/>
                <w:szCs w:val="18"/>
                <w:color w:val="auto"/>
              </w:rPr>
            </w:pPr>
            <w:hyperlink w:anchor="page50">
              <w:r>
                <w:rPr>
                  <w:rFonts w:ascii="Arial" w:cs="Arial" w:eastAsia="Arial" w:hAnsi="Arial"/>
                  <w:sz w:val="18"/>
                  <w:szCs w:val="18"/>
                  <w:color w:val="auto"/>
                </w:rPr>
                <w:t>Controls and Procedures</w:t>
              </w:r>
            </w:hyperlink>
          </w:p>
        </w:tc>
        <w:tc>
          <w:tcPr>
            <w:tcW w:w="680" w:type="dxa"/>
            <w:vAlign w:val="bottom"/>
            <w:gridSpan w:val="3"/>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588"/>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00" w:type="dxa"/>
            <w:vAlign w:val="bottom"/>
            <w:gridSpan w:val="12"/>
          </w:tcPr>
          <w:p>
            <w:pPr>
              <w:jc w:val="center"/>
              <w:ind w:right="3120"/>
              <w:spacing w:after="0"/>
              <w:rPr>
                <w:rFonts w:ascii="Arial" w:cs="Arial" w:eastAsia="Arial" w:hAnsi="Arial"/>
                <w:sz w:val="18"/>
                <w:szCs w:val="18"/>
                <w:b w:val="1"/>
                <w:bCs w:val="1"/>
                <w:color w:val="auto"/>
              </w:rPr>
            </w:pPr>
            <w:hyperlink w:anchor="page51">
              <w:r>
                <w:rPr>
                  <w:rFonts w:ascii="Arial" w:cs="Arial" w:eastAsia="Arial" w:hAnsi="Arial"/>
                  <w:sz w:val="18"/>
                  <w:szCs w:val="18"/>
                  <w:b w:val="1"/>
                  <w:bCs w:val="1"/>
                  <w:color w:val="auto"/>
                </w:rPr>
                <w:t>PART II – OTHER INFORMATION</w:t>
              </w:r>
            </w:hyperlink>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66"/>
        </w:trPr>
        <w:tc>
          <w:tcPr>
            <w:tcW w:w="880" w:type="dxa"/>
            <w:vAlign w:val="bottom"/>
            <w:gridSpan w:val="3"/>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1.</w:t>
              </w:r>
            </w:hyperlink>
          </w:p>
        </w:tc>
        <w:tc>
          <w:tcPr>
            <w:tcW w:w="3140" w:type="dxa"/>
            <w:vAlign w:val="bottom"/>
            <w:gridSpan w:val="8"/>
          </w:tcPr>
          <w:p>
            <w:pPr>
              <w:spacing w:after="0"/>
              <w:rPr>
                <w:rFonts w:ascii="Arial" w:cs="Arial" w:eastAsia="Arial" w:hAnsi="Arial"/>
                <w:sz w:val="18"/>
                <w:szCs w:val="18"/>
                <w:color w:val="auto"/>
              </w:rPr>
            </w:pPr>
            <w:hyperlink w:anchor="page51">
              <w:r>
                <w:rPr>
                  <w:rFonts w:ascii="Arial" w:cs="Arial" w:eastAsia="Arial" w:hAnsi="Arial"/>
                  <w:sz w:val="18"/>
                  <w:szCs w:val="18"/>
                  <w:color w:val="auto"/>
                </w:rPr>
                <w:t>Legal Proceedings</w:t>
              </w:r>
            </w:hyperlink>
          </w:p>
        </w:tc>
        <w:tc>
          <w:tcPr>
            <w:tcW w:w="2800" w:type="dxa"/>
            <w:vAlign w:val="bottom"/>
            <w:tcBorders>
              <w:top w:val="single" w:sz="8" w:color="auto"/>
            </w:tcBorders>
            <w:gridSpan w:val="3"/>
          </w:tcPr>
          <w:p>
            <w:pPr>
              <w:spacing w:after="0"/>
              <w:rPr>
                <w:sz w:val="24"/>
                <w:szCs w:val="24"/>
                <w:color w:val="auto"/>
              </w:rPr>
            </w:pPr>
          </w:p>
        </w:tc>
        <w:tc>
          <w:tcPr>
            <w:tcW w:w="3280" w:type="dxa"/>
            <w:vAlign w:val="bottom"/>
            <w:gridSpan w:val="8"/>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auto"/>
                <w:w w:val="92"/>
              </w:rPr>
            </w:pPr>
            <w:hyperlink w:anchor="page51">
              <w:r>
                <w:rPr>
                  <w:rFonts w:ascii="Arial" w:cs="Arial" w:eastAsia="Arial" w:hAnsi="Arial"/>
                  <w:sz w:val="18"/>
                  <w:szCs w:val="18"/>
                  <w:color w:val="auto"/>
                  <w:w w:val="92"/>
                </w:rPr>
                <w:t>Item 1A.</w:t>
              </w:r>
            </w:hyperlink>
          </w:p>
        </w:tc>
        <w:tc>
          <w:tcPr>
            <w:tcW w:w="24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auto"/>
                <w:w w:val="87"/>
              </w:rPr>
            </w:pPr>
            <w:hyperlink w:anchor="page51">
              <w:r>
                <w:rPr>
                  <w:rFonts w:ascii="Arial" w:cs="Arial" w:eastAsia="Arial" w:hAnsi="Arial"/>
                  <w:sz w:val="18"/>
                  <w:szCs w:val="18"/>
                  <w:color w:val="auto"/>
                  <w:w w:val="87"/>
                </w:rPr>
                <w:t>Risk Factors</w:t>
              </w:r>
            </w:hyperlink>
          </w:p>
        </w:tc>
        <w:tc>
          <w:tcPr>
            <w:tcW w:w="8320" w:type="dxa"/>
            <w:vAlign w:val="bottom"/>
            <w:gridSpan w:val="16"/>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r>
      <w:tr>
        <w:trPr>
          <w:trHeight w:val="20"/>
        </w:trPr>
        <w:tc>
          <w:tcPr>
            <w:tcW w:w="6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2.</w:t>
              </w:r>
            </w:hyperlink>
          </w:p>
        </w:tc>
        <w:tc>
          <w:tcPr>
            <w:tcW w:w="240" w:type="dxa"/>
            <w:vAlign w:val="bottom"/>
          </w:tcPr>
          <w:p>
            <w:pPr>
              <w:spacing w:after="0"/>
              <w:rPr>
                <w:sz w:val="21"/>
                <w:szCs w:val="21"/>
                <w:color w:val="auto"/>
              </w:rPr>
            </w:pPr>
          </w:p>
        </w:tc>
        <w:tc>
          <w:tcPr>
            <w:tcW w:w="9220" w:type="dxa"/>
            <w:vAlign w:val="bottom"/>
            <w:gridSpan w:val="19"/>
          </w:tcPr>
          <w:p>
            <w:pPr>
              <w:spacing w:after="0"/>
              <w:rPr>
                <w:rFonts w:ascii="Arial" w:cs="Arial" w:eastAsia="Arial" w:hAnsi="Arial"/>
                <w:sz w:val="18"/>
                <w:szCs w:val="18"/>
                <w:color w:val="auto"/>
              </w:rPr>
            </w:pPr>
            <w:hyperlink w:anchor="page52">
              <w:r>
                <w:rPr>
                  <w:rFonts w:ascii="Arial" w:cs="Arial" w:eastAsia="Arial" w:hAnsi="Arial"/>
                  <w:sz w:val="18"/>
                  <w:szCs w:val="18"/>
                  <w:color w:val="auto"/>
                </w:rPr>
                <w:t>Unregistered Sales of Equity Securities and Use of Proceeds</w:t>
              </w:r>
            </w:hyperlink>
          </w:p>
        </w:tc>
        <w:tc>
          <w:tcPr>
            <w:tcW w:w="680" w:type="dxa"/>
            <w:vAlign w:val="bottom"/>
            <w:gridSpan w:val="3"/>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540" w:type="dxa"/>
            <w:vAlign w:val="bottom"/>
            <w:tcBorders>
              <w:left w:val="single" w:sz="8" w:color="auto"/>
            </w:tcBorders>
            <w:gridSpan w:val="8"/>
            <w:shd w:val="clear" w:color="auto" w:fill="000000"/>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19"/>
          </w:tcPr>
          <w:p>
            <w:pPr>
              <w:spacing w:after="0"/>
              <w:rPr>
                <w:sz w:val="20"/>
                <w:szCs w:val="20"/>
                <w:color w:val="auto"/>
              </w:rPr>
            </w:pPr>
            <w:r>
              <w:rPr>
                <w:rFonts w:ascii="Arial" w:cs="Arial" w:eastAsia="Arial" w:hAnsi="Arial"/>
                <w:sz w:val="18"/>
                <w:szCs w:val="18"/>
                <w:color w:val="auto"/>
              </w:rPr>
              <w:t>Exhibits</w:t>
            </w:r>
          </w:p>
        </w:tc>
        <w:tc>
          <w:tcPr>
            <w:tcW w:w="680" w:type="dxa"/>
            <w:vAlign w:val="bottom"/>
            <w:gridSpan w:val="3"/>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spacing w:after="0"/>
              <w:rPr>
                <w:rFonts w:ascii="Arial" w:cs="Arial" w:eastAsia="Arial" w:hAnsi="Arial"/>
                <w:sz w:val="18"/>
                <w:szCs w:val="18"/>
                <w:color w:val="auto"/>
                <w:w w:val="88"/>
              </w:rPr>
            </w:pPr>
            <w:hyperlink w:anchor="page54">
              <w:r>
                <w:rPr>
                  <w:rFonts w:ascii="Arial" w:cs="Arial" w:eastAsia="Arial" w:hAnsi="Arial"/>
                  <w:sz w:val="18"/>
                  <w:szCs w:val="18"/>
                  <w:color w:val="auto"/>
                  <w:w w:val="88"/>
                </w:rPr>
                <w:t>Signatures</w:t>
              </w:r>
            </w:hyperlink>
          </w:p>
        </w:tc>
        <w:tc>
          <w:tcPr>
            <w:tcW w:w="8420" w:type="dxa"/>
            <w:vAlign w:val="bottom"/>
            <w:gridSpan w:val="17"/>
          </w:tcPr>
          <w:p>
            <w:pPr>
              <w:spacing w:after="0"/>
              <w:rPr>
                <w:sz w:val="21"/>
                <w:szCs w:val="21"/>
                <w:color w:val="auto"/>
              </w:rPr>
            </w:pPr>
          </w:p>
        </w:tc>
        <w:tc>
          <w:tcPr>
            <w:tcW w:w="680" w:type="dxa"/>
            <w:vAlign w:val="bottom"/>
            <w:gridSpan w:val="3"/>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ectPr>
          <w:pgSz w:w="11900" w:h="16838" w:orient="portrait"/>
          <w:cols w:equalWidth="0" w:num="1">
            <w:col w:w="10780"/>
          </w:cols>
          <w:pgMar w:left="280" w:top="364" w:right="8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60" w:type="dxa"/>
            <w:vAlign w:val="bottom"/>
          </w:tcPr>
          <w:p>
            <w:pPr>
              <w:ind w:left="4440"/>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19"/>
        </w:trPr>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300"/>
              <w:spacing w:after="0"/>
              <w:rPr>
                <w:sz w:val="20"/>
                <w:szCs w:val="20"/>
                <w:color w:val="auto"/>
              </w:rPr>
            </w:pPr>
            <w:r>
              <w:rPr>
                <w:rFonts w:ascii="Arial" w:cs="Arial" w:eastAsia="Arial" w:hAnsi="Arial"/>
                <w:sz w:val="15"/>
                <w:szCs w:val="15"/>
                <w:b w:val="1"/>
                <w:bCs w:val="1"/>
                <w:color w:val="auto"/>
              </w:rPr>
              <w:t>(Unaudited)</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2"/>
        </w:trPr>
        <w:tc>
          <w:tcPr>
            <w:tcW w:w="7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2019</w:t>
            </w:r>
          </w:p>
        </w:tc>
        <w:tc>
          <w:tcPr>
            <w:tcW w:w="140" w:type="dxa"/>
            <w:vAlign w:val="bottom"/>
          </w:tcPr>
          <w:p>
            <w:pPr>
              <w:spacing w:after="0"/>
              <w:rPr>
                <w:sz w:val="23"/>
                <w:szCs w:val="23"/>
                <w:color w:val="auto"/>
              </w:rPr>
            </w:pPr>
          </w:p>
        </w:tc>
        <w:tc>
          <w:tcPr>
            <w:tcW w:w="1440" w:type="dxa"/>
            <w:vAlign w:val="bottom"/>
          </w:tcPr>
          <w:p>
            <w:pPr>
              <w:jc w:val="right"/>
              <w:ind w:right="103"/>
              <w:spacing w:after="0"/>
              <w:rPr>
                <w:sz w:val="20"/>
                <w:szCs w:val="20"/>
                <w:color w:val="auto"/>
              </w:rPr>
            </w:pPr>
            <w:r>
              <w:rPr>
                <w:rFonts w:ascii="Arial" w:cs="Arial" w:eastAsia="Arial" w:hAnsi="Arial"/>
                <w:sz w:val="15"/>
                <w:szCs w:val="15"/>
                <w:b w:val="1"/>
                <w:bCs w:val="1"/>
                <w:color w:val="auto"/>
                <w:w w:val="91"/>
              </w:rPr>
              <w:t>December 31, 2018</w:t>
            </w:r>
          </w:p>
        </w:tc>
      </w:tr>
      <w:tr>
        <w:trPr>
          <w:trHeight w:val="253"/>
        </w:trPr>
        <w:tc>
          <w:tcPr>
            <w:tcW w:w="79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1,311,103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1,201,945</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Land improvements and buildings</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6,200,895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5,586,250</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homes and improvements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614,002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571,661</w:t>
            </w:r>
          </w:p>
        </w:tc>
      </w:tr>
      <w:tr>
        <w:trPr>
          <w:trHeight w:val="266"/>
        </w:trPr>
        <w:tc>
          <w:tcPr>
            <w:tcW w:w="79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Furniture, fixtures and equipment</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251,363</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201,090</w:t>
            </w:r>
          </w:p>
        </w:tc>
      </w:tr>
      <w:tr>
        <w:trPr>
          <w:trHeight w:val="25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Investment property</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8,377,363</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7,560,946</w:t>
            </w:r>
          </w:p>
        </w:tc>
      </w:tr>
      <w:tr>
        <w:trPr>
          <w:trHeight w:val="266"/>
        </w:trPr>
        <w:tc>
          <w:tcPr>
            <w:tcW w:w="79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Accumulated depreciation</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(1,619,924)</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(1,442,630)</w:t>
            </w:r>
          </w:p>
        </w:tc>
      </w:tr>
      <w:tr>
        <w:trPr>
          <w:trHeight w:val="160"/>
        </w:trPr>
        <w:tc>
          <w:tcPr>
            <w:tcW w:w="796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w w:val="93"/>
              </w:rPr>
              <w:t>Investment property, net (including $341,563 and $308,171 for consolidated VIEs at September 30, 2019 and December 31,</w:t>
            </w: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02"/>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2018; see Note 8)</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6,757,439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6,118,316</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26,198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50,311</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Marketable securities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64,818</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49,037</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Inventory of manufactured homes</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55,234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49,199</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Notes and other receivables, net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174,934</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160,077</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Collateralized receivables, net</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93,054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106,924</w:t>
            </w:r>
          </w:p>
        </w:tc>
      </w:tr>
      <w:tr>
        <w:trPr>
          <w:trHeight w:val="180"/>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2"/>
              </w:rPr>
              <w:t>Other assets, net (including $22,598 and $19,809 for consolidated VIEs at September 30, 2019 and December 31, 2018; see</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8"/>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Note 8)</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226,177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176,162</w:t>
            </w:r>
          </w:p>
        </w:tc>
      </w:tr>
      <w:tr>
        <w:trPr>
          <w:trHeight w:val="281"/>
        </w:trPr>
        <w:tc>
          <w:tcPr>
            <w:tcW w:w="796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7,397,854</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6,710,026</w:t>
            </w: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5"/>
                <w:szCs w:val="15"/>
                <w:color w:val="auto"/>
                <w:w w:val="95"/>
              </w:rPr>
              <w:t>Mortgage loans payable (including $47,256 and $44,172 for consolidated VIEs at September 30, 2019 and December 31,</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7960" w:type="dxa"/>
            <w:vAlign w:val="bottom"/>
          </w:tcPr>
          <w:p>
            <w:pPr>
              <w:ind w:left="280"/>
              <w:spacing w:after="0"/>
              <w:rPr>
                <w:sz w:val="20"/>
                <w:szCs w:val="20"/>
                <w:color w:val="auto"/>
              </w:rPr>
            </w:pPr>
            <w:r>
              <w:rPr>
                <w:rFonts w:ascii="Arial" w:cs="Arial" w:eastAsia="Arial" w:hAnsi="Arial"/>
                <w:sz w:val="15"/>
                <w:szCs w:val="15"/>
                <w:color w:val="auto"/>
              </w:rPr>
              <w:t>2018; see Note 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2,967,128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2,815,957</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Secured borrowings on collateralized receivables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93,669</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w w:val="95"/>
              </w:rPr>
              <w:t>Preferred Equity - Sun NG RV Resorts LLC - mandatorily redeemable (fully attributable to consolidated VIEs; see Note 8)</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35,249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35,277</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Preferred OP units - mandatorily redeemable</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34,663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37,338</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Lines of credit</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140,632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128,000</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Distributions payable</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69,726</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63,249</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Advanced reservation deposits and rent</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137,797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133,698</w:t>
            </w:r>
          </w:p>
        </w:tc>
      </w:tr>
      <w:tr>
        <w:trPr>
          <w:trHeight w:val="180"/>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Other liabilities (including $28,031 and $6,914 for consolidated VIEs at September 30, 2019 and December 31, 2018; see</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2"/>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Note 8)</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242,119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157,862</w:t>
            </w:r>
          </w:p>
        </w:tc>
      </w:tr>
      <w:tr>
        <w:trPr>
          <w:trHeight w:val="246"/>
        </w:trPr>
        <w:tc>
          <w:tcPr>
            <w:tcW w:w="796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Liabilities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3,720,983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3,479,112</w:t>
            </w:r>
          </w:p>
        </w:tc>
      </w:tr>
      <w:tr>
        <w:trPr>
          <w:trHeight w:val="268"/>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Commitments and contingencies (see Note 17)</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5"/>
                <w:szCs w:val="15"/>
                <w:color w:val="auto"/>
                <w:w w:val="95"/>
              </w:rPr>
              <w:t>Series A-4 preferred stock, $0.01 par value. Issued and outstanding: 1,052 September 30, 2019 and 1,063 December 31,</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7960" w:type="dxa"/>
            <w:vAlign w:val="bottom"/>
          </w:tcPr>
          <w:p>
            <w:pPr>
              <w:ind w:left="280"/>
              <w:spacing w:after="0"/>
              <w:rPr>
                <w:sz w:val="20"/>
                <w:szCs w:val="20"/>
                <w:color w:val="auto"/>
              </w:rPr>
            </w:pPr>
            <w:r>
              <w:rPr>
                <w:rFonts w:ascii="Arial" w:cs="Arial" w:eastAsia="Arial" w:hAnsi="Arial"/>
                <w:sz w:val="15"/>
                <w:szCs w:val="15"/>
                <w:color w:val="auto"/>
              </w:rPr>
              <w:t>2018</w:t>
            </w:r>
          </w:p>
        </w:tc>
        <w:tc>
          <w:tcPr>
            <w:tcW w:w="140" w:type="dxa"/>
            <w:vAlign w:val="bottom"/>
          </w:tcPr>
          <w:p>
            <w:pPr>
              <w:spacing w:after="0"/>
              <w:rPr>
                <w:sz w:val="17"/>
                <w:szCs w:val="17"/>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31,402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31,739</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Series A-4 preferred OP units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9,540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9,877</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Series D preferred OP units</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51,248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Equity interests - NG Sun LLC and NG Whitewater (fully attributable to consolidated VIEs; see Note 8)</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27,461</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r>
      <w:tr>
        <w:trPr>
          <w:trHeight w:val="266"/>
        </w:trPr>
        <w:tc>
          <w:tcPr>
            <w:tcW w:w="79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80"/>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Common stock, $0.01 par value. Authorized: 180,000 shares; Issued and outstanding: 90,690 September 30, 2019 and</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2"/>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86,357 December 31, 2018</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864</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23"/>
                <w:szCs w:val="23"/>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4,854,958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4,398,949</w:t>
            </w:r>
          </w:p>
        </w:tc>
      </w:tr>
      <w:tr>
        <w:trPr>
          <w:trHeight w:val="274"/>
        </w:trPr>
        <w:tc>
          <w:tcPr>
            <w:tcW w:w="7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(2,825)</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(4,504)</w:t>
            </w:r>
          </w:p>
        </w:tc>
      </w:tr>
      <w:tr>
        <w:trPr>
          <w:trHeight w:val="266"/>
        </w:trPr>
        <w:tc>
          <w:tcPr>
            <w:tcW w:w="79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Distributions in excess of accumulated earnings</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(1,353,214)</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(1,288,486)</w:t>
            </w:r>
          </w:p>
        </w:tc>
      </w:tr>
      <w:tr>
        <w:trPr>
          <w:trHeight w:val="254"/>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Sun Communities, Inc. stockholders' equity</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3,499,826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3,106,823</w:t>
            </w:r>
          </w:p>
        </w:tc>
      </w:tr>
      <w:tr>
        <w:trPr>
          <w:trHeight w:val="266"/>
        </w:trPr>
        <w:tc>
          <w:tcPr>
            <w:tcW w:w="7960" w:type="dxa"/>
            <w:vAlign w:val="bottom"/>
          </w:tcPr>
          <w:p>
            <w:pPr>
              <w:ind w:left="280"/>
              <w:spacing w:after="0"/>
              <w:rPr>
                <w:sz w:val="20"/>
                <w:szCs w:val="20"/>
                <w:color w:val="auto"/>
              </w:rPr>
            </w:pPr>
            <w:r>
              <w:rPr>
                <w:rFonts w:ascii="Arial" w:cs="Arial" w:eastAsia="Arial" w:hAnsi="Arial"/>
                <w:sz w:val="15"/>
                <w:szCs w:val="15"/>
                <w:color w:val="auto"/>
              </w:rPr>
              <w:t>Noncontrolling interests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4"/>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and preferred OP units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49,540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53,354</w:t>
            </w:r>
          </w:p>
        </w:tc>
      </w:tr>
      <w:tr>
        <w:trPr>
          <w:trHeight w:val="266"/>
        </w:trPr>
        <w:tc>
          <w:tcPr>
            <w:tcW w:w="7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Consolidated variable interest entities</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7,854</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7,145</w:t>
            </w:r>
          </w:p>
        </w:tc>
      </w:tr>
      <w:tr>
        <w:trPr>
          <w:trHeight w:val="254"/>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57,394</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60,499</w:t>
            </w:r>
          </w:p>
        </w:tc>
      </w:tr>
      <w:tr>
        <w:trPr>
          <w:trHeight w:val="246"/>
        </w:trPr>
        <w:tc>
          <w:tcPr>
            <w:tcW w:w="796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Stockholders' Equity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3,557,220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3,167,322</w:t>
            </w:r>
          </w:p>
        </w:tc>
      </w:tr>
      <w:tr>
        <w:trPr>
          <w:trHeight w:val="241"/>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7,397,854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6,710,026</w:t>
            </w:r>
          </w:p>
        </w:tc>
      </w:tr>
      <w:tr>
        <w:trPr>
          <w:trHeight w:val="20"/>
        </w:trPr>
        <w:tc>
          <w:tcPr>
            <w:tcW w:w="7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337" w:right="259" w:bottom="651"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37" w:right="259" w:bottom="65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w w:val="95"/>
              </w:rPr>
              <w:t>Nine Months Ended</w:t>
            </w:r>
          </w:p>
        </w:tc>
        <w:tc>
          <w:tcPr>
            <w:tcW w:w="680" w:type="dxa"/>
            <w:vAlign w:val="bottom"/>
            <w:tcBorders>
              <w:bottom w:val="single" w:sz="8" w:color="auto"/>
            </w:tcBorders>
          </w:tcPr>
          <w:p>
            <w:pPr>
              <w:spacing w:after="0"/>
              <w:rPr>
                <w:sz w:val="17"/>
                <w:szCs w:val="17"/>
                <w:color w:val="auto"/>
              </w:rPr>
            </w:pPr>
          </w:p>
        </w:tc>
      </w:tr>
      <w:tr>
        <w:trPr>
          <w:trHeight w:val="261"/>
        </w:trPr>
        <w:tc>
          <w:tcPr>
            <w:tcW w:w="5500" w:type="dxa"/>
            <w:vAlign w:val="bottom"/>
          </w:tcPr>
          <w:p>
            <w:pPr>
              <w:spacing w:after="0"/>
              <w:rPr>
                <w:sz w:val="22"/>
                <w:szCs w:val="22"/>
                <w:color w:val="auto"/>
              </w:rPr>
            </w:pPr>
          </w:p>
        </w:tc>
        <w:tc>
          <w:tcPr>
            <w:tcW w:w="150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2019</w:t>
            </w:r>
          </w:p>
        </w:tc>
        <w:tc>
          <w:tcPr>
            <w:tcW w:w="16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2018</w:t>
            </w:r>
          </w:p>
        </w:tc>
        <w:tc>
          <w:tcPr>
            <w:tcW w:w="144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September 30, 2019</w:t>
            </w: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w w:val="92"/>
              </w:rPr>
              <w:t>September 30, 2018</w:t>
            </w: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4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256,423</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9"/>
              </w:rPr>
              <w:t>229,607</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699,301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625,488</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49,805</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46,131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136,665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122,248</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14,444</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13,589</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42,827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39,957</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31,999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27,608</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57,746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46,207</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4,770</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5,256</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14,489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15,849</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5,002</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1,222</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11,190</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3,073</w:t>
            </w:r>
          </w:p>
        </w:tc>
      </w:tr>
      <w:tr>
        <w:trPr>
          <w:trHeight w:val="254"/>
        </w:trPr>
        <w:tc>
          <w:tcPr>
            <w:tcW w:w="550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Revenues</w:t>
            </w: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362,443</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9"/>
              </w:rPr>
              <w:t>323,413</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962,218</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852,822</w:t>
            </w:r>
          </w:p>
        </w:tc>
      </w:tr>
      <w:tr>
        <w:trPr>
          <w:trHeight w:val="260"/>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Expenses</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and maintenance</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79,095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71,656</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202,892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181,977</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Real estate taxes</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15,399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14,533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46,455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42,445</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Cost of home sales</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36,318</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33,692</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100,030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91,195</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Rental home operating and maintenance</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6,008</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6,236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15,887</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16,778</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Ancillary expenses</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18,707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15,361</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38,288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28,985</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Home selling expenses</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3,988</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4,043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10,938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11,319</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 expenses</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22,975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19,763</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68,559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60,972</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341</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173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1,302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(1,987)</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Depreciation and amortization</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76,532</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71,982</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229,241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206,192</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Loss on extinguishment of debt</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12,755</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528</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13,478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1,255</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32,219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33,932</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99,894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98,321</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Interest on mandatorily redeemable preferred OP units / equity</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1,216</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1,142</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3,491</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2,551</w:t>
            </w:r>
          </w:p>
        </w:tc>
      </w:tr>
      <w:tr>
        <w:trPr>
          <w:trHeight w:val="254"/>
        </w:trPr>
        <w:tc>
          <w:tcPr>
            <w:tcW w:w="550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Expenses</w:t>
            </w: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305,553</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9"/>
              </w:rPr>
              <w:t>273,041</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830,455</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740,003</w:t>
            </w:r>
          </w:p>
        </w:tc>
      </w:tr>
      <w:tr>
        <w:trPr>
          <w:trHeight w:val="246"/>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Income Before Other Items</w:t>
            </w:r>
          </w:p>
        </w:tc>
        <w:tc>
          <w:tcPr>
            <w:tcW w:w="420" w:type="dxa"/>
            <w:vAlign w:val="bottom"/>
          </w:tcPr>
          <w:p>
            <w:pPr>
              <w:spacing w:after="0"/>
              <w:rPr>
                <w:sz w:val="21"/>
                <w:szCs w:val="21"/>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56,890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50,372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131,763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112,819</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Remeasurement of marketable securities</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12,661</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16,548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Other income / (expense), net</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(4,408)</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1,231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(1,489)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(3,214)</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Current tax expense</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(213)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(612)</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 / (expense)</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199</w:t>
            </w:r>
          </w:p>
        </w:tc>
        <w:tc>
          <w:tcPr>
            <w:tcW w:w="2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434</w:t>
            </w:r>
          </w:p>
        </w:tc>
      </w:tr>
      <w:tr>
        <w:trPr>
          <w:trHeight w:val="246"/>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Net Income</w:t>
            </w:r>
          </w:p>
        </w:tc>
        <w:tc>
          <w:tcPr>
            <w:tcW w:w="420" w:type="dxa"/>
            <w:vAlign w:val="bottom"/>
          </w:tcPr>
          <w:p>
            <w:pPr>
              <w:spacing w:after="0"/>
              <w:rPr>
                <w:sz w:val="21"/>
                <w:szCs w:val="21"/>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64,451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51,715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146,694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109,486</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Less: Preferred return to preferred OP units / equity</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(1,152)</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(3,335)</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Less: Amounts attributable to noncontrolling interests</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(5,422)</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(4,071)</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(8,392)</w:t>
            </w:r>
          </w:p>
        </w:tc>
      </w:tr>
      <w:tr>
        <w:trPr>
          <w:trHeight w:val="21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57,430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46,492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133,006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97,759</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Less: Preferred stock distribution</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(432)</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(1,305)</w:t>
            </w:r>
          </w:p>
        </w:tc>
      </w:tr>
      <w:tr>
        <w:trPr>
          <w:trHeight w:val="241"/>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57,002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46,060</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131,718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96,454</w:t>
            </w: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 average common shares outstanding - basic</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89,847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81,599</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87,499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80,022</w:t>
            </w: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 - diluted</w:t>
            </w:r>
          </w:p>
        </w:tc>
        <w:tc>
          <w:tcPr>
            <w:tcW w:w="4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90,332</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82,081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87,931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80,024</w:t>
            </w:r>
          </w:p>
        </w:tc>
      </w:tr>
      <w:tr>
        <w:trPr>
          <w:trHeight w:val="328"/>
        </w:trPr>
        <w:tc>
          <w:tcPr>
            <w:tcW w:w="5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Basic earnings per share (see Note 14)</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23"/>
                <w:szCs w:val="23"/>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0.56</w:t>
            </w:r>
          </w:p>
        </w:tc>
        <w:tc>
          <w:tcPr>
            <w:tcW w:w="22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23"/>
                <w:szCs w:val="23"/>
                <w:color w:val="auto"/>
              </w:rPr>
            </w:pPr>
          </w:p>
        </w:tc>
        <w:tc>
          <w:tcPr>
            <w:tcW w:w="680" w:type="dxa"/>
            <w:vAlign w:val="bottom"/>
          </w:tcPr>
          <w:p>
            <w:pPr>
              <w:ind w:left="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1.19</w:t>
            </w: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Diluted earnings per share (see Note 14)</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0.56</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3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w w:val="95"/>
              </w:rPr>
              <w:t>Nine Months Ended</w:t>
            </w:r>
          </w:p>
        </w:tc>
        <w:tc>
          <w:tcPr>
            <w:tcW w:w="680" w:type="dxa"/>
            <w:vAlign w:val="bottom"/>
            <w:tcBorders>
              <w:bottom w:val="single" w:sz="8" w:color="auto"/>
            </w:tcBorders>
          </w:tcPr>
          <w:p>
            <w:pPr>
              <w:spacing w:after="0"/>
              <w:rPr>
                <w:sz w:val="17"/>
                <w:szCs w:val="17"/>
                <w:color w:val="auto"/>
              </w:rPr>
            </w:pPr>
          </w:p>
        </w:tc>
      </w:tr>
      <w:tr>
        <w:trPr>
          <w:trHeight w:val="264"/>
        </w:trPr>
        <w:tc>
          <w:tcPr>
            <w:tcW w:w="5500" w:type="dxa"/>
            <w:vAlign w:val="bottom"/>
          </w:tcPr>
          <w:p>
            <w:pPr>
              <w:spacing w:after="0"/>
              <w:rPr>
                <w:sz w:val="22"/>
                <w:szCs w:val="22"/>
                <w:color w:val="auto"/>
              </w:rPr>
            </w:pPr>
          </w:p>
        </w:tc>
        <w:tc>
          <w:tcPr>
            <w:tcW w:w="150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2019</w:t>
            </w:r>
          </w:p>
        </w:tc>
        <w:tc>
          <w:tcPr>
            <w:tcW w:w="16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2018</w:t>
            </w:r>
          </w:p>
        </w:tc>
        <w:tc>
          <w:tcPr>
            <w:tcW w:w="144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September 30, 2019</w:t>
            </w: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w w:val="92"/>
              </w:rPr>
              <w:t>September 30, 2018</w:t>
            </w: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64,451</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51,715</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146,694</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109,486</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Foreign currency translation gain / (loss) adjustment</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(1,717)</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1,890</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1,771</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w:t>
            </w:r>
          </w:p>
        </w:tc>
      </w:tr>
      <w:tr>
        <w:trPr>
          <w:trHeight w:val="25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Comprehensive Income</w:t>
            </w: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62,734</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53,605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148,465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107,921</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(5,346)</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(4,167)</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(9,140)</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(8,319)</w:t>
            </w:r>
          </w:p>
        </w:tc>
      </w:tr>
      <w:tr>
        <w:trPr>
          <w:trHeight w:val="241"/>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 attributable to Sun Communities, Inc.</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57,388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49,438</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139,325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99,602</w:t>
            </w: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2019</w:t>
            </w:r>
          </w:p>
        </w:tc>
        <w:tc>
          <w:tcPr>
            <w:tcW w:w="120" w:type="dxa"/>
            <w:vAlign w:val="bottom"/>
          </w:tcPr>
          <w:p>
            <w:pPr>
              <w:spacing w:after="0"/>
              <w:rPr>
                <w:sz w:val="22"/>
                <w:szCs w:val="22"/>
                <w:color w:val="auto"/>
              </w:rPr>
            </w:pPr>
          </w:p>
        </w:tc>
        <w:tc>
          <w:tcPr>
            <w:tcW w:w="1460" w:type="dxa"/>
            <w:vAlign w:val="bottom"/>
          </w:tcPr>
          <w:p>
            <w:pPr>
              <w:jc w:val="right"/>
              <w:ind w:right="83"/>
              <w:spacing w:after="0"/>
              <w:rPr>
                <w:sz w:val="20"/>
                <w:szCs w:val="20"/>
                <w:color w:val="auto"/>
              </w:rPr>
            </w:pPr>
            <w:r>
              <w:rPr>
                <w:rFonts w:ascii="Arial" w:cs="Arial" w:eastAsia="Arial" w:hAnsi="Arial"/>
                <w:sz w:val="15"/>
                <w:szCs w:val="15"/>
                <w:b w:val="1"/>
                <w:bCs w:val="1"/>
                <w:color w:val="auto"/>
                <w:w w:val="91"/>
              </w:rPr>
              <w:t>September 30, 2018</w:t>
            </w:r>
          </w:p>
        </w:tc>
        <w:tc>
          <w:tcPr>
            <w:tcW w:w="0" w:type="dxa"/>
            <w:vAlign w:val="bottom"/>
          </w:tcPr>
          <w:p>
            <w:pPr>
              <w:spacing w:after="0"/>
              <w:rPr>
                <w:sz w:val="1"/>
                <w:szCs w:val="1"/>
                <w:color w:val="auto"/>
              </w:rPr>
            </w:pPr>
          </w:p>
        </w:tc>
      </w:tr>
      <w:tr>
        <w:trPr>
          <w:trHeight w:val="253"/>
        </w:trPr>
        <w:tc>
          <w:tcPr>
            <w:tcW w:w="8000" w:type="dxa"/>
            <w:vAlign w:val="bottom"/>
            <w:gridSpan w:val="3"/>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398,293</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301,204</w:t>
            </w:r>
          </w:p>
        </w:tc>
        <w:tc>
          <w:tcPr>
            <w:tcW w:w="0" w:type="dxa"/>
            <w:vAlign w:val="bottom"/>
          </w:tcPr>
          <w:p>
            <w:pPr>
              <w:spacing w:after="0"/>
              <w:rPr>
                <w:sz w:val="1"/>
                <w:szCs w:val="1"/>
                <w:color w:val="auto"/>
              </w:rPr>
            </w:pPr>
          </w:p>
        </w:tc>
      </w:tr>
      <w:tr>
        <w:trPr>
          <w:trHeight w:val="246"/>
        </w:trPr>
        <w:tc>
          <w:tcPr>
            <w:tcW w:w="8000" w:type="dxa"/>
            <w:vAlign w:val="bottom"/>
            <w:gridSpan w:val="3"/>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2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6240" w:type="dxa"/>
            <w:vAlign w:val="bottom"/>
            <w:vMerge w:val="restart"/>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(412,092)</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(257,017)</w:t>
            </w:r>
          </w:p>
        </w:tc>
        <w:tc>
          <w:tcPr>
            <w:tcW w:w="0" w:type="dxa"/>
            <w:vAlign w:val="bottom"/>
          </w:tcPr>
          <w:p>
            <w:pPr>
              <w:spacing w:after="0"/>
              <w:rPr>
                <w:sz w:val="1"/>
                <w:szCs w:val="1"/>
                <w:color w:val="auto"/>
              </w:rPr>
            </w:pPr>
          </w:p>
        </w:tc>
      </w:tr>
      <w:tr>
        <w:trPr>
          <w:trHeight w:val="169"/>
        </w:trPr>
        <w:tc>
          <w:tcPr>
            <w:tcW w:w="2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D2F0FF"/>
          </w:tcPr>
          <w:p>
            <w:pPr>
              <w:spacing w:after="0" w:line="162" w:lineRule="exact"/>
              <w:rPr>
                <w:sz w:val="20"/>
                <w:szCs w:val="20"/>
                <w:color w:val="auto"/>
              </w:rPr>
            </w:pPr>
            <w:r>
              <w:rPr>
                <w:rFonts w:ascii="Arial" w:cs="Arial" w:eastAsia="Arial" w:hAnsi="Arial"/>
                <w:sz w:val="15"/>
                <w:szCs w:val="15"/>
                <w:color w:val="auto"/>
                <w:w w:val="91"/>
                <w:shd w:val="clear" w:color="auto" w:fill="D2F0FF"/>
              </w:rPr>
              <w:t>Investment in properties</w:t>
            </w:r>
          </w:p>
        </w:tc>
        <w:tc>
          <w:tcPr>
            <w:tcW w:w="624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Acquisitions of properties, net of cash acquired</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(403,889)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(305,724)</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from dispositions of assets and depreciated homes, net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43,157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34,825</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Issuance of notes and other receivables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(30,186)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Repayments of notes and other receivables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3,249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2,880</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Investments in nonconsolidated affiliates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(42,896)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(19,851)</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Distributions from nonconsolidated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43,406</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280" w:type="dxa"/>
            <w:vAlign w:val="bottom"/>
            <w:tcBorders>
              <w:bottom w:val="single" w:sz="8" w:color="CCEEFF"/>
            </w:tcBorders>
          </w:tcPr>
          <w:p>
            <w:pPr>
              <w:spacing w:after="0"/>
              <w:rPr>
                <w:sz w:val="21"/>
                <w:szCs w:val="21"/>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color w:val="auto"/>
              </w:rPr>
              <w:t>Net Cash Used For Investing Activities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(799,251)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(545,103)</w:t>
            </w:r>
          </w:p>
        </w:tc>
        <w:tc>
          <w:tcPr>
            <w:tcW w:w="0" w:type="dxa"/>
            <w:vAlign w:val="bottom"/>
          </w:tcPr>
          <w:p>
            <w:pPr>
              <w:spacing w:after="0"/>
              <w:rPr>
                <w:sz w:val="1"/>
                <w:szCs w:val="1"/>
                <w:color w:val="auto"/>
              </w:rPr>
            </w:pPr>
          </w:p>
        </w:tc>
      </w:tr>
      <w:tr>
        <w:trPr>
          <w:trHeight w:val="254"/>
        </w:trPr>
        <w:tc>
          <w:tcPr>
            <w:tcW w:w="800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Financing Activities</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Issuance of common stock, OP units, and preferred OP units, net</w:t>
            </w:r>
          </w:p>
        </w:tc>
        <w:tc>
          <w:tcPr>
            <w:tcW w:w="140" w:type="dxa"/>
            <w:vAlign w:val="bottom"/>
          </w:tcPr>
          <w:p>
            <w:pPr>
              <w:spacing w:after="0"/>
              <w:rPr>
                <w:sz w:val="23"/>
                <w:szCs w:val="23"/>
                <w:color w:val="auto"/>
              </w:rPr>
            </w:pP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441,871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624,152</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Redemption of Series B-3 preferred OP units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(4,105)</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Borrowings on lines of credit</w:t>
            </w:r>
          </w:p>
        </w:tc>
        <w:tc>
          <w:tcPr>
            <w:tcW w:w="140" w:type="dxa"/>
            <w:vAlign w:val="bottom"/>
          </w:tcPr>
          <w:p>
            <w:pPr>
              <w:spacing w:after="0"/>
              <w:rPr>
                <w:sz w:val="23"/>
                <w:szCs w:val="23"/>
                <w:color w:val="auto"/>
              </w:rPr>
            </w:pP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2,681,980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1,187,098</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 on lines of credit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(2,669,348)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(1,228,907)</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Proceeds from issuance of other debt</w:t>
            </w:r>
          </w:p>
        </w:tc>
        <w:tc>
          <w:tcPr>
            <w:tcW w:w="140" w:type="dxa"/>
            <w:vAlign w:val="bottom"/>
          </w:tcPr>
          <w:p>
            <w:pPr>
              <w:spacing w:after="0"/>
              <w:rPr>
                <w:sz w:val="23"/>
                <w:szCs w:val="23"/>
                <w:color w:val="auto"/>
              </w:rPr>
            </w:pP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523,721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228,336</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 on other debt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(372,219)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(275,401)</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Prepayment penalty on debt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(12,610)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received from return of prepaid deferred financing costs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1,618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720" w:type="dxa"/>
            <w:vAlign w:val="bottom"/>
            <w:gridSpan w:val="2"/>
          </w:tcPr>
          <w:p>
            <w:pPr>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(205,639)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(177,926)</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Payments for deferred financing costs</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(6,568)</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46"/>
        </w:trPr>
        <w:tc>
          <w:tcPr>
            <w:tcW w:w="280" w:type="dxa"/>
            <w:vAlign w:val="bottom"/>
            <w:tcBorders>
              <w:bottom w:val="single" w:sz="8" w:color="CCEEFF"/>
            </w:tcBorders>
          </w:tcPr>
          <w:p>
            <w:pPr>
              <w:spacing w:after="0"/>
              <w:rPr>
                <w:sz w:val="21"/>
                <w:szCs w:val="21"/>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380,131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349,578</w:t>
            </w:r>
          </w:p>
        </w:tc>
        <w:tc>
          <w:tcPr>
            <w:tcW w:w="0" w:type="dxa"/>
            <w:vAlign w:val="bottom"/>
          </w:tcPr>
          <w:p>
            <w:pPr>
              <w:spacing w:after="0"/>
              <w:rPr>
                <w:sz w:val="1"/>
                <w:szCs w:val="1"/>
                <w:color w:val="auto"/>
              </w:rPr>
            </w:pPr>
          </w:p>
        </w:tc>
      </w:tr>
      <w:tr>
        <w:trPr>
          <w:trHeight w:val="254"/>
        </w:trPr>
        <w:tc>
          <w:tcPr>
            <w:tcW w:w="80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66"/>
        </w:trPr>
        <w:tc>
          <w:tcPr>
            <w:tcW w:w="8000" w:type="dxa"/>
            <w:vAlign w:val="bottom"/>
            <w:gridSpan w:val="3"/>
          </w:tcPr>
          <w:p>
            <w:pPr>
              <w:ind w:left="40"/>
              <w:spacing w:after="0"/>
              <w:rPr>
                <w:sz w:val="20"/>
                <w:szCs w:val="20"/>
                <w:color w:val="auto"/>
              </w:rPr>
            </w:pPr>
            <w:r>
              <w:rPr>
                <w:rFonts w:ascii="Arial" w:cs="Arial" w:eastAsia="Arial" w:hAnsi="Arial"/>
                <w:sz w:val="15"/>
                <w:szCs w:val="15"/>
                <w:color w:val="auto"/>
              </w:rPr>
              <w:t>Net change in cash, cash equivalents and restricted cash</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(20,536)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105,585</w:t>
            </w:r>
          </w:p>
        </w:tc>
        <w:tc>
          <w:tcPr>
            <w:tcW w:w="0" w:type="dxa"/>
            <w:vAlign w:val="bottom"/>
          </w:tcPr>
          <w:p>
            <w:pPr>
              <w:spacing w:after="0"/>
              <w:rPr>
                <w:sz w:val="1"/>
                <w:szCs w:val="1"/>
                <w:color w:val="auto"/>
              </w:rPr>
            </w:pPr>
          </w:p>
        </w:tc>
      </w:tr>
      <w:tr>
        <w:trPr>
          <w:trHeight w:val="270"/>
        </w:trPr>
        <w:tc>
          <w:tcPr>
            <w:tcW w:w="80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62,262</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23,509</w:t>
            </w:r>
          </w:p>
        </w:tc>
        <w:tc>
          <w:tcPr>
            <w:tcW w:w="0" w:type="dxa"/>
            <w:vAlign w:val="bottom"/>
          </w:tcPr>
          <w:p>
            <w:pPr>
              <w:spacing w:after="0"/>
              <w:rPr>
                <w:sz w:val="1"/>
                <w:szCs w:val="1"/>
                <w:color w:val="auto"/>
              </w:rPr>
            </w:pPr>
          </w:p>
        </w:tc>
      </w:tr>
      <w:tr>
        <w:trPr>
          <w:trHeight w:val="241"/>
        </w:trPr>
        <w:tc>
          <w:tcPr>
            <w:tcW w:w="8000" w:type="dxa"/>
            <w:vAlign w:val="bottom"/>
            <w:gridSpan w:val="3"/>
          </w:tcPr>
          <w:p>
            <w:pPr>
              <w:ind w:left="40"/>
              <w:spacing w:after="0"/>
              <w:rPr>
                <w:sz w:val="20"/>
                <w:szCs w:val="20"/>
                <w:color w:val="auto"/>
              </w:rPr>
            </w:pPr>
            <w:r>
              <w:rPr>
                <w:rFonts w:ascii="Arial" w:cs="Arial" w:eastAsia="Arial" w:hAnsi="Arial"/>
                <w:sz w:val="15"/>
                <w:szCs w:val="15"/>
                <w:b w:val="1"/>
                <w:bCs w:val="1"/>
                <w:color w:val="auto"/>
              </w:rPr>
              <w:t>Cash, cash equivalents and restricted cash, end of period (see Note 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41,726</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129,094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5"/>
                <w:szCs w:val="15"/>
                <w:b w:val="1"/>
                <w:bCs w:val="1"/>
                <w:color w:val="auto"/>
              </w:rPr>
              <w:t>Nine Months Ended</w:t>
            </w:r>
          </w:p>
        </w:tc>
      </w:tr>
      <w:tr>
        <w:trPr>
          <w:trHeight w:val="261"/>
        </w:trPr>
        <w:tc>
          <w:tcPr>
            <w:tcW w:w="8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2019</w:t>
            </w:r>
          </w:p>
        </w:tc>
        <w:tc>
          <w:tcPr>
            <w:tcW w:w="120" w:type="dxa"/>
            <w:vAlign w:val="bottom"/>
          </w:tcPr>
          <w:p>
            <w:pPr>
              <w:spacing w:after="0"/>
              <w:rPr>
                <w:sz w:val="22"/>
                <w:szCs w:val="22"/>
                <w:color w:val="auto"/>
              </w:rPr>
            </w:pPr>
          </w:p>
        </w:tc>
        <w:tc>
          <w:tcPr>
            <w:tcW w:w="1460" w:type="dxa"/>
            <w:vAlign w:val="bottom"/>
          </w:tcPr>
          <w:p>
            <w:pPr>
              <w:jc w:val="right"/>
              <w:ind w:right="83"/>
              <w:spacing w:after="0"/>
              <w:rPr>
                <w:sz w:val="20"/>
                <w:szCs w:val="20"/>
                <w:color w:val="auto"/>
              </w:rPr>
            </w:pPr>
            <w:r>
              <w:rPr>
                <w:rFonts w:ascii="Arial" w:cs="Arial" w:eastAsia="Arial" w:hAnsi="Arial"/>
                <w:sz w:val="15"/>
                <w:szCs w:val="15"/>
                <w:b w:val="1"/>
                <w:bCs w:val="1"/>
                <w:color w:val="auto"/>
                <w:w w:val="91"/>
              </w:rPr>
              <w:t>September 30, 2018</w:t>
            </w:r>
          </w:p>
        </w:tc>
      </w:tr>
      <w:tr>
        <w:trPr>
          <w:trHeight w:val="253"/>
        </w:trPr>
        <w:tc>
          <w:tcPr>
            <w:tcW w:w="8000" w:type="dxa"/>
            <w:vAlign w:val="bottom"/>
          </w:tcPr>
          <w:p>
            <w:pPr>
              <w:ind w:left="40"/>
              <w:spacing w:after="0"/>
              <w:rPr>
                <w:sz w:val="20"/>
                <w:szCs w:val="20"/>
                <w:color w:val="auto"/>
              </w:rPr>
            </w:pPr>
            <w:r>
              <w:rPr>
                <w:rFonts w:ascii="Arial" w:cs="Arial" w:eastAsia="Arial" w:hAnsi="Arial"/>
                <w:sz w:val="15"/>
                <w:szCs w:val="15"/>
                <w:b w:val="1"/>
                <w:bCs w:val="1"/>
                <w:color w:val="auto"/>
              </w:rPr>
              <w:t>Supplemental Information</w:t>
            </w: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4"/>
        </w:trPr>
        <w:tc>
          <w:tcPr>
            <w:tcW w:w="8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for interest (net of capitalized interest of $5,673 and $3,216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99,925</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94,801</w:t>
            </w:r>
          </w:p>
        </w:tc>
      </w:tr>
      <w:tr>
        <w:trPr>
          <w:trHeight w:val="266"/>
        </w:trPr>
        <w:tc>
          <w:tcPr>
            <w:tcW w:w="8000" w:type="dxa"/>
            <w:vAlign w:val="bottom"/>
          </w:tcPr>
          <w:p>
            <w:pPr>
              <w:ind w:left="40"/>
              <w:spacing w:after="0"/>
              <w:rPr>
                <w:sz w:val="20"/>
                <w:szCs w:val="20"/>
                <w:color w:val="auto"/>
              </w:rPr>
            </w:pPr>
            <w:r>
              <w:rPr>
                <w:rFonts w:ascii="Arial" w:cs="Arial" w:eastAsia="Arial" w:hAnsi="Arial"/>
                <w:sz w:val="15"/>
                <w:szCs w:val="15"/>
                <w:color w:val="auto"/>
              </w:rPr>
              <w:t>Cash paid for interest on mandatorily redeemable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3,132</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2,551</w:t>
            </w:r>
          </w:p>
        </w:tc>
      </w:tr>
      <w:tr>
        <w:trPr>
          <w:trHeight w:val="274"/>
        </w:trPr>
        <w:tc>
          <w:tcPr>
            <w:tcW w:w="8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(refunds)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741</w:t>
            </w:r>
          </w:p>
        </w:tc>
      </w:tr>
      <w:tr>
        <w:trPr>
          <w:trHeight w:val="266"/>
        </w:trPr>
        <w:tc>
          <w:tcPr>
            <w:tcW w:w="8000" w:type="dxa"/>
            <w:vAlign w:val="bottom"/>
          </w:tcPr>
          <w:p>
            <w:pPr>
              <w:ind w:left="40"/>
              <w:spacing w:after="0"/>
              <w:rPr>
                <w:sz w:val="20"/>
                <w:szCs w:val="20"/>
                <w:color w:val="auto"/>
              </w:rPr>
            </w:pPr>
            <w:r>
              <w:rPr>
                <w:rFonts w:ascii="Arial" w:cs="Arial" w:eastAsia="Arial" w:hAnsi="Arial"/>
                <w:sz w:val="15"/>
                <w:szCs w:val="15"/>
                <w:color w:val="auto"/>
              </w:rPr>
              <w:t>Noncash investing and financing activities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4"/>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shd w:val="clear" w:color="auto" w:fill="CCEEFF"/>
              </w:rPr>
              <w:t>Reduction in secured borrowing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14,062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16,093</w:t>
            </w:r>
          </w:p>
        </w:tc>
      </w:tr>
      <w:tr>
        <w:trPr>
          <w:trHeight w:val="266"/>
        </w:trPr>
        <w:tc>
          <w:tcPr>
            <w:tcW w:w="8000" w:type="dxa"/>
            <w:vAlign w:val="bottom"/>
          </w:tcPr>
          <w:p>
            <w:pPr>
              <w:ind w:left="280"/>
              <w:spacing w:after="0"/>
              <w:rPr>
                <w:sz w:val="20"/>
                <w:szCs w:val="20"/>
                <w:color w:val="auto"/>
              </w:rPr>
            </w:pPr>
            <w:r>
              <w:rPr>
                <w:rFonts w:ascii="Arial" w:cs="Arial" w:eastAsia="Arial" w:hAnsi="Arial"/>
                <w:sz w:val="15"/>
                <w:szCs w:val="15"/>
                <w:color w:val="auto"/>
              </w:rPr>
              <w:t>Change in distributions declared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6,442</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7,991</w:t>
            </w:r>
          </w:p>
        </w:tc>
      </w:tr>
      <w:tr>
        <w:trPr>
          <w:trHeight w:val="274"/>
        </w:trPr>
        <w:tc>
          <w:tcPr>
            <w:tcW w:w="80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Conversion of common and preferred OP units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1,489</w:t>
            </w:r>
          </w:p>
        </w:tc>
      </w:tr>
      <w:tr>
        <w:trPr>
          <w:trHeight w:val="266"/>
        </w:trPr>
        <w:tc>
          <w:tcPr>
            <w:tcW w:w="8000" w:type="dxa"/>
            <w:vAlign w:val="bottom"/>
          </w:tcPr>
          <w:p>
            <w:pPr>
              <w:ind w:left="280"/>
              <w:spacing w:after="0"/>
              <w:rPr>
                <w:sz w:val="20"/>
                <w:szCs w:val="20"/>
                <w:color w:val="auto"/>
              </w:rPr>
            </w:pPr>
            <w:r>
              <w:rPr>
                <w:rFonts w:ascii="Arial" w:cs="Arial" w:eastAsia="Arial" w:hAnsi="Arial"/>
                <w:sz w:val="15"/>
                <w:szCs w:val="15"/>
                <w:color w:val="auto"/>
              </w:rPr>
              <w:t>Conversion of Series A-4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337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675</w:t>
            </w:r>
          </w:p>
        </w:tc>
      </w:tr>
      <w:tr>
        <w:trPr>
          <w:trHeight w:val="274"/>
        </w:trPr>
        <w:tc>
          <w:tcPr>
            <w:tcW w:w="8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Noncash investing and financing activities at the date of acquisition</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6"/>
        </w:trPr>
        <w:tc>
          <w:tcPr>
            <w:tcW w:w="8000" w:type="dxa"/>
            <w:vAlign w:val="bottom"/>
          </w:tcPr>
          <w:p>
            <w:pPr>
              <w:ind w:left="280"/>
              <w:spacing w:after="0"/>
              <w:rPr>
                <w:sz w:val="20"/>
                <w:szCs w:val="20"/>
                <w:color w:val="auto"/>
              </w:rPr>
            </w:pPr>
            <w:r>
              <w:rPr>
                <w:rFonts w:ascii="Arial" w:cs="Arial" w:eastAsia="Arial" w:hAnsi="Arial"/>
                <w:sz w:val="15"/>
                <w:szCs w:val="15"/>
                <w:color w:val="auto"/>
              </w:rPr>
              <w:t>Acquisitions - Equity Interests - NG Sun LLC (see Note 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21,976</w:t>
            </w:r>
          </w:p>
        </w:tc>
      </w:tr>
      <w:tr>
        <w:trPr>
          <w:trHeight w:val="274"/>
        </w:trPr>
        <w:tc>
          <w:tcPr>
            <w:tcW w:w="80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Preferred Equity - Sun NG RV Resorts LLC (see Note 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35,277</w:t>
            </w:r>
          </w:p>
        </w:tc>
      </w:tr>
      <w:tr>
        <w:trPr>
          <w:trHeight w:val="266"/>
        </w:trPr>
        <w:tc>
          <w:tcPr>
            <w:tcW w:w="8000" w:type="dxa"/>
            <w:vAlign w:val="bottom"/>
          </w:tcPr>
          <w:p>
            <w:pPr>
              <w:ind w:left="280"/>
              <w:spacing w:after="0"/>
              <w:rPr>
                <w:sz w:val="20"/>
                <w:szCs w:val="20"/>
                <w:color w:val="auto"/>
              </w:rPr>
            </w:pPr>
            <w:r>
              <w:rPr>
                <w:rFonts w:ascii="Arial" w:cs="Arial" w:eastAsia="Arial" w:hAnsi="Arial"/>
                <w:sz w:val="15"/>
                <w:szCs w:val="15"/>
                <w:color w:val="auto"/>
              </w:rPr>
              <w:t>Acquisitions - Debt assumed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3,900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3,120</w:t>
            </w:r>
          </w:p>
        </w:tc>
      </w:tr>
      <w:tr>
        <w:trPr>
          <w:trHeight w:val="274"/>
        </w:trPr>
        <w:tc>
          <w:tcPr>
            <w:tcW w:w="80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Series D preferred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51,930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000" w:type="dxa"/>
            <w:vAlign w:val="bottom"/>
          </w:tcPr>
          <w:p>
            <w:pPr>
              <w:ind w:left="280"/>
              <w:spacing w:after="0"/>
              <w:rPr>
                <w:sz w:val="20"/>
                <w:szCs w:val="20"/>
                <w:color w:val="auto"/>
              </w:rPr>
            </w:pPr>
            <w:r>
              <w:rPr>
                <w:rFonts w:ascii="Arial" w:cs="Arial" w:eastAsia="Arial" w:hAnsi="Arial"/>
                <w:sz w:val="15"/>
                <w:szCs w:val="15"/>
                <w:color w:val="auto"/>
              </w:rPr>
              <w:t>Acquisitions - Escrow</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1,395</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0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Deferred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12,597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20" w:type="dxa"/>
            <w:vAlign w:val="bottom"/>
          </w:tcPr>
          <w:p>
            <w:pPr>
              <w:spacing w:after="0"/>
              <w:rPr>
                <w:sz w:val="13"/>
                <w:szCs w:val="13"/>
                <w:color w:val="auto"/>
              </w:rPr>
            </w:pPr>
          </w:p>
        </w:tc>
        <w:tc>
          <w:tcPr>
            <w:tcW w:w="1120" w:type="dxa"/>
            <w:vAlign w:val="bottom"/>
          </w:tcPr>
          <w:p>
            <w:pPr>
              <w:jc w:val="center"/>
              <w:ind w:right="2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7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Temporary</w:t>
            </w:r>
          </w:p>
        </w:tc>
        <w:tc>
          <w:tcPr>
            <w:tcW w:w="12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12"/>
                <w:szCs w:val="12"/>
                <w:color w:val="auto"/>
              </w:rPr>
            </w:pPr>
          </w:p>
        </w:tc>
        <w:tc>
          <w:tcPr>
            <w:tcW w:w="11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800" w:type="dxa"/>
            <w:vAlign w:val="bottom"/>
          </w:tcPr>
          <w:p>
            <w:pPr>
              <w:jc w:val="right"/>
              <w:ind w:right="14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2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Income / (Loss)</w:t>
            </w:r>
          </w:p>
        </w:tc>
        <w:tc>
          <w:tcPr>
            <w:tcW w:w="120" w:type="dxa"/>
            <w:vAlign w:val="bottom"/>
          </w:tcPr>
          <w:p>
            <w:pPr>
              <w:spacing w:after="0"/>
              <w:rPr>
                <w:sz w:val="16"/>
                <w:szCs w:val="16"/>
                <w:color w:val="auto"/>
              </w:rPr>
            </w:pPr>
          </w:p>
        </w:tc>
        <w:tc>
          <w:tcPr>
            <w:tcW w:w="76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tcPr>
          <w:p>
            <w:pPr>
              <w:jc w:val="right"/>
              <w:ind w:right="16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63,592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4,398,949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(1,288,486)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60,499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3,167,322</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$ 3,230,914</w:t>
            </w:r>
          </w:p>
        </w:tc>
        <w:tc>
          <w:tcPr>
            <w:tcW w:w="0" w:type="dxa"/>
            <w:vAlign w:val="bottom"/>
          </w:tcPr>
          <w:p>
            <w:pPr>
              <w:spacing w:after="0"/>
              <w:rPr>
                <w:sz w:val="1"/>
                <w:szCs w:val="1"/>
                <w:color w:val="auto"/>
              </w:rPr>
            </w:pPr>
          </w:p>
        </w:tc>
      </w:tr>
      <w:tr>
        <w:trPr>
          <w:trHeight w:val="176"/>
        </w:trPr>
        <w:tc>
          <w:tcPr>
            <w:tcW w:w="3200" w:type="dxa"/>
            <w:vAlign w:val="bottom"/>
          </w:tcPr>
          <w:p>
            <w:pPr>
              <w:ind w:left="40"/>
              <w:spacing w:after="0"/>
              <w:rPr>
                <w:sz w:val="20"/>
                <w:szCs w:val="20"/>
                <w:color w:val="auto"/>
              </w:rPr>
            </w:pPr>
            <w:r>
              <w:rPr>
                <w:rFonts w:ascii="Arial" w:cs="Arial" w:eastAsia="Arial" w:hAnsi="Arial"/>
                <w:sz w:val="15"/>
                <w:szCs w:val="15"/>
                <w:color w:val="auto"/>
                <w:w w:val="93"/>
              </w:rPr>
              <w:t>Issuance of common stock and common OP units,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net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(4,322)</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(4,321)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(191)</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forfeitures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3,719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3,793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3,793</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Issuance of Series D OP units</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51,930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51,930</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1,498</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36,086</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863</w:t>
            </w:r>
          </w:p>
        </w:tc>
        <w:tc>
          <w:tcPr>
            <w:tcW w:w="1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36,949</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(65,214)</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(2,954)</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(68,153)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(68,681)</w:t>
            </w:r>
          </w:p>
        </w:tc>
        <w:tc>
          <w:tcPr>
            <w:tcW w:w="0" w:type="dxa"/>
            <w:vAlign w:val="bottom"/>
          </w:tcPr>
          <w:p>
            <w:pPr>
              <w:spacing w:after="0"/>
              <w:rPr>
                <w:sz w:val="1"/>
                <w:szCs w:val="1"/>
                <w:color w:val="auto"/>
              </w:rPr>
            </w:pPr>
          </w:p>
        </w:tc>
      </w:tr>
      <w:tr>
        <w:trPr>
          <w:trHeight w:val="28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at March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115,428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4,398,641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(1,317,605)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3,136,909</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$ 3,252,337</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color w:val="auto"/>
              </w:rPr>
              <w:t>Issuance of common stock and common OP units,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447,704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447,741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447,741</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Conversion of OP units</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242</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w:t>
            </w:r>
          </w:p>
        </w:tc>
        <w:tc>
          <w:tcPr>
            <w:tcW w:w="1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Series A-4 preferred stock</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337</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(308)</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191</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forfeitures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4,498</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1,822</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91</w:t>
            </w:r>
          </w:p>
        </w:tc>
        <w:tc>
          <w:tcPr>
            <w:tcW w:w="1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1,913</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1,913</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42,531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2,570</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45,101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45,116</w:t>
            </w:r>
          </w:p>
        </w:tc>
        <w:tc>
          <w:tcPr>
            <w:tcW w:w="0" w:type="dxa"/>
            <w:vAlign w:val="bottom"/>
          </w:tcPr>
          <w:p>
            <w:pPr>
              <w:spacing w:after="0"/>
              <w:rPr>
                <w:sz w:val="1"/>
                <w:szCs w:val="1"/>
                <w:color w:val="auto"/>
              </w:rPr>
            </w:pPr>
          </w:p>
        </w:tc>
      </w:tr>
      <w:tr>
        <w:trPr>
          <w:trHeight w:val="266"/>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(68,494)</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(2,642)</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(71,151)</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(71,709)</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June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114,553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4,851,323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(1,343,792)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58,089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3,565,343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$ 3,679,896</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line="169" w:lineRule="exact"/>
              <w:rPr>
                <w:sz w:val="20"/>
                <w:szCs w:val="20"/>
                <w:color w:val="auto"/>
              </w:rPr>
            </w:pPr>
            <w:r>
              <w:rPr>
                <w:rFonts w:ascii="Arial" w:cs="Arial" w:eastAsia="Arial" w:hAnsi="Arial"/>
                <w:sz w:val="15"/>
                <w:szCs w:val="15"/>
                <w:color w:val="auto"/>
                <w:w w:val="93"/>
              </w:rPr>
              <w:t>Issuance of common stock and common OP units,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net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(1,549)</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(1,549)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(1,549)</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884</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788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Interests - NG Sun Whitewater LLC</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2,404</w:t>
            </w:r>
          </w:p>
        </w:tc>
        <w:tc>
          <w:tcPr>
            <w:tcW w:w="0" w:type="dxa"/>
            <w:vAlign w:val="bottom"/>
          </w:tcPr>
          <w:p>
            <w:pPr>
              <w:spacing w:after="0"/>
              <w:rPr>
                <w:sz w:val="1"/>
                <w:szCs w:val="1"/>
                <w:color w:val="auto"/>
              </w:rPr>
            </w:pPr>
          </w:p>
        </w:tc>
      </w:tr>
      <w:tr>
        <w:trPr>
          <w:trHeight w:val="176"/>
        </w:trPr>
        <w:tc>
          <w:tcPr>
            <w:tcW w:w="3200" w:type="dxa"/>
            <w:vAlign w:val="bottom"/>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forfeitures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4,300</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4,382</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4,382</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2,533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59,028</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2,890</w:t>
            </w:r>
          </w:p>
        </w:tc>
        <w:tc>
          <w:tcPr>
            <w:tcW w:w="1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61,918</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64,451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(68,439)</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(71,064)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(71,691)</w:t>
            </w:r>
          </w:p>
        </w:tc>
        <w:tc>
          <w:tcPr>
            <w:tcW w:w="0" w:type="dxa"/>
            <w:vAlign w:val="bottom"/>
          </w:tcPr>
          <w:p>
            <w:pPr>
              <w:spacing w:after="0"/>
              <w:rPr>
                <w:sz w:val="1"/>
                <w:szCs w:val="1"/>
                <w:color w:val="auto"/>
              </w:rPr>
            </w:pPr>
          </w:p>
        </w:tc>
      </w:tr>
      <w:tr>
        <w:trPr>
          <w:trHeight w:val="241"/>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Balance at September 30,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119,651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4,854,958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(1,353,214)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57,394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3,557,220</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$ 3,676,871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 -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20" w:type="dxa"/>
            <w:vAlign w:val="bottom"/>
          </w:tcPr>
          <w:p>
            <w:pPr>
              <w:spacing w:after="0"/>
              <w:rPr>
                <w:sz w:val="13"/>
                <w:szCs w:val="13"/>
                <w:color w:val="auto"/>
              </w:rPr>
            </w:pPr>
          </w:p>
        </w:tc>
        <w:tc>
          <w:tcPr>
            <w:tcW w:w="1120" w:type="dxa"/>
            <w:vAlign w:val="bottom"/>
          </w:tcPr>
          <w:p>
            <w:pPr>
              <w:jc w:val="center"/>
              <w:ind w:right="2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76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Temporary</w:t>
            </w:r>
          </w:p>
        </w:tc>
        <w:tc>
          <w:tcPr>
            <w:tcW w:w="12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12"/>
                <w:szCs w:val="12"/>
                <w:color w:val="auto"/>
              </w:rPr>
            </w:pPr>
          </w:p>
        </w:tc>
        <w:tc>
          <w:tcPr>
            <w:tcW w:w="11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800" w:type="dxa"/>
            <w:vAlign w:val="bottom"/>
          </w:tcPr>
          <w:p>
            <w:pPr>
              <w:jc w:val="right"/>
              <w:ind w:right="14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2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Income / (Loss)</w:t>
            </w:r>
          </w:p>
        </w:tc>
        <w:tc>
          <w:tcPr>
            <w:tcW w:w="120" w:type="dxa"/>
            <w:vAlign w:val="bottom"/>
          </w:tcPr>
          <w:p>
            <w:pPr>
              <w:spacing w:after="0"/>
              <w:rPr>
                <w:sz w:val="16"/>
                <w:szCs w:val="16"/>
                <w:color w:val="auto"/>
              </w:rPr>
            </w:pPr>
          </w:p>
        </w:tc>
        <w:tc>
          <w:tcPr>
            <w:tcW w:w="76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43,066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3,758,533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(1,162,001)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1,102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65,256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2,663,687</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$ 2,706,753</w:t>
            </w:r>
          </w:p>
        </w:tc>
        <w:tc>
          <w:tcPr>
            <w:tcW w:w="0" w:type="dxa"/>
            <w:vAlign w:val="bottom"/>
          </w:tcPr>
          <w:p>
            <w:pPr>
              <w:spacing w:after="0"/>
              <w:rPr>
                <w:sz w:val="1"/>
                <w:szCs w:val="1"/>
                <w:color w:val="auto"/>
              </w:rPr>
            </w:pPr>
          </w:p>
        </w:tc>
      </w:tr>
      <w:tr>
        <w:trPr>
          <w:trHeight w:val="176"/>
        </w:trPr>
        <w:tc>
          <w:tcPr>
            <w:tcW w:w="3200" w:type="dxa"/>
            <w:vAlign w:val="bottom"/>
          </w:tcPr>
          <w:p>
            <w:pPr>
              <w:ind w:left="40"/>
              <w:spacing w:after="0"/>
              <w:rPr>
                <w:sz w:val="20"/>
                <w:szCs w:val="20"/>
                <w:color w:val="auto"/>
              </w:rPr>
            </w:pPr>
            <w:r>
              <w:rPr>
                <w:rFonts w:ascii="Arial" w:cs="Arial" w:eastAsia="Arial" w:hAnsi="Arial"/>
                <w:sz w:val="15"/>
                <w:szCs w:val="15"/>
                <w:color w:val="auto"/>
                <w:w w:val="93"/>
              </w:rPr>
              <w:t>Issuance of common stock and common OP units,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net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(3,298)</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(3,296)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(3,296)</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342</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3200" w:type="dxa"/>
            <w:vAlign w:val="bottom"/>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forfeitures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3,489</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3,579</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3,579</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31,507</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33,530</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33,601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(57,159)</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(2,888)</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(60,047)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(60,218)</w:t>
            </w:r>
          </w:p>
        </w:tc>
        <w:tc>
          <w:tcPr>
            <w:tcW w:w="0" w:type="dxa"/>
            <w:vAlign w:val="bottom"/>
          </w:tcPr>
          <w:p>
            <w:pPr>
              <w:spacing w:after="0"/>
              <w:rPr>
                <w:sz w:val="1"/>
                <w:szCs w:val="1"/>
                <w:color w:val="auto"/>
              </w:rPr>
            </w:pPr>
          </w:p>
        </w:tc>
      </w:tr>
      <w:tr>
        <w:trPr>
          <w:trHeight w:val="28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at March 31,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42,906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3,759,066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(1,187,563)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2,635,651</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$ 2,678,557</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color w:val="auto"/>
              </w:rPr>
              <w:t>Issuance of common stock and common OP units,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89,255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89,265</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Conversion of OP units</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778</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(544)</w:t>
            </w:r>
          </w:p>
        </w:tc>
        <w:tc>
          <w:tcPr>
            <w:tcW w:w="1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Series A-4 preferred stock</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675</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forfeitures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4,283</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4,374</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21,869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21,869</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21,943</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2,179</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24,122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24,170</w:t>
            </w:r>
          </w:p>
        </w:tc>
        <w:tc>
          <w:tcPr>
            <w:tcW w:w="0" w:type="dxa"/>
            <w:vAlign w:val="bottom"/>
          </w:tcPr>
          <w:p>
            <w:pPr>
              <w:spacing w:after="0"/>
              <w:rPr>
                <w:sz w:val="1"/>
                <w:szCs w:val="1"/>
                <w:color w:val="auto"/>
              </w:rPr>
            </w:pPr>
          </w:p>
        </w:tc>
      </w:tr>
      <w:tr>
        <w:trPr>
          <w:trHeight w:val="266"/>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(57,865)</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(2,880)</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(60,745)</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(60,915)</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June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63,745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3,854,057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(1,223,394)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62,694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2,691,982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$ 2,755,727</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line="169" w:lineRule="exact"/>
              <w:rPr>
                <w:sz w:val="20"/>
                <w:szCs w:val="20"/>
                <w:color w:val="auto"/>
              </w:rPr>
            </w:pPr>
            <w:r>
              <w:rPr>
                <w:rFonts w:ascii="Arial" w:cs="Arial" w:eastAsia="Arial" w:hAnsi="Arial"/>
                <w:sz w:val="15"/>
                <w:szCs w:val="15"/>
                <w:color w:val="auto"/>
                <w:w w:val="93"/>
              </w:rPr>
              <w:t>Issuance of common stock and common OP units,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net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538,129</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538,183</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538,183</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368</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200" w:type="dxa"/>
            <w:vAlign w:val="bottom"/>
          </w:tcPr>
          <w:p>
            <w:pPr>
              <w:ind w:left="40"/>
              <w:spacing w:after="0"/>
              <w:rPr>
                <w:sz w:val="20"/>
                <w:szCs w:val="20"/>
                <w:color w:val="auto"/>
              </w:rPr>
            </w:pPr>
            <w:r>
              <w:rPr>
                <w:rFonts w:ascii="Arial" w:cs="Arial" w:eastAsia="Arial" w:hAnsi="Arial"/>
                <w:sz w:val="15"/>
                <w:szCs w:val="15"/>
                <w:color w:val="auto"/>
              </w:rPr>
              <w:t>Share-based compensation - amortization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Arial" w:cs="Arial" w:eastAsia="Arial" w:hAnsi="Arial"/>
                <w:sz w:val="15"/>
                <w:szCs w:val="15"/>
                <w:color w:val="auto"/>
              </w:rPr>
              <w:t>forfeitures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3,538</w:t>
            </w:r>
          </w:p>
        </w:tc>
        <w:tc>
          <w:tcPr>
            <w:tcW w:w="16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3,604</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3,604</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1,794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1,890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1,890</w:t>
            </w:r>
          </w:p>
        </w:tc>
        <w:tc>
          <w:tcPr>
            <w:tcW w:w="0" w:type="dxa"/>
            <w:vAlign w:val="bottom"/>
          </w:tcPr>
          <w:p>
            <w:pPr>
              <w:spacing w:after="0"/>
              <w:rPr>
                <w:sz w:val="1"/>
                <w:szCs w:val="1"/>
                <w:color w:val="auto"/>
              </w:rPr>
            </w:pPr>
          </w:p>
        </w:tc>
      </w:tr>
      <w:tr>
        <w:trPr>
          <w:trHeight w:val="266"/>
        </w:trPr>
        <w:tc>
          <w:tcPr>
            <w:tcW w:w="320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12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74"/>
        </w:trPr>
        <w:tc>
          <w:tcPr>
            <w:tcW w:w="32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47,643</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3,966</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51,609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51,715</w:t>
            </w:r>
          </w:p>
        </w:tc>
        <w:tc>
          <w:tcPr>
            <w:tcW w:w="0" w:type="dxa"/>
            <w:vAlign w:val="bottom"/>
          </w:tcPr>
          <w:p>
            <w:pPr>
              <w:spacing w:after="0"/>
              <w:rPr>
                <w:sz w:val="1"/>
                <w:szCs w:val="1"/>
                <w:color w:val="auto"/>
              </w:rPr>
            </w:pPr>
          </w:p>
        </w:tc>
      </w:tr>
      <w:tr>
        <w:trPr>
          <w:trHeight w:val="266"/>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(61,743)</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(2,874)</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(64,617)</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(64,785)</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September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63,741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4,396,092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(1,237,428)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63,562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3,222,700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$ 3,286,441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Sun Communities, Inc., a Maryland corporation, and all wholly-owned or majority-owned and controlled subsidiaries, including Sun Communities Operating Limited Partnership (the “Operating Partnership”) and Sun Home Services, Inc. (“SHS”) are referred to herein as the “Company,” “us,” “we,” and “our.”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follow accounting standards set by the Financial Accounting Standards Board (“FASB”). FASB sets generally accepted accounting principles (“GAAP”), which we follow to ensure that we consistently report our financial condition, results of operations, and cash flows. References to GAAP issued by the FASB in these footnotes are to the FASB Accounting Standards Codification (“ASC”).</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Consolidated Financial Statements have been prepared pursuant to the rules and regulations of the Securities and Exchange Commission (“SEC”) for interim financial information and in accordance with GAAP. Pursuant to the SEC rules and regulations we present interim disclosures and certain information and footnote disclosures as required.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 Certain reclassifications have been made to prior period financial statements in order to conform to current period presentation.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2018 as filed with the SEC on February 21, 2019 (the “2018 Annual Report”). These statements have been prepared on a basis that is substantially consistent with the accounting principles applied in our 2018 Annual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64"/>
        </w:trPr>
        <w:tc>
          <w:tcPr>
            <w:tcW w:w="3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8"/>
              </w:rPr>
              <w:t>September 30, 2019</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w w:val="95"/>
              </w:rPr>
              <w:t>September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69"/>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3"/>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89"/>
              </w:rPr>
              <w:t>Home Sales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3"/>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rPr>
              <w:t>Home Sales and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Rentals</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40" w:type="dxa"/>
            <w:vAlign w:val="bottom"/>
          </w:tcPr>
          <w:p>
            <w:pPr>
              <w:spacing w:after="0"/>
              <w:rPr>
                <w:sz w:val="17"/>
                <w:szCs w:val="17"/>
                <w:color w:val="auto"/>
              </w:rPr>
            </w:pPr>
          </w:p>
        </w:tc>
        <w:tc>
          <w:tcPr>
            <w:tcW w:w="1040" w:type="dxa"/>
            <w:vAlign w:val="bottom"/>
          </w:tcPr>
          <w:p>
            <w:pPr>
              <w:jc w:val="center"/>
              <w:ind w:right="3"/>
              <w:spacing w:after="0"/>
              <w:rPr>
                <w:sz w:val="20"/>
                <w:szCs w:val="20"/>
                <w:color w:val="auto"/>
              </w:rPr>
            </w:pPr>
            <w:r>
              <w:rPr>
                <w:rFonts w:ascii="Arial" w:cs="Arial" w:eastAsia="Arial" w:hAnsi="Arial"/>
                <w:sz w:val="15"/>
                <w:szCs w:val="15"/>
                <w:b w:val="1"/>
                <w:bCs w:val="1"/>
                <w:color w:val="auto"/>
                <w:w w:val="90"/>
              </w:rPr>
              <w:t>Operations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Rentals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66"/>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256,423</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256,423</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229,607</w:t>
            </w: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229,607</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49,805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49,805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46,131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46,131</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14,444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13,589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13,589</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31,999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31,999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27,608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27,608</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4,770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4,770</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5,256</w:t>
            </w:r>
          </w:p>
        </w:tc>
      </w:tr>
      <w:tr>
        <w:trPr>
          <w:trHeight w:val="266"/>
        </w:trPr>
        <w:tc>
          <w:tcPr>
            <w:tcW w:w="3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5,002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5,002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1,222</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1,222</w:t>
            </w:r>
          </w:p>
        </w:tc>
      </w:tr>
      <w:tr>
        <w:trPr>
          <w:trHeight w:val="241"/>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298,194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64,249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362,443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263,693</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59,720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323,413</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8"/>
        </w:trPr>
        <w:tc>
          <w:tcPr>
            <w:tcW w:w="3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Nine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8"/>
              </w:rPr>
              <w:t>September 30, 2019</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w w:val="95"/>
              </w:rPr>
              <w:t>September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69"/>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3"/>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89"/>
              </w:rPr>
              <w:t>Home Sales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3"/>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rPr>
              <w:t>Home Sales and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Rentals</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40" w:type="dxa"/>
            <w:vAlign w:val="bottom"/>
          </w:tcPr>
          <w:p>
            <w:pPr>
              <w:spacing w:after="0"/>
              <w:rPr>
                <w:sz w:val="17"/>
                <w:szCs w:val="17"/>
                <w:color w:val="auto"/>
              </w:rPr>
            </w:pPr>
          </w:p>
        </w:tc>
        <w:tc>
          <w:tcPr>
            <w:tcW w:w="1040" w:type="dxa"/>
            <w:vAlign w:val="bottom"/>
          </w:tcPr>
          <w:p>
            <w:pPr>
              <w:jc w:val="center"/>
              <w:ind w:right="3"/>
              <w:spacing w:after="0"/>
              <w:rPr>
                <w:sz w:val="20"/>
                <w:szCs w:val="20"/>
                <w:color w:val="auto"/>
              </w:rPr>
            </w:pPr>
            <w:r>
              <w:rPr>
                <w:rFonts w:ascii="Arial" w:cs="Arial" w:eastAsia="Arial" w:hAnsi="Arial"/>
                <w:sz w:val="15"/>
                <w:szCs w:val="15"/>
                <w:b w:val="1"/>
                <w:bCs w:val="1"/>
                <w:color w:val="auto"/>
                <w:w w:val="90"/>
              </w:rPr>
              <w:t>Operations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Rentals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66"/>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699,301</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699,301</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625,488</w:t>
            </w: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625,488</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136,665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136,665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122,248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122,248</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42,827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39,957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39,957</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57,746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57,746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46,207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46,207</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14,489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14,489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15,849</w:t>
            </w:r>
          </w:p>
        </w:tc>
      </w:tr>
      <w:tr>
        <w:trPr>
          <w:trHeight w:val="266"/>
        </w:trPr>
        <w:tc>
          <w:tcPr>
            <w:tcW w:w="3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11,190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11,190</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3,073</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3,073</w:t>
            </w:r>
          </w:p>
        </w:tc>
      </w:tr>
      <w:tr>
        <w:trPr>
          <w:trHeight w:val="241"/>
        </w:trPr>
        <w:tc>
          <w:tcPr>
            <w:tcW w:w="366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782,726</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179,492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962,218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690,617</w:t>
            </w: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162,205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852,822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 2018, we adopted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w:t>
      </w:r>
      <w:r>
        <w:rPr>
          <w:rFonts w:ascii="Arial" w:cs="Arial" w:eastAsia="Arial" w:hAnsi="Arial"/>
          <w:sz w:val="17"/>
          <w:szCs w:val="17"/>
          <w:i w:val="1"/>
          <w:iCs w:val="1"/>
          <w:color w:val="auto"/>
        </w:rPr>
        <w:t>Leases</w:t>
      </w:r>
      <w:r>
        <w:rPr>
          <w:rFonts w:ascii="Arial" w:cs="Arial" w:eastAsia="Arial" w:hAnsi="Arial"/>
          <w:sz w:val="17"/>
          <w:szCs w:val="17"/>
          <w:color w:val="auto"/>
        </w:rPr>
        <w:t>.” For transactions in the scope of ASC 606, we recognize revenue when control of goods or services transfers to the customer, in the amount that we expect to receive for the transfer of goods or provision of services. The adoption of ASC 606 did not result in any change to the timing and pattern of revenue recognition. Accordingly, retrospective application to prior periods or a cumulative catch-up adjustment was unnecessary.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from real property </w:t>
      </w:r>
      <w:r>
        <w:rPr>
          <w:rFonts w:ascii="Arial" w:cs="Arial" w:eastAsia="Arial" w:hAnsi="Arial"/>
          <w:sz w:val="18"/>
          <w:szCs w:val="18"/>
          <w:color w:val="auto"/>
        </w:rPr>
        <w:t>- Residents in our communities lease the site on which their home is located, and either own or lease their home. Resident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for one-year or month-to-month terms, and are renewable by mutual agreement from us and the resident, or in some cases, as provided by jurisdictional statute. Lease revenues for sites and homes fall under the scope of ASC 842, and are accounted for as operating leases with straight-line recognition. Income from real property includes income from site leases for annual manufactured homes (“MH”) residents, site leases for annual recreational vehicle (“RV”) residents and site rentals to transient RV residents. Non-lease components of our site lease contracts, which are primarily provision of utility services, are accounted for with the site lease as a single lease under ASC 842. Additionally, we include collections of real estate taxes from residents within Income from real property.</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from home sales </w:t>
      </w:r>
      <w:r>
        <w:rPr>
          <w:rFonts w:ascii="Arial" w:cs="Arial" w:eastAsia="Arial" w:hAnsi="Arial"/>
          <w:sz w:val="18"/>
          <w:szCs w:val="18"/>
          <w:color w:val="auto"/>
        </w:rPr>
        <w:t>- Our taxable REIT subsidiary, SHS, sells manufactured homes to current and prospective residents in our communities.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ASC 606, we recognized revenue for home sales pursuant to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as manufactured homes are tangible personal property that can be located on any land parcel. Manufactured homes are not permanent fixtures or improvements to the underlying real estate, and were therefore not considered to be subject to the guidance in ASC 360-20 “</w:t>
      </w:r>
      <w:r>
        <w:rPr>
          <w:rFonts w:ascii="Arial" w:cs="Arial" w:eastAsia="Arial" w:hAnsi="Arial"/>
          <w:sz w:val="18"/>
          <w:szCs w:val="18"/>
          <w:i w:val="1"/>
          <w:iCs w:val="1"/>
          <w:color w:val="auto"/>
        </w:rPr>
        <w:t>Real Estate Sales</w:t>
      </w:r>
      <w:r>
        <w:rPr>
          <w:rFonts w:ascii="Arial" w:cs="Arial" w:eastAsia="Arial" w:hAnsi="Arial"/>
          <w:sz w:val="18"/>
          <w:szCs w:val="18"/>
          <w:color w:val="auto"/>
        </w:rPr>
        <w:t>” by the Company. In accordance with the core principle of ASC 606, we recognize revenue from home sales at the time of closing when control of the home transfers to the customer. After closing of the sale transaction, we have no remaining performance obligation.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 ASC</w:t>
      </w:r>
      <w:r>
        <w:rPr>
          <w:rFonts w:ascii="Arial" w:cs="Arial" w:eastAsia="Arial" w:hAnsi="Arial"/>
          <w:sz w:val="18"/>
          <w:szCs w:val="18"/>
          <w:i w:val="1"/>
          <w:iCs w:val="1"/>
          <w:color w:val="auto"/>
        </w:rPr>
        <w:t xml:space="preserve"> </w:t>
      </w:r>
      <w:r>
        <w:rPr>
          <w:rFonts w:ascii="Arial" w:cs="Arial" w:eastAsia="Arial" w:hAnsi="Arial"/>
          <w:sz w:val="18"/>
          <w:szCs w:val="18"/>
          <w:color w:val="auto"/>
        </w:rPr>
        <w:t>842.</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Ancillary revenue </w:t>
      </w:r>
      <w:r>
        <w:rPr>
          <w:rFonts w:ascii="Arial" w:cs="Arial" w:eastAsia="Arial" w:hAnsi="Arial"/>
          <w:sz w:val="17"/>
          <w:szCs w:val="17"/>
          <w:color w:val="auto"/>
        </w:rPr>
        <w:t>- is primarily composed of proceeds from restaurant, golf, merchandise and other activities at our RV communities and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of ASC 606. Revenues are recognized at point of sale when control of the good or service transfers to the customer and our performance obligation is satisfied. In addition, leasing of short-term vacation home rentals is included within Ancillary revenue and falls within the scope of ASC 842. Sales and other taxes that we collect concurrent with revenue-producing activities are excluded from the transaction price.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 is earned primarily on our notes and collateralized receivables, which includes installment loans for manufactured homes purchased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loan originators and transferred loans that previously did not meet the requirements for sale accounting. Interest income on these receivables is accrued based on the unpaid principal balances of the underlying loans on a level yield basis over the life of the loans. Interest income is not in the scope of ASC 606. Refer to Note 4, “Collateralized Receivables and Transfers of Financial Assets” and Note 5, “Notes and Other Receivables” for additional information.</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Broker commissions and other revenues, net </w:t>
      </w:r>
      <w:r>
        <w:rPr>
          <w:rFonts w:ascii="Arial" w:cs="Arial" w:eastAsia="Arial" w:hAnsi="Arial"/>
          <w:sz w:val="17"/>
          <w:szCs w:val="17"/>
          <w:color w:val="auto"/>
        </w:rPr>
        <w:t>- is primarily comprised of brokerage commissions for sales of manufactured homes, where we act as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arrange for a third party to transfer a manufactured home to a customer within one of our communities. Brokerage commission revenues are recognized on a net basis at closing, when the transaction is completed and our performance obligations have been fulfilled. Loan loss reserve expenses for our collateralized receivables and notes receivables are also included herein. Refer to Note 4, “Collateralized Receivables and Transfers of Financial Assets” and Note 5, “Notes and Other Receivables” for additional information regarding our loan loss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2019 and December 31, 2018, we had $20.1 million and $16.1 million, respectively, of receivables from contracts with customers. Receivables from contracts with customers are presented as a component of Notes and other receivables, net on our Consolidated Balance Sheets. These receivables represent balances owed to us for previously completed performance obligations for sales of manufactured homes. Due to the nature of our revenue from contracts with customers, we do not have material contract assets or liabilities that fall under the scope of ASC 606.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2019, we acquired the following communities: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Glen Ellis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NH</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70"/>
        </w:trPr>
        <w:tc>
          <w:tcPr>
            <w:tcW w:w="3100" w:type="dxa"/>
            <w:vAlign w:val="bottom"/>
            <w:gridSpan w:val="2"/>
          </w:tcPr>
          <w:p>
            <w:pPr>
              <w:ind w:left="40"/>
              <w:spacing w:after="0" w:line="270" w:lineRule="exact"/>
              <w:rPr>
                <w:sz w:val="20"/>
                <w:szCs w:val="20"/>
                <w:color w:val="auto"/>
              </w:rPr>
            </w:pPr>
            <w:r>
              <w:rPr>
                <w:rFonts w:ascii="Arial" w:cs="Arial" w:eastAsia="Arial" w:hAnsi="Arial"/>
                <w:sz w:val="15"/>
                <w:szCs w:val="15"/>
                <w:color w:val="auto"/>
              </w:rPr>
              <w:t xml:space="preserve">Leisure Point Resort </w:t>
            </w:r>
            <w:r>
              <w:rPr>
                <w:rFonts w:ascii="Arial" w:cs="Arial" w:eastAsia="Arial" w:hAnsi="Arial"/>
                <w:sz w:val="25"/>
                <w:szCs w:val="25"/>
                <w:color w:val="auto"/>
                <w:vertAlign w:val="superscript"/>
              </w:rPr>
              <w:t>(1)</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MH / 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502</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DE</w:t>
            </w:r>
          </w:p>
        </w:tc>
        <w:tc>
          <w:tcPr>
            <w:tcW w:w="170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Reunion Lake</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LA</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River Plantation</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309</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TN</w:t>
            </w:r>
          </w:p>
        </w:tc>
        <w:tc>
          <w:tcPr>
            <w:tcW w:w="1700" w:type="dxa"/>
            <w:vAlign w:val="bottom"/>
          </w:tcPr>
          <w:p>
            <w:pPr>
              <w:ind w:left="20"/>
              <w:spacing w:after="0"/>
              <w:rPr>
                <w:sz w:val="20"/>
                <w:szCs w:val="20"/>
                <w:color w:val="auto"/>
              </w:rPr>
            </w:pPr>
            <w:r>
              <w:rPr>
                <w:rFonts w:ascii="Arial" w:cs="Arial" w:eastAsia="Arial" w:hAnsi="Arial"/>
                <w:sz w:val="15"/>
                <w:szCs w:val="15"/>
                <w:color w:val="auto"/>
              </w:rPr>
              <w:t>May</w:t>
            </w:r>
          </w:p>
        </w:tc>
      </w:tr>
      <w:tr>
        <w:trPr>
          <w:trHeight w:val="27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Massey’s Landing RV</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70"/>
        </w:trPr>
        <w:tc>
          <w:tcPr>
            <w:tcW w:w="3100" w:type="dxa"/>
            <w:vAlign w:val="bottom"/>
            <w:gridSpan w:val="2"/>
          </w:tcPr>
          <w:p>
            <w:pPr>
              <w:ind w:left="40"/>
              <w:spacing w:after="0" w:line="270" w:lineRule="exact"/>
              <w:rPr>
                <w:sz w:val="20"/>
                <w:szCs w:val="20"/>
                <w:color w:val="auto"/>
              </w:rPr>
            </w:pPr>
            <w:r>
              <w:rPr>
                <w:rFonts w:ascii="Arial" w:cs="Arial" w:eastAsia="Arial" w:hAnsi="Arial"/>
                <w:sz w:val="15"/>
                <w:szCs w:val="15"/>
                <w:color w:val="auto"/>
              </w:rPr>
              <w:t xml:space="preserve">Shelby Properties </w:t>
            </w:r>
            <w:r>
              <w:rPr>
                <w:rFonts w:ascii="Arial" w:cs="Arial" w:eastAsia="Arial" w:hAnsi="Arial"/>
                <w:sz w:val="25"/>
                <w:szCs w:val="25"/>
                <w:color w:val="auto"/>
                <w:vertAlign w:val="superscript"/>
              </w:rPr>
              <w:t>(2)</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1,308</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MI</w:t>
            </w:r>
          </w:p>
        </w:tc>
        <w:tc>
          <w:tcPr>
            <w:tcW w:w="170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Buena Vista</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400</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AZ</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70"/>
        </w:trPr>
        <w:tc>
          <w:tcPr>
            <w:tcW w:w="3100" w:type="dxa"/>
            <w:vAlign w:val="bottom"/>
            <w:gridSpan w:val="2"/>
          </w:tcPr>
          <w:p>
            <w:pPr>
              <w:ind w:left="40"/>
              <w:spacing w:after="0" w:line="270" w:lineRule="exact"/>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25"/>
                <w:szCs w:val="25"/>
                <w:color w:val="auto"/>
                <w:vertAlign w:val="superscript"/>
              </w:rPr>
              <w:t>(3)</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518</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OR</w:t>
            </w:r>
          </w:p>
        </w:tc>
        <w:tc>
          <w:tcPr>
            <w:tcW w:w="170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Hid’n Pines RV</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ME</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66"/>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Hacienda del Rio</w:t>
            </w: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MH (Age-Restricted)</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730</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FL</w:t>
            </w: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January</w:t>
            </w:r>
          </w:p>
        </w:tc>
      </w:tr>
      <w:tr>
        <w:trPr>
          <w:trHeight w:val="241"/>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4,825</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bl>
    <w:p>
      <w:pPr>
        <w:spacing w:after="0" w:line="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Contains 201 MH sites and 301 RV sites.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8"/>
          <w:szCs w:val="8"/>
          <w:color w:val="auto"/>
        </w:rPr>
      </w:pPr>
      <w:r>
        <w:rPr>
          <w:rFonts w:ascii="Arial" w:cs="Arial" w:eastAsia="Arial" w:hAnsi="Arial"/>
          <w:sz w:val="13"/>
          <w:szCs w:val="13"/>
          <w:color w:val="auto"/>
        </w:rPr>
        <w:t>In conjunction with the acquisition, we issued Series D Preferred Operating Partnership (“OP”) Units. As of September 30, 2019, 488,958 Series D Preferred OP Units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-304165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for the nine months ended September 30, 2019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rPr>
              <w:t xml:space="preserve">At Acquisition Date </w:t>
            </w:r>
            <w:r>
              <w:rPr>
                <w:rFonts w:ascii="Arial" w:cs="Arial" w:eastAsia="Arial" w:hAnsi="Arial"/>
                <w:sz w:val="25"/>
                <w:szCs w:val="25"/>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44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5"/>
        </w:trPr>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20"/>
              <w:spacing w:after="0" w:line="165" w:lineRule="exact"/>
              <w:rPr>
                <w:sz w:val="20"/>
                <w:szCs w:val="20"/>
                <w:color w:val="auto"/>
              </w:rPr>
            </w:pPr>
            <w:r>
              <w:rPr>
                <w:rFonts w:ascii="Arial" w:cs="Arial" w:eastAsia="Arial" w:hAnsi="Arial"/>
                <w:sz w:val="15"/>
                <w:szCs w:val="15"/>
                <w:color w:val="auto"/>
                <w:w w:val="91"/>
              </w:rPr>
              <w:t>In-place leases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00"/>
              <w:spacing w:after="0" w:line="165" w:lineRule="exact"/>
              <w:rPr>
                <w:sz w:val="20"/>
                <w:szCs w:val="20"/>
                <w:color w:val="auto"/>
              </w:rPr>
            </w:pPr>
            <w:r>
              <w:rPr>
                <w:rFonts w:ascii="Arial" w:cs="Arial" w:eastAsia="Arial" w:hAnsi="Arial"/>
                <w:sz w:val="15"/>
                <w:szCs w:val="15"/>
                <w:b w:val="1"/>
                <w:bCs w:val="1"/>
                <w:color w:val="auto"/>
                <w:w w:val="93"/>
              </w:rPr>
              <w:t>Total identifiable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6"/>
              </w:rPr>
              <w:t>Inventory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8"/>
              </w:rPr>
              <w:t>and other</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assets acquired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Series 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04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Investment in</w:t>
            </w:r>
          </w:p>
        </w:tc>
        <w:tc>
          <w:tcPr>
            <w:tcW w:w="140" w:type="dxa"/>
            <w:vAlign w:val="bottom"/>
          </w:tcPr>
          <w:p>
            <w:pPr>
              <w:spacing w:after="0"/>
              <w:rPr>
                <w:sz w:val="14"/>
                <w:szCs w:val="14"/>
                <w:color w:val="auto"/>
              </w:rPr>
            </w:pPr>
          </w:p>
        </w:tc>
        <w:tc>
          <w:tcPr>
            <w:tcW w:w="104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manufactured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3"/>
              </w:rPr>
              <w:t>intangible</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6"/>
              </w:rPr>
              <w:t>Other assets</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1"/>
              </w:rPr>
              <w:t>net of liabilities</w:t>
            </w:r>
          </w:p>
        </w:tc>
        <w:tc>
          <w:tcPr>
            <w:tcW w:w="120" w:type="dxa"/>
            <w:vAlign w:val="bottom"/>
          </w:tcPr>
          <w:p>
            <w:pPr>
              <w:spacing w:after="0"/>
              <w:rPr>
                <w:sz w:val="14"/>
                <w:szCs w:val="14"/>
                <w:color w:val="auto"/>
              </w:rPr>
            </w:pPr>
          </w:p>
        </w:tc>
        <w:tc>
          <w:tcPr>
            <w:tcW w:w="780" w:type="dxa"/>
            <w:vAlign w:val="bottom"/>
            <w:gridSpan w:val="2"/>
          </w:tcPr>
          <w:p>
            <w:pPr>
              <w:spacing w:after="0" w:line="162" w:lineRule="exact"/>
              <w:rPr>
                <w:sz w:val="20"/>
                <w:szCs w:val="20"/>
                <w:color w:val="auto"/>
              </w:rPr>
            </w:pPr>
            <w:r>
              <w:rPr>
                <w:rFonts w:ascii="Arial" w:cs="Arial" w:eastAsia="Arial" w:hAnsi="Arial"/>
                <w:sz w:val="15"/>
                <w:szCs w:val="15"/>
                <w:color w:val="auto"/>
              </w:rPr>
              <w:t>Cash and</w:t>
            </w:r>
          </w:p>
        </w:tc>
        <w:tc>
          <w:tcPr>
            <w:tcW w:w="120" w:type="dxa"/>
            <w:vAlign w:val="bottom"/>
          </w:tcPr>
          <w:p>
            <w:pPr>
              <w:spacing w:after="0"/>
              <w:rPr>
                <w:sz w:val="14"/>
                <w:szCs w:val="14"/>
                <w:color w:val="auto"/>
              </w:rPr>
            </w:pPr>
          </w:p>
        </w:tc>
        <w:tc>
          <w:tcPr>
            <w:tcW w:w="76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Debt</w:t>
            </w:r>
          </w:p>
        </w:tc>
        <w:tc>
          <w:tcPr>
            <w:tcW w:w="120" w:type="dxa"/>
            <w:vAlign w:val="bottom"/>
          </w:tcPr>
          <w:p>
            <w:pPr>
              <w:spacing w:after="0"/>
              <w:rPr>
                <w:sz w:val="14"/>
                <w:szCs w:val="14"/>
                <w:color w:val="auto"/>
              </w:rPr>
            </w:pPr>
          </w:p>
        </w:tc>
        <w:tc>
          <w:tcPr>
            <w:tcW w:w="780" w:type="dxa"/>
            <w:vAlign w:val="bottom"/>
            <w:gridSpan w:val="2"/>
          </w:tcPr>
          <w:p>
            <w:pPr>
              <w:spacing w:after="0" w:line="162" w:lineRule="exact"/>
              <w:rPr>
                <w:sz w:val="20"/>
                <w:szCs w:val="20"/>
                <w:color w:val="auto"/>
              </w:rPr>
            </w:pPr>
            <w:r>
              <w:rPr>
                <w:rFonts w:ascii="Arial" w:cs="Arial" w:eastAsia="Arial" w:hAnsi="Arial"/>
                <w:sz w:val="15"/>
                <w:szCs w:val="15"/>
                <w:color w:val="auto"/>
              </w:rPr>
              <w:t>Preferred</w:t>
            </w:r>
          </w:p>
        </w:tc>
        <w:tc>
          <w:tcPr>
            <w:tcW w:w="120" w:type="dxa"/>
            <w:vAlign w:val="bottom"/>
          </w:tcPr>
          <w:p>
            <w:pPr>
              <w:spacing w:after="0"/>
              <w:rPr>
                <w:sz w:val="14"/>
                <w:szCs w:val="14"/>
                <w:color w:val="auto"/>
              </w:rPr>
            </w:pPr>
          </w:p>
        </w:tc>
        <w:tc>
          <w:tcPr>
            <w:tcW w:w="1000" w:type="dxa"/>
            <w:vAlign w:val="bottom"/>
          </w:tcPr>
          <w:p>
            <w:pPr>
              <w:jc w:val="right"/>
              <w:ind w:right="32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1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8"/>
              </w:rPr>
              <w:t>property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88"/>
              </w:rPr>
              <w:t>homes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82"/>
              </w:rPr>
              <w:t>assets</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8"/>
              </w:rPr>
              <w:t>(liabilities), net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6"/>
              </w:rPr>
              <w:t>assumed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escrow</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85"/>
              </w:rPr>
              <w:t>assumed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OP units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87"/>
              </w:rPr>
              <w:t>consideration</w:t>
            </w:r>
          </w:p>
        </w:tc>
      </w:tr>
      <w:tr>
        <w:trPr>
          <w:trHeight w:val="254"/>
        </w:trPr>
        <w:tc>
          <w:tcPr>
            <w:tcW w:w="1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Glen Ellis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5,876</w:t>
            </w:r>
          </w:p>
        </w:tc>
      </w:tr>
      <w:tr>
        <w:trPr>
          <w:trHeight w:val="266"/>
        </w:trPr>
        <w:tc>
          <w:tcPr>
            <w:tcW w:w="1620" w:type="dxa"/>
            <w:vAlign w:val="bottom"/>
          </w:tcPr>
          <w:p>
            <w:pPr>
              <w:ind w:left="40"/>
              <w:spacing w:after="0"/>
              <w:rPr>
                <w:sz w:val="20"/>
                <w:szCs w:val="20"/>
                <w:color w:val="auto"/>
              </w:rPr>
            </w:pPr>
            <w:r>
              <w:rPr>
                <w:rFonts w:ascii="Arial" w:cs="Arial" w:eastAsia="Arial" w:hAnsi="Arial"/>
                <w:sz w:val="15"/>
                <w:szCs w:val="15"/>
                <w:color w:val="auto"/>
              </w:rPr>
              <w:t>Leisure Point Resort</w:t>
            </w:r>
          </w:p>
        </w:tc>
        <w:tc>
          <w:tcPr>
            <w:tcW w:w="16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43,632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850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43,822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43,822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43,822</w:t>
            </w:r>
          </w:p>
        </w:tc>
      </w:tr>
      <w:tr>
        <w:trPr>
          <w:trHeight w:val="274"/>
        </w:trPr>
        <w:tc>
          <w:tcPr>
            <w:tcW w:w="1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Reunion Lake</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23,493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22,340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22,340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22,340</w:t>
            </w:r>
          </w:p>
        </w:tc>
      </w:tr>
      <w:tr>
        <w:trPr>
          <w:trHeight w:val="266"/>
        </w:trPr>
        <w:tc>
          <w:tcPr>
            <w:tcW w:w="1620" w:type="dxa"/>
            <w:vAlign w:val="bottom"/>
          </w:tcPr>
          <w:p>
            <w:pPr>
              <w:ind w:left="40"/>
              <w:spacing w:after="0"/>
              <w:rPr>
                <w:sz w:val="20"/>
                <w:szCs w:val="20"/>
                <w:color w:val="auto"/>
              </w:rPr>
            </w:pPr>
            <w:r>
              <w:rPr>
                <w:rFonts w:ascii="Arial" w:cs="Arial" w:eastAsia="Arial" w:hAnsi="Arial"/>
                <w:sz w:val="15"/>
                <w:szCs w:val="15"/>
                <w:color w:val="auto"/>
              </w:rPr>
              <w:t>River Plantation</w:t>
            </w:r>
          </w:p>
        </w:tc>
        <w:tc>
          <w:tcPr>
            <w:tcW w:w="16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22,589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22,664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22,664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22,664</w:t>
            </w:r>
          </w:p>
        </w:tc>
      </w:tr>
      <w:tr>
        <w:trPr>
          <w:trHeight w:val="274"/>
        </w:trPr>
        <w:tc>
          <w:tcPr>
            <w:tcW w:w="162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Massey's Landing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19,554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19,554</w:t>
            </w:r>
          </w:p>
        </w:tc>
      </w:tr>
      <w:tr>
        <w:trPr>
          <w:trHeight w:val="266"/>
        </w:trPr>
        <w:tc>
          <w:tcPr>
            <w:tcW w:w="1620" w:type="dxa"/>
            <w:vAlign w:val="bottom"/>
          </w:tcPr>
          <w:p>
            <w:pPr>
              <w:ind w:left="40"/>
              <w:spacing w:after="0"/>
              <w:rPr>
                <w:sz w:val="20"/>
                <w:szCs w:val="20"/>
                <w:color w:val="auto"/>
              </w:rPr>
            </w:pPr>
            <w:r>
              <w:rPr>
                <w:rFonts w:ascii="Arial" w:cs="Arial" w:eastAsia="Arial" w:hAnsi="Arial"/>
                <w:sz w:val="15"/>
                <w:szCs w:val="15"/>
                <w:color w:val="auto"/>
              </w:rPr>
              <w:t>Shelby Properties</w:t>
            </w:r>
          </w:p>
        </w:tc>
        <w:tc>
          <w:tcPr>
            <w:tcW w:w="16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85,969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2,011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6,520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93,485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93,485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93,485</w:t>
            </w:r>
          </w:p>
        </w:tc>
      </w:tr>
      <w:tr>
        <w:trPr>
          <w:trHeight w:val="274"/>
        </w:trPr>
        <w:tc>
          <w:tcPr>
            <w:tcW w:w="1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Buena Vista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22,157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22,157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22,157</w:t>
            </w:r>
          </w:p>
        </w:tc>
      </w:tr>
      <w:tr>
        <w:trPr>
          <w:trHeight w:val="266"/>
        </w:trPr>
        <w:tc>
          <w:tcPr>
            <w:tcW w:w="1620" w:type="dxa"/>
            <w:vAlign w:val="bottom"/>
          </w:tcPr>
          <w:p>
            <w:pPr>
              <w:ind w:left="40"/>
              <w:spacing w:after="0"/>
              <w:rPr>
                <w:sz w:val="20"/>
                <w:szCs w:val="20"/>
                <w:color w:val="auto"/>
              </w:rPr>
            </w:pPr>
            <w:r>
              <w:rPr>
                <w:rFonts w:ascii="Arial" w:cs="Arial" w:eastAsia="Arial" w:hAnsi="Arial"/>
                <w:sz w:val="15"/>
                <w:szCs w:val="15"/>
                <w:color w:val="auto"/>
              </w:rPr>
              <w:t>Country Village</w:t>
            </w:r>
          </w:p>
        </w:tc>
        <w:tc>
          <w:tcPr>
            <w:tcW w:w="16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62,784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2,020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64,835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12,905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51,930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64,835</w:t>
            </w:r>
          </w:p>
        </w:tc>
      </w:tr>
      <w:tr>
        <w:trPr>
          <w:trHeight w:val="274"/>
        </w:trPr>
        <w:tc>
          <w:tcPr>
            <w:tcW w:w="1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Hid'n Pines</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10,680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10,517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10,517</w:t>
            </w:r>
          </w:p>
        </w:tc>
      </w:tr>
      <w:tr>
        <w:trPr>
          <w:trHeight w:val="266"/>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Hacienda del Rio</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111,971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3,280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115,029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9"/>
              </w:rPr>
              <w:t>115,029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115,029</w:t>
            </w:r>
          </w:p>
        </w:tc>
      </w:tr>
      <w:tr>
        <w:trPr>
          <w:trHeight w:val="241"/>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407,074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14,550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420,279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9"/>
              </w:rPr>
              <w:t>364,449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51,930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420,279</w:t>
            </w:r>
          </w:p>
        </w:tc>
      </w:tr>
    </w:tbl>
    <w:p>
      <w:pPr>
        <w:spacing w:after="0" w:line="8"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purchase price allocations are preliminary and may be adjusted as final valuations are determined.</w:t>
      </w:r>
    </w:p>
    <w:p>
      <w:pPr>
        <w:spacing w:after="0" w:line="13" w:lineRule="exact"/>
        <w:rPr>
          <w:rFonts w:ascii="Arial" w:cs="Arial" w:eastAsia="Arial" w:hAnsi="Arial"/>
          <w:sz w:val="9"/>
          <w:szCs w:val="9"/>
          <w:color w:val="auto"/>
        </w:rPr>
      </w:pPr>
    </w:p>
    <w:p>
      <w:pPr>
        <w:ind w:firstLine="8"/>
        <w:spacing w:after="0" w:line="255" w:lineRule="auto"/>
        <w:tabs>
          <w:tab w:leader="none" w:pos="141" w:val="left"/>
        </w:tabs>
        <w:numPr>
          <w:ilvl w:val="0"/>
          <w:numId w:val="6"/>
        </w:numPr>
        <w:rPr>
          <w:rFonts w:ascii="Arial" w:cs="Arial" w:eastAsia="Arial" w:hAnsi="Arial"/>
          <w:sz w:val="9"/>
          <w:szCs w:val="9"/>
          <w:color w:val="auto"/>
        </w:rPr>
      </w:pPr>
      <w:r>
        <w:rPr>
          <w:rFonts w:ascii="Arial" w:cs="Arial" w:eastAsia="Arial" w:hAnsi="Arial"/>
          <w:sz w:val="14"/>
          <w:szCs w:val="14"/>
          <w:color w:val="auto"/>
        </w:rPr>
        <w:t>As of September 30, 2019, Massey’s Landing has an incremental estimated deferred purchase price of $12.6 million which is recorded within Land improvements and buildings, and Other liabilities on the Consolidated Balance Sheets and will be allocated as additional purchase price consideration once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-323850</wp:posOffset>
            </wp:positionV>
            <wp:extent cx="6226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2019, the Company has incurred $9.3 million of additional capitalized transaction costs which have been allocated among the various categories above.</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and Plan of Merger - Jensen Portfolio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22, 2019, the Company entered into an agreement to acquire a 31-community manufactured housing portfolio (the “Jensen Portfolio”) for $343.6 million. The Jensen Portfolio has 5,230 operating sites and 466 additional sites available for development. The 31 communities are located in eight states across the eastern United States. The purchase price will be paid through a combination of $274.8 million shares of common stock and cash consideration. We expect to acquire the Jensen Portfolio no later than October 31, 2019. However, the closing is subject to the satisfaction of customary closing conditions, including obtaining certain third party consents. If these conditions are not satisfied or waived, or if the merger agreement is otherwise terminated in accordance with its terms, then the acquisition will not be consummated.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Development</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August 2019, the Company acquired land in New Braunfels, Texas, in association with our Sun NG Whitewater RV variable interest entity, for the development of Whitewater RV Resort (“Whitewater”) for total consideration of $4.7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September 2019, the Company entered into a 66-year Temporary Occupancy and Use Permit with the Port of San Diego to construct and operate a new RV resort in Chula Vista. Refer to Note 18. “ Leases ” for disclosures on accounting treatment.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August 2019, the Company acquired Chincoteague Island KOA RV Resort (“Chincoteague”), in Chincoteague Island, Virginia for total consideration of $19.5 million. The sellers of Chincoteague continue to operate the property. Refer to Note 18. “ Leases ” for disclosures on accounting treatment.</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April 2019, the Company acquired Strafford/Lake Winnipesaukee South KOA RV Resort ("Strafford") in Strafford, New Hampshire for total consideration of $2.7 million. The sellers of Strafford continue to operate the property. Refer to Note 18. “ Leases ” for disclosures on accounting treatment.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2019, the Company entered into a four year Temporary Occupancy and Use Permit with the Port of San Diego to operate a RV resort located in Chula Vista, CA until such time as a new RV resort is constructed in the area. Concurrent with the transaction, we purchased tangible personal property from the prior owner of the RV resort for $0.3 million. Refer to Note 18. “ Leases ” for disclosures on accounting treatment.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real estate acquisition activity after September 30,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and nine months ended September 30, 2019 related to the acquisitions completed in 2019 are set forth in the following table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4"/>
              </w:rPr>
              <w:t>Three Months Ended</w:t>
            </w:r>
          </w:p>
        </w:tc>
        <w:tc>
          <w:tcPr>
            <w:tcW w:w="320" w:type="dxa"/>
            <w:vAlign w:val="bottom"/>
          </w:tcPr>
          <w:p>
            <w:pPr>
              <w:spacing w:after="0"/>
              <w:rPr>
                <w:sz w:val="17"/>
                <w:szCs w:val="17"/>
                <w:color w:val="auto"/>
              </w:rPr>
            </w:pPr>
          </w:p>
        </w:tc>
        <w:tc>
          <w:tcPr>
            <w:tcW w:w="2060" w:type="dxa"/>
            <w:vAlign w:val="bottom"/>
          </w:tcPr>
          <w:p>
            <w:pPr>
              <w:jc w:val="right"/>
              <w:ind w:right="463"/>
              <w:spacing w:after="0"/>
              <w:rPr>
                <w:sz w:val="20"/>
                <w:szCs w:val="20"/>
                <w:color w:val="auto"/>
              </w:rPr>
            </w:pPr>
            <w:r>
              <w:rPr>
                <w:rFonts w:ascii="Arial" w:cs="Arial" w:eastAsia="Arial" w:hAnsi="Arial"/>
                <w:sz w:val="15"/>
                <w:szCs w:val="15"/>
                <w:b w:val="1"/>
                <w:bCs w:val="1"/>
                <w:color w:val="auto"/>
              </w:rPr>
              <w:t>Nine Months Ended</w:t>
            </w:r>
          </w:p>
        </w:tc>
      </w:tr>
      <w:tr>
        <w:trPr>
          <w:trHeight w:val="274"/>
        </w:trPr>
        <w:tc>
          <w:tcPr>
            <w:tcW w:w="6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1"/>
              </w:rPr>
              <w:t>September 30, 2019</w:t>
            </w:r>
          </w:p>
        </w:tc>
        <w:tc>
          <w:tcPr>
            <w:tcW w:w="320" w:type="dxa"/>
            <w:vAlign w:val="bottom"/>
          </w:tcPr>
          <w:p>
            <w:pPr>
              <w:spacing w:after="0"/>
              <w:rPr>
                <w:sz w:val="23"/>
                <w:szCs w:val="23"/>
                <w:color w:val="auto"/>
              </w:rPr>
            </w:pPr>
          </w:p>
        </w:tc>
        <w:tc>
          <w:tcPr>
            <w:tcW w:w="2060" w:type="dxa"/>
            <w:vAlign w:val="bottom"/>
          </w:tcPr>
          <w:p>
            <w:pPr>
              <w:jc w:val="right"/>
              <w:ind w:right="483"/>
              <w:spacing w:after="0"/>
              <w:rPr>
                <w:sz w:val="20"/>
                <w:szCs w:val="20"/>
                <w:color w:val="auto"/>
              </w:rPr>
            </w:pPr>
            <w:r>
              <w:rPr>
                <w:rFonts w:ascii="Arial" w:cs="Arial" w:eastAsia="Arial" w:hAnsi="Arial"/>
                <w:sz w:val="15"/>
                <w:szCs w:val="15"/>
                <w:b w:val="1"/>
                <w:bCs w:val="1"/>
                <w:color w:val="auto"/>
              </w:rPr>
              <w:t>September 30, 2019</w:t>
            </w:r>
          </w:p>
        </w:tc>
      </w:tr>
      <w:tr>
        <w:trPr>
          <w:trHeight w:val="254"/>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3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21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14,010</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20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26,938</w:t>
            </w:r>
          </w:p>
        </w:tc>
      </w:tr>
      <w:tr>
        <w:trPr>
          <w:trHeight w:val="262"/>
        </w:trPr>
        <w:tc>
          <w:tcPr>
            <w:tcW w:w="640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2100" w:type="dxa"/>
            <w:vAlign w:val="bottom"/>
          </w:tcPr>
          <w:p>
            <w:pPr>
              <w:jc w:val="right"/>
              <w:ind w:right="43"/>
              <w:spacing w:after="0"/>
              <w:rPr>
                <w:sz w:val="20"/>
                <w:szCs w:val="20"/>
                <w:color w:val="auto"/>
              </w:rPr>
            </w:pPr>
            <w:r>
              <w:rPr>
                <w:rFonts w:ascii="Arial" w:cs="Arial" w:eastAsia="Arial" w:hAnsi="Arial"/>
                <w:sz w:val="15"/>
                <w:szCs w:val="15"/>
                <w:color w:val="auto"/>
              </w:rPr>
              <w:t>6,308</w:t>
            </w:r>
          </w:p>
        </w:tc>
        <w:tc>
          <w:tcPr>
            <w:tcW w:w="220" w:type="dxa"/>
            <w:vAlign w:val="bottom"/>
          </w:tcPr>
          <w:p>
            <w:pPr>
              <w:spacing w:after="0"/>
              <w:rPr>
                <w:sz w:val="22"/>
                <w:szCs w:val="22"/>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23"/>
              <w:spacing w:after="0"/>
              <w:rPr>
                <w:sz w:val="20"/>
                <w:szCs w:val="20"/>
                <w:color w:val="auto"/>
              </w:rPr>
            </w:pPr>
            <w:r>
              <w:rPr>
                <w:rFonts w:ascii="Arial" w:cs="Arial" w:eastAsia="Arial" w:hAnsi="Arial"/>
                <w:sz w:val="15"/>
                <w:szCs w:val="15"/>
                <w:color w:val="auto"/>
              </w:rPr>
              <w:t>11,181</w:t>
            </w:r>
          </w:p>
        </w:tc>
      </w:tr>
    </w:tbl>
    <w:p>
      <w:pPr>
        <w:spacing w:after="0" w:line="200" w:lineRule="exact"/>
        <w:rPr>
          <w:sz w:val="20"/>
          <w:szCs w:val="20"/>
          <w:color w:val="auto"/>
        </w:rPr>
      </w:pP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unaudited pro forma financial information presents the results of our operations for the three and nine months ended September 30, 2019 and 2018, as if the properties acquired in 2019 had been acquired on January 1, 2018. The unaudited pro forma results reflect certain adjustments for items that are not expected to have a continuing impact, such as adjustments for transaction costs incurred, management fees, and purchase accounting.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2018 (in thousands, except per-share data):</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320"/>
              <w:spacing w:after="0"/>
              <w:rPr>
                <w:sz w:val="20"/>
                <w:szCs w:val="20"/>
                <w:color w:val="auto"/>
              </w:rPr>
            </w:pPr>
            <w:r>
              <w:rPr>
                <w:rFonts w:ascii="Arial" w:cs="Arial" w:eastAsia="Arial" w:hAnsi="Arial"/>
                <w:sz w:val="15"/>
                <w:szCs w:val="15"/>
                <w:b w:val="1"/>
                <w:bCs w:val="1"/>
                <w:color w:val="auto"/>
                <w:w w:val="97"/>
              </w:rPr>
              <w:t>Three Months Ended</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w w:val="97"/>
              </w:rPr>
              <w:t>Nine Months Ended</w:t>
            </w:r>
          </w:p>
        </w:tc>
        <w:tc>
          <w:tcPr>
            <w:tcW w:w="660" w:type="dxa"/>
            <w:vAlign w:val="bottom"/>
            <w:tcBorders>
              <w:bottom w:val="single" w:sz="8" w:color="auto"/>
            </w:tcBorders>
          </w:tcPr>
          <w:p>
            <w:pPr>
              <w:spacing w:after="0"/>
              <w:rPr>
                <w:sz w:val="17"/>
                <w:szCs w:val="17"/>
                <w:color w:val="auto"/>
              </w:rPr>
            </w:pPr>
          </w:p>
        </w:tc>
      </w:tr>
      <w:tr>
        <w:trPr>
          <w:trHeight w:val="264"/>
        </w:trPr>
        <w:tc>
          <w:tcPr>
            <w:tcW w:w="548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2019</w:t>
            </w:r>
          </w:p>
        </w:tc>
        <w:tc>
          <w:tcPr>
            <w:tcW w:w="15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2018</w:t>
            </w: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2019</w:t>
            </w: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w w:val="91"/>
              </w:rPr>
              <w:t>September 30, 2018</w:t>
            </w:r>
          </w:p>
        </w:tc>
      </w:tr>
      <w:tr>
        <w:trPr>
          <w:trHeight w:val="25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369,296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9"/>
              </w:rPr>
              <w:t>335,548</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971,477</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9"/>
              </w:rPr>
              <w:t>878,077</w:t>
            </w:r>
          </w:p>
        </w:tc>
      </w:tr>
      <w:tr>
        <w:trPr>
          <w:trHeight w:val="266"/>
        </w:trPr>
        <w:tc>
          <w:tcPr>
            <w:tcW w:w="548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59,317</w:t>
            </w:r>
          </w:p>
        </w:tc>
        <w:tc>
          <w:tcPr>
            <w:tcW w:w="1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48,289</w:t>
            </w:r>
          </w:p>
        </w:tc>
        <w:tc>
          <w:tcPr>
            <w:tcW w:w="22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133,868</w:t>
            </w:r>
          </w:p>
        </w:tc>
        <w:tc>
          <w:tcPr>
            <w:tcW w:w="12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w w:val="99"/>
              </w:rPr>
              <w:t>101,737</w:t>
            </w:r>
          </w:p>
        </w:tc>
      </w:tr>
      <w:tr>
        <w:trPr>
          <w:trHeight w:val="180"/>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Net income per share attributable to Sun Communities, Inc. common stockholders -</w:t>
            </w: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2"/>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0.61</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r>
      <w:tr>
        <w:trPr>
          <w:trHeight w:val="176"/>
        </w:trPr>
        <w:tc>
          <w:tcPr>
            <w:tcW w:w="5480" w:type="dxa"/>
            <w:vAlign w:val="bottom"/>
          </w:tcPr>
          <w:p>
            <w:pPr>
              <w:ind w:left="20"/>
              <w:spacing w:after="0"/>
              <w:rPr>
                <w:sz w:val="20"/>
                <w:szCs w:val="20"/>
                <w:color w:val="auto"/>
              </w:rPr>
            </w:pPr>
            <w:r>
              <w:rPr>
                <w:rFonts w:ascii="Arial" w:cs="Arial" w:eastAsia="Arial" w:hAnsi="Arial"/>
                <w:sz w:val="15"/>
                <w:szCs w:val="15"/>
                <w:color w:val="auto"/>
                <w:w w:val="98"/>
              </w:rPr>
              <w:t>Net income per share attributable to Sun Communities, Inc. common stockholders -</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4"/>
        </w:trPr>
        <w:tc>
          <w:tcPr>
            <w:tcW w:w="5480" w:type="dxa"/>
            <w:vAlign w:val="bottom"/>
          </w:tcPr>
          <w:p>
            <w:pPr>
              <w:ind w:left="20"/>
              <w:spacing w:after="0"/>
              <w:rPr>
                <w:sz w:val="20"/>
                <w:szCs w:val="20"/>
                <w:color w:val="auto"/>
              </w:rPr>
            </w:pPr>
            <w:r>
              <w:rPr>
                <w:rFonts w:ascii="Arial" w:cs="Arial" w:eastAsia="Arial" w:hAnsi="Arial"/>
                <w:sz w:val="15"/>
                <w:szCs w:val="15"/>
                <w:color w:val="auto"/>
              </w:rPr>
              <w:t>diluted</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0.68</w:t>
            </w:r>
          </w:p>
        </w:tc>
        <w:tc>
          <w:tcPr>
            <w:tcW w:w="12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0.60</w:t>
            </w:r>
          </w:p>
        </w:tc>
        <w:tc>
          <w:tcPr>
            <w:tcW w:w="22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1.27</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2018 we acquired the following communities: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Development Sites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Leaf Verde RV Resort</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AZ</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October</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Archview</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600" w:type="dxa"/>
            <w:vAlign w:val="bottom"/>
          </w:tcPr>
          <w:p>
            <w:pPr>
              <w:ind w:left="40"/>
              <w:spacing w:after="0"/>
              <w:rPr>
                <w:sz w:val="20"/>
                <w:szCs w:val="20"/>
                <w:color w:val="auto"/>
              </w:rPr>
            </w:pPr>
            <w:r>
              <w:rPr>
                <w:rFonts w:ascii="Arial" w:cs="Arial" w:eastAsia="Arial" w:hAnsi="Arial"/>
                <w:sz w:val="15"/>
                <w:szCs w:val="15"/>
                <w:color w:val="auto"/>
              </w:rPr>
              <w:t>August</w:t>
            </w:r>
          </w:p>
        </w:tc>
      </w:tr>
      <w:tr>
        <w:trPr>
          <w:trHeight w:val="27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Petoskey KOA</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August</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The Sands RV and Golf Resort</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 (Age Restricted)</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600" w:type="dxa"/>
            <w:vAlign w:val="bottom"/>
          </w:tcPr>
          <w:p>
            <w:pPr>
              <w:ind w:left="40"/>
              <w:spacing w:after="0"/>
              <w:rPr>
                <w:sz w:val="20"/>
                <w:szCs w:val="20"/>
                <w:color w:val="auto"/>
              </w:rPr>
            </w:pPr>
            <w:r>
              <w:rPr>
                <w:rFonts w:ascii="Arial" w:cs="Arial" w:eastAsia="Arial" w:hAnsi="Arial"/>
                <w:sz w:val="15"/>
                <w:szCs w:val="15"/>
                <w:color w:val="auto"/>
              </w:rPr>
              <w:t>July</w:t>
            </w:r>
          </w:p>
        </w:tc>
      </w:tr>
      <w:tr>
        <w:trPr>
          <w:trHeight w:val="274"/>
        </w:trPr>
        <w:tc>
          <w:tcPr>
            <w:tcW w:w="322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Sun NG RV Resorts LLC </w:t>
            </w:r>
            <w:r>
              <w:rPr>
                <w:rFonts w:ascii="Arial" w:cs="Arial" w:eastAsia="Arial" w:hAnsi="Arial"/>
                <w:sz w:val="25"/>
                <w:szCs w:val="25"/>
                <w:color w:val="auto"/>
                <w:vertAlign w:val="superscript"/>
              </w:rPr>
              <w:t>(1)(2)</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940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Silver Creek</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600" w:type="dxa"/>
            <w:vAlign w:val="bottom"/>
          </w:tcPr>
          <w:p>
            <w:pPr>
              <w:ind w:left="40"/>
              <w:spacing w:after="0"/>
              <w:rPr>
                <w:sz w:val="20"/>
                <w:szCs w:val="20"/>
                <w:color w:val="auto"/>
              </w:rPr>
            </w:pPr>
            <w:r>
              <w:rPr>
                <w:rFonts w:ascii="Arial" w:cs="Arial" w:eastAsia="Arial" w:hAnsi="Arial"/>
                <w:sz w:val="15"/>
                <w:szCs w:val="15"/>
                <w:color w:val="auto"/>
              </w:rPr>
              <w:t>June</w:t>
            </w:r>
          </w:p>
        </w:tc>
      </w:tr>
      <w:tr>
        <w:trPr>
          <w:trHeight w:val="274"/>
        </w:trPr>
        <w:tc>
          <w:tcPr>
            <w:tcW w:w="322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Highway West </w:t>
            </w:r>
            <w:r>
              <w:rPr>
                <w:rFonts w:ascii="Arial" w:cs="Arial" w:eastAsia="Arial" w:hAnsi="Arial"/>
                <w:sz w:val="25"/>
                <w:szCs w:val="25"/>
                <w:color w:val="auto"/>
                <w:vertAlign w:val="superscript"/>
              </w:rPr>
              <w:t>(1)</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UT &amp; OR</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w:t>
            </w:r>
          </w:p>
        </w:tc>
      </w:tr>
      <w:tr>
        <w:trPr>
          <w:trHeight w:val="266"/>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Compass RV</w:t>
            </w: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FL</w:t>
            </w:r>
          </w:p>
        </w:tc>
        <w:tc>
          <w:tcPr>
            <w:tcW w:w="16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May</w:t>
            </w:r>
          </w:p>
        </w:tc>
      </w:tr>
      <w:tr>
        <w:trPr>
          <w:trHeight w:val="241"/>
        </w:trPr>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4,882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Highway West and Sun NG RV Resorts LLC are comprised of 4 RV and 10 RV resorts, respectively.</w:t>
      </w:r>
    </w:p>
    <w:p>
      <w:pPr>
        <w:spacing w:after="0" w:line="13" w:lineRule="exact"/>
        <w:rPr>
          <w:rFonts w:ascii="Arial" w:cs="Arial" w:eastAsia="Arial" w:hAnsi="Arial"/>
          <w:sz w:val="9"/>
          <w:szCs w:val="9"/>
          <w:color w:val="auto"/>
        </w:rPr>
      </w:pPr>
    </w:p>
    <w:p>
      <w:pPr>
        <w:ind w:right="20" w:firstLine="8"/>
        <w:spacing w:after="0" w:line="255" w:lineRule="auto"/>
        <w:tabs>
          <w:tab w:leader="none" w:pos="141" w:val="left"/>
        </w:tabs>
        <w:numPr>
          <w:ilvl w:val="0"/>
          <w:numId w:val="7"/>
        </w:numPr>
        <w:rPr>
          <w:rFonts w:ascii="Arial" w:cs="Arial" w:eastAsia="Arial" w:hAnsi="Arial"/>
          <w:sz w:val="9"/>
          <w:szCs w:val="9"/>
          <w:color w:val="auto"/>
        </w:rPr>
      </w:pPr>
      <w:r>
        <w:rPr>
          <w:rFonts w:ascii="Arial" w:cs="Arial" w:eastAsia="Arial" w:hAnsi="Arial"/>
          <w:sz w:val="14"/>
          <w:szCs w:val="14"/>
          <w:color w:val="auto"/>
        </w:rPr>
        <w:t>Refer to Note 8, “Consolidated Variable Interest Entities,” Note 9, “Debt and Lines of Credit,” and Note 10, “Equity and Temporary Equity” in our accompanying Consolidated Financial Statements for additional information.</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2018 (in thousands):</w:t>
      </w:r>
    </w:p>
    <w:p>
      <w:pPr>
        <w:spacing w:after="0" w:line="330"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At Acquisition Date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120"/>
              <w:spacing w:after="0" w:line="165" w:lineRule="exact"/>
              <w:rPr>
                <w:sz w:val="20"/>
                <w:szCs w:val="20"/>
                <w:color w:val="auto"/>
              </w:rPr>
            </w:pPr>
            <w:r>
              <w:rPr>
                <w:rFonts w:ascii="Arial" w:cs="Arial" w:eastAsia="Arial" w:hAnsi="Arial"/>
                <w:sz w:val="15"/>
                <w:szCs w:val="15"/>
                <w:color w:val="auto"/>
                <w:w w:val="89"/>
              </w:rPr>
              <w:t>In-place leases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Total identifiable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5" w:lineRule="exact"/>
              <w:rPr>
                <w:sz w:val="20"/>
                <w:szCs w:val="20"/>
                <w:color w:val="auto"/>
              </w:rPr>
            </w:pPr>
            <w:r>
              <w:rPr>
                <w:rFonts w:ascii="Arial" w:cs="Arial" w:eastAsia="Arial" w:hAnsi="Arial"/>
                <w:sz w:val="15"/>
                <w:szCs w:val="15"/>
                <w:color w:val="auto"/>
                <w:w w:val="92"/>
              </w:rPr>
              <w:t>Preferred</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5" w:lineRule="exact"/>
              <w:rPr>
                <w:sz w:val="20"/>
                <w:szCs w:val="20"/>
                <w:color w:val="auto"/>
              </w:rPr>
            </w:pPr>
            <w:r>
              <w:rPr>
                <w:rFonts w:ascii="Arial" w:cs="Arial" w:eastAsia="Arial" w:hAnsi="Arial"/>
                <w:sz w:val="15"/>
                <w:szCs w:val="15"/>
                <w:color w:val="auto"/>
                <w:w w:val="95"/>
              </w:rPr>
              <w:t>Equity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line="162" w:lineRule="exact"/>
              <w:rPr>
                <w:sz w:val="20"/>
                <w:szCs w:val="20"/>
                <w:color w:val="auto"/>
              </w:rPr>
            </w:pPr>
            <w:r>
              <w:rPr>
                <w:rFonts w:ascii="Arial" w:cs="Arial" w:eastAsia="Arial" w:hAnsi="Arial"/>
                <w:sz w:val="15"/>
                <w:szCs w:val="15"/>
                <w:color w:val="auto"/>
              </w:rPr>
              <w:t>Investment in</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other intangible</w:t>
            </w:r>
          </w:p>
        </w:tc>
        <w:tc>
          <w:tcPr>
            <w:tcW w:w="120" w:type="dxa"/>
            <w:vAlign w:val="bottom"/>
          </w:tcPr>
          <w:p>
            <w:pPr>
              <w:spacing w:after="0"/>
              <w:rPr>
                <w:sz w:val="14"/>
                <w:szCs w:val="14"/>
                <w:color w:val="auto"/>
              </w:rPr>
            </w:pPr>
          </w:p>
        </w:tc>
        <w:tc>
          <w:tcPr>
            <w:tcW w:w="8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Debt</w:t>
            </w:r>
          </w:p>
        </w:tc>
        <w:tc>
          <w:tcPr>
            <w:tcW w:w="200" w:type="dxa"/>
            <w:vAlign w:val="bottom"/>
          </w:tcPr>
          <w:p>
            <w:pPr>
              <w:spacing w:after="0"/>
              <w:rPr>
                <w:sz w:val="14"/>
                <w:szCs w:val="14"/>
                <w:color w:val="auto"/>
              </w:rPr>
            </w:pPr>
          </w:p>
        </w:tc>
        <w:tc>
          <w:tcPr>
            <w:tcW w:w="860" w:type="dxa"/>
            <w:vAlign w:val="bottom"/>
            <w:gridSpan w:val="2"/>
          </w:tcPr>
          <w:p>
            <w:pPr>
              <w:jc w:val="center"/>
              <w:ind w:right="320"/>
              <w:spacing w:after="0" w:line="162" w:lineRule="exact"/>
              <w:rPr>
                <w:sz w:val="20"/>
                <w:szCs w:val="20"/>
                <w:color w:val="auto"/>
              </w:rPr>
            </w:pPr>
            <w:r>
              <w:rPr>
                <w:rFonts w:ascii="Arial" w:cs="Arial" w:eastAsia="Arial" w:hAnsi="Arial"/>
                <w:sz w:val="15"/>
                <w:szCs w:val="15"/>
                <w:color w:val="auto"/>
                <w:w w:val="90"/>
              </w:rPr>
              <w:t>Other</w:t>
            </w:r>
          </w:p>
        </w:tc>
        <w:tc>
          <w:tcPr>
            <w:tcW w:w="166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assets acquired net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color w:val="auto"/>
                <w:w w:val="95"/>
              </w:rPr>
              <w:t>Equity - Sun</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Interests -</w:t>
            </w:r>
          </w:p>
        </w:tc>
        <w:tc>
          <w:tcPr>
            <w:tcW w:w="120" w:type="dxa"/>
            <w:vAlign w:val="bottom"/>
          </w:tcPr>
          <w:p>
            <w:pPr>
              <w:spacing w:after="0"/>
              <w:rPr>
                <w:sz w:val="14"/>
                <w:szCs w:val="14"/>
                <w:color w:val="auto"/>
              </w:rPr>
            </w:pPr>
          </w:p>
        </w:tc>
        <w:tc>
          <w:tcPr>
            <w:tcW w:w="1000" w:type="dxa"/>
            <w:vAlign w:val="bottom"/>
          </w:tcPr>
          <w:p>
            <w:pPr>
              <w:jc w:val="right"/>
              <w:ind w:right="32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property</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82"/>
              </w:rPr>
              <w:t>assets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88"/>
              </w:rPr>
              <w:t>assumed</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5"/>
              </w:rPr>
              <w:t>liabilities, net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liabilities assumed</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Cash</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NG Resorts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w w:val="98"/>
              </w:rPr>
              <w:t>NG Sun LLC</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87"/>
              </w:rPr>
              <w:t>consideration</w:t>
            </w:r>
          </w:p>
        </w:tc>
      </w:tr>
      <w:tr>
        <w:trPr>
          <w:trHeight w:val="25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Leaf Verde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11,587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11,647</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11,647</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Archview</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14,550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14,550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14,550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14,550</w:t>
            </w: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Petoskey KOA</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8,730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9,000</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Sands</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13,790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14,250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14,250</w:t>
            </w: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Sun NG Resorts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240,649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16,339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241,878</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184,625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241,878</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Silver Creek</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7,250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7,250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7,250</w:t>
            </w: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Highway West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36,500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36,500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36,500</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Compass</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13,930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14,000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14,000</w:t>
            </w:r>
          </w:p>
        </w:tc>
      </w:tr>
      <w:tr>
        <w:trPr>
          <w:trHeight w:val="241"/>
        </w:trPr>
        <w:tc>
          <w:tcPr>
            <w:tcW w:w="1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346,986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(11,990)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349,075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291,822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349,075</w:t>
            </w:r>
          </w:p>
        </w:tc>
      </w:tr>
      <w:tr>
        <w:trPr>
          <w:trHeight w:val="20"/>
        </w:trPr>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2018, we acquired the following land for expansion /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Location</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Expansion / Development Sites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2"/>
              </w:rPr>
              <w:t>Cost (millions)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Ocean West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McKinleyville, CA</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December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Water Oak Country Club Estates</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Lady Lake, FL</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November</w:t>
            </w:r>
          </w:p>
        </w:tc>
      </w:tr>
      <w:tr>
        <w:trPr>
          <w:trHeight w:val="27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Oak Crest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Austin, TX</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October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Pecan Park</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Jacksonville, FL</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September</w:t>
            </w:r>
          </w:p>
        </w:tc>
      </w:tr>
      <w:tr>
        <w:trPr>
          <w:trHeight w:val="27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Smith Creek Crossing</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Granby, CO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September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Apple Carr</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Egelston, MI</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May</w:t>
            </w: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River Run Ranch</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Granby, CO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w:t>
            </w:r>
          </w:p>
        </w:tc>
        <w:tc>
          <w:tcPr>
            <w:tcW w:w="2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May</w:t>
            </w:r>
          </w:p>
        </w:tc>
      </w:tr>
      <w:tr>
        <w:trPr>
          <w:trHeight w:val="241"/>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2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2,275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Receivables and Transfers of Financial Assets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previously completed various transactions with an unrelated entity involving our notes receivable under which we received cash proceeds in exchange for relinquishing our right, title, and interest in certain notes receivable. We have no further obligations or rights with respect to the control, management, administration, servicing, or collection of the installment notes receivable. However, we are subject to certain recourse provisions requiring us to purchase the underlying homes collateralizing such notes, in the event of a note default and subsequent repossession of the home by the unrelated entity. The recourse provisions are considered to be a form of continuing involvement, and therefore these transferred loans did not meet the requirements for sale accounting. We continue to recognize these transferred loans on our Consolidated Balance Sheets and refer to them as collateralized receivables. The cash proceeds from the transfer have been recognized as secured borrowings on collateralized receivables within the Consolidated Balance Sheets. The collateralized receivables earn interest income, and the secured borrowings accrue interest expense at the same interest rates.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of a note default and subsequent repossession of a manufactured home by the unrelated entity, the terms of the agreement require us to repurchase the manufactured home. Default is defined as the failure to repay the installment note receivable according to contractual terms. The repurchase price is calculated as a percentage of the outstanding principal balance of the collateralized receivable, plus any outstanding late fees, accrued interest, legal fees, and escrow advances associated with the installment note receivable. The percentage used to determine the repurchase price of the outstanding principal balance on the installment note receivable is based on the number of payments made on the note. In general, the repurchase price is determined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Number of Payments</w:t>
            </w:r>
          </w:p>
        </w:tc>
        <w:tc>
          <w:tcPr>
            <w:tcW w:w="54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Repurchase Percentage</w:t>
            </w:r>
          </w:p>
        </w:tc>
      </w:tr>
      <w:tr>
        <w:trPr>
          <w:trHeight w:val="196"/>
        </w:trPr>
        <w:tc>
          <w:tcPr>
            <w:tcW w:w="5940" w:type="dxa"/>
            <w:vAlign w:val="bottom"/>
            <w:shd w:val="clear" w:color="auto" w:fill="D2F0FF"/>
          </w:tcPr>
          <w:p>
            <w:pPr>
              <w:ind w:left="40"/>
              <w:spacing w:after="0"/>
              <w:rPr>
                <w:sz w:val="20"/>
                <w:szCs w:val="20"/>
                <w:color w:val="auto"/>
              </w:rPr>
            </w:pPr>
            <w:r>
              <w:rPr>
                <w:rFonts w:ascii="Arial" w:cs="Arial" w:eastAsia="Arial" w:hAnsi="Arial"/>
                <w:sz w:val="15"/>
                <w:szCs w:val="15"/>
                <w:color w:val="auto"/>
              </w:rPr>
              <w:t>Less than or equal to 15</w:t>
            </w:r>
          </w:p>
        </w:tc>
        <w:tc>
          <w:tcPr>
            <w:tcW w:w="5480" w:type="dxa"/>
            <w:vAlign w:val="bottom"/>
            <w:shd w:val="clear" w:color="auto" w:fill="D2F0FF"/>
          </w:tcPr>
          <w:p>
            <w:pPr>
              <w:jc w:val="right"/>
              <w:spacing w:after="0"/>
              <w:rPr>
                <w:sz w:val="20"/>
                <w:szCs w:val="20"/>
                <w:color w:val="auto"/>
              </w:rPr>
            </w:pPr>
            <w:r>
              <w:rPr>
                <w:rFonts w:ascii="Arial" w:cs="Arial" w:eastAsia="Arial" w:hAnsi="Arial"/>
                <w:sz w:val="15"/>
                <w:szCs w:val="15"/>
                <w:color w:val="auto"/>
              </w:rPr>
              <w:t>100%</w:t>
            </w:r>
          </w:p>
        </w:tc>
      </w:tr>
      <w:tr>
        <w:trPr>
          <w:trHeight w:val="216"/>
        </w:trPr>
        <w:tc>
          <w:tcPr>
            <w:tcW w:w="5940" w:type="dxa"/>
            <w:vAlign w:val="bottom"/>
          </w:tcPr>
          <w:p>
            <w:pPr>
              <w:ind w:left="40"/>
              <w:spacing w:after="0"/>
              <w:rPr>
                <w:sz w:val="20"/>
                <w:szCs w:val="20"/>
                <w:color w:val="auto"/>
              </w:rPr>
            </w:pPr>
            <w:r>
              <w:rPr>
                <w:rFonts w:ascii="Arial" w:cs="Arial" w:eastAsia="Arial" w:hAnsi="Arial"/>
                <w:sz w:val="15"/>
                <w:szCs w:val="15"/>
                <w:color w:val="auto"/>
              </w:rPr>
              <w:t>Greater than 15 but less than 64</w:t>
            </w:r>
          </w:p>
        </w:tc>
        <w:tc>
          <w:tcPr>
            <w:tcW w:w="548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6"/>
        </w:trPr>
        <w:tc>
          <w:tcPr>
            <w:tcW w:w="5940" w:type="dxa"/>
            <w:vAlign w:val="bottom"/>
            <w:shd w:val="clear" w:color="auto" w:fill="D2F0FF"/>
          </w:tcPr>
          <w:p>
            <w:pPr>
              <w:ind w:left="40"/>
              <w:spacing w:after="0"/>
              <w:rPr>
                <w:sz w:val="20"/>
                <w:szCs w:val="20"/>
                <w:color w:val="auto"/>
              </w:rPr>
            </w:pPr>
            <w:r>
              <w:rPr>
                <w:rFonts w:ascii="Arial" w:cs="Arial" w:eastAsia="Arial" w:hAnsi="Arial"/>
                <w:sz w:val="15"/>
                <w:szCs w:val="15"/>
                <w:color w:val="auto"/>
              </w:rPr>
              <w:t>Equal to or greater than 64 but less than 120</w:t>
            </w:r>
          </w:p>
        </w:tc>
        <w:tc>
          <w:tcPr>
            <w:tcW w:w="5480" w:type="dxa"/>
            <w:vAlign w:val="bottom"/>
            <w:shd w:val="clear" w:color="auto" w:fill="D2F0FF"/>
          </w:tcPr>
          <w:p>
            <w:pPr>
              <w:jc w:val="right"/>
              <w:spacing w:after="0"/>
              <w:rPr>
                <w:sz w:val="20"/>
                <w:szCs w:val="20"/>
                <w:color w:val="auto"/>
              </w:rPr>
            </w:pPr>
            <w:r>
              <w:rPr>
                <w:rFonts w:ascii="Arial" w:cs="Arial" w:eastAsia="Arial" w:hAnsi="Arial"/>
                <w:sz w:val="15"/>
                <w:szCs w:val="15"/>
                <w:color w:val="auto"/>
              </w:rPr>
              <w:t>65%</w:t>
            </w:r>
          </w:p>
        </w:tc>
      </w:tr>
      <w:tr>
        <w:trPr>
          <w:trHeight w:val="208"/>
        </w:trPr>
        <w:tc>
          <w:tcPr>
            <w:tcW w:w="5940" w:type="dxa"/>
            <w:vAlign w:val="bottom"/>
          </w:tcPr>
          <w:p>
            <w:pPr>
              <w:ind w:left="40"/>
              <w:spacing w:after="0"/>
              <w:rPr>
                <w:sz w:val="20"/>
                <w:szCs w:val="20"/>
                <w:color w:val="auto"/>
              </w:rPr>
            </w:pPr>
            <w:r>
              <w:rPr>
                <w:rFonts w:ascii="Arial" w:cs="Arial" w:eastAsia="Arial" w:hAnsi="Arial"/>
                <w:sz w:val="15"/>
                <w:szCs w:val="15"/>
                <w:color w:val="auto"/>
              </w:rPr>
              <w:t>120 or more</w:t>
            </w:r>
          </w:p>
        </w:tc>
        <w:tc>
          <w:tcPr>
            <w:tcW w:w="5480" w:type="dxa"/>
            <w:vAlign w:val="bottom"/>
          </w:tcPr>
          <w:p>
            <w:pPr>
              <w:jc w:val="right"/>
              <w:spacing w:after="0"/>
              <w:rPr>
                <w:sz w:val="20"/>
                <w:szCs w:val="20"/>
                <w:color w:val="auto"/>
              </w:rPr>
            </w:pPr>
            <w:r>
              <w:rPr>
                <w:rFonts w:ascii="Arial" w:cs="Arial" w:eastAsia="Arial" w:hAnsi="Arial"/>
                <w:sz w:val="15"/>
                <w:szCs w:val="15"/>
                <w:color w:val="auto"/>
              </w:rPr>
              <w:t>50%</w:t>
            </w:r>
          </w:p>
        </w:tc>
      </w:tr>
    </w:tbl>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of the collateralized receivables was $93.1 million (net of allowance of $0.6 million) and $106.9 million (net of allowance of $0.8 million) as of September 30, 2019 and December 31, 2018, respectively. The receivables had a weighted average interest rate and maturity of 9.9 percent and 13.5 years as of September 30, 2019, and 9.9 percent and 14.1 years as of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balance on the secured borrowing was $93.7 million and $107.7 million as of September 30, 2019 and December 31, 2018, respectively.</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interest income and expense recognized was $2.3 million and $2.8 million for the three months ended September 30, 2019 and 2018, respectively, and $7.1 million and $8.5 million for the nine months ended September 30, 2019 and 2018,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balances of the collateralized receivables and secured borrowings are reduced as the related collateralized receivables are collected from the customers, or as the underlying collateral is repurchased. The change in the aggregate gross principal balance of the collateralized receivables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83"/>
              <w:spacing w:after="0"/>
              <w:rPr>
                <w:sz w:val="20"/>
                <w:szCs w:val="20"/>
                <w:color w:val="auto"/>
              </w:rPr>
            </w:pPr>
            <w:r>
              <w:rPr>
                <w:rFonts w:ascii="Arial" w:cs="Arial" w:eastAsia="Arial" w:hAnsi="Arial"/>
                <w:sz w:val="15"/>
                <w:szCs w:val="15"/>
                <w:b w:val="1"/>
                <w:bCs w:val="1"/>
                <w:color w:val="auto"/>
                <w:w w:val="97"/>
              </w:rPr>
              <w:t>Nine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September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r>
      <w:tr>
        <w:trPr>
          <w:trHeight w:val="216"/>
        </w:trPr>
        <w:tc>
          <w:tcPr>
            <w:tcW w:w="9600" w:type="dxa"/>
            <w:vAlign w:val="bottom"/>
          </w:tcPr>
          <w:p>
            <w:pPr>
              <w:ind w:left="360"/>
              <w:spacing w:after="0"/>
              <w:rPr>
                <w:sz w:val="20"/>
                <w:szCs w:val="20"/>
                <w:color w:val="auto"/>
              </w:rPr>
            </w:pPr>
            <w:r>
              <w:rPr>
                <w:rFonts w:ascii="Arial" w:cs="Arial" w:eastAsia="Arial" w:hAnsi="Arial"/>
                <w:sz w:val="15"/>
                <w:szCs w:val="15"/>
                <w:color w:val="auto"/>
              </w:rPr>
              <w:t>Principal payments and payoffs from our customers</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(9,110)</w:t>
            </w: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Principal reduction from repurchased homes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w:t>
            </w:r>
          </w:p>
        </w:tc>
      </w:tr>
      <w:tr>
        <w:trPr>
          <w:trHeight w:val="210"/>
        </w:trPr>
        <w:tc>
          <w:tcPr>
            <w:tcW w:w="96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activity</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(14,062)</w:t>
            </w:r>
          </w:p>
        </w:tc>
      </w:tr>
      <w:tr>
        <w:trPr>
          <w:trHeight w:val="21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Ending balance</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93,669</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allowance for the collateralized receivables as of September 30, 2019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83"/>
              <w:spacing w:after="0"/>
              <w:rPr>
                <w:sz w:val="20"/>
                <w:szCs w:val="20"/>
                <w:color w:val="auto"/>
              </w:rPr>
            </w:pPr>
            <w:r>
              <w:rPr>
                <w:rFonts w:ascii="Arial" w:cs="Arial" w:eastAsia="Arial" w:hAnsi="Arial"/>
                <w:sz w:val="15"/>
                <w:szCs w:val="15"/>
                <w:b w:val="1"/>
                <w:bCs w:val="1"/>
                <w:color w:val="auto"/>
                <w:w w:val="97"/>
              </w:rPr>
              <w:t>Nine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September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w:t>
            </w:r>
          </w:p>
        </w:tc>
      </w:tr>
      <w:tr>
        <w:trPr>
          <w:trHeight w:val="212"/>
        </w:trPr>
        <w:tc>
          <w:tcPr>
            <w:tcW w:w="9600" w:type="dxa"/>
            <w:vAlign w:val="bottom"/>
          </w:tcPr>
          <w:p>
            <w:pPr>
              <w:ind w:left="360"/>
              <w:spacing w:after="0"/>
              <w:rPr>
                <w:sz w:val="20"/>
                <w:szCs w:val="20"/>
                <w:color w:val="auto"/>
              </w:rPr>
            </w:pPr>
            <w:r>
              <w:rPr>
                <w:rFonts w:ascii="Arial" w:cs="Arial" w:eastAsia="Arial" w:hAnsi="Arial"/>
                <w:sz w:val="15"/>
                <w:szCs w:val="15"/>
                <w:color w:val="auto"/>
              </w:rPr>
              <w:t>Lower of cost or market write-downs</w:t>
            </w:r>
          </w:p>
        </w:tc>
        <w:tc>
          <w:tcPr>
            <w:tcW w:w="180" w:type="dxa"/>
            <w:vAlign w:val="bottom"/>
          </w:tcPr>
          <w:p>
            <w:pPr>
              <w:spacing w:after="0"/>
              <w:rPr>
                <w:sz w:val="18"/>
                <w:szCs w:val="18"/>
                <w:color w:val="auto"/>
              </w:rPr>
            </w:pPr>
          </w:p>
        </w:tc>
        <w:tc>
          <w:tcPr>
            <w:tcW w:w="1640" w:type="dxa"/>
            <w:vAlign w:val="bottom"/>
          </w:tcPr>
          <w:p>
            <w:pPr>
              <w:jc w:val="right"/>
              <w:ind w:right="23"/>
              <w:spacing w:after="0"/>
              <w:rPr>
                <w:sz w:val="20"/>
                <w:szCs w:val="20"/>
                <w:color w:val="auto"/>
              </w:rPr>
            </w:pPr>
            <w:r>
              <w:rPr>
                <w:rFonts w:ascii="Arial" w:cs="Arial" w:eastAsia="Arial" w:hAnsi="Arial"/>
                <w:sz w:val="15"/>
                <w:szCs w:val="15"/>
                <w:color w:val="auto"/>
              </w:rPr>
              <w:t>135</w:t>
            </w: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Decrease to reserve balance</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57</w:t>
            </w:r>
          </w:p>
        </w:tc>
      </w:tr>
      <w:tr>
        <w:trPr>
          <w:trHeight w:val="210"/>
        </w:trPr>
        <w:tc>
          <w:tcPr>
            <w:tcW w:w="96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activity</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192</w:t>
            </w:r>
          </w:p>
        </w:tc>
      </w:tr>
      <w:tr>
        <w:trPr>
          <w:trHeight w:val="21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Ending balance</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(615)</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400" w:type="dxa"/>
            <w:vAlign w:val="bottom"/>
          </w:tcPr>
          <w:p>
            <w:pPr>
              <w:ind w:left="160"/>
              <w:spacing w:after="0"/>
              <w:rPr>
                <w:sz w:val="20"/>
                <w:szCs w:val="20"/>
                <w:color w:val="auto"/>
              </w:rPr>
            </w:pPr>
            <w:r>
              <w:rPr>
                <w:rFonts w:ascii="Arial" w:cs="Arial" w:eastAsia="Arial" w:hAnsi="Arial"/>
                <w:sz w:val="18"/>
                <w:szCs w:val="18"/>
                <w:b w:val="1"/>
                <w:bCs w:val="1"/>
                <w:color w:val="auto"/>
              </w:rPr>
              <w:t>Notes and Other Receivables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w w:val="93"/>
              </w:rPr>
              <w:t>The following table sets forth certain information regarding notes and other receivables (in thousands):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180" w:type="dxa"/>
            <w:vAlign w:val="bottom"/>
          </w:tcPr>
          <w:p>
            <w:pPr>
              <w:spacing w:after="0"/>
              <w:rPr>
                <w:sz w:val="24"/>
                <w:szCs w:val="24"/>
                <w:color w:val="auto"/>
              </w:rPr>
            </w:pPr>
          </w:p>
        </w:tc>
        <w:tc>
          <w:tcPr>
            <w:tcW w:w="1620" w:type="dxa"/>
            <w:vAlign w:val="bottom"/>
          </w:tcPr>
          <w:p>
            <w:pPr>
              <w:jc w:val="right"/>
              <w:ind w:right="203"/>
              <w:spacing w:after="0"/>
              <w:rPr>
                <w:sz w:val="20"/>
                <w:szCs w:val="20"/>
                <w:color w:val="auto"/>
              </w:rPr>
            </w:pPr>
            <w:r>
              <w:rPr>
                <w:rFonts w:ascii="Arial" w:cs="Arial" w:eastAsia="Arial" w:hAnsi="Arial"/>
                <w:sz w:val="15"/>
                <w:szCs w:val="15"/>
                <w:b w:val="1"/>
                <w:bCs w:val="1"/>
                <w:color w:val="auto"/>
                <w:w w:val="97"/>
              </w:rPr>
              <w:t>December 31, 2018</w:t>
            </w:r>
          </w:p>
        </w:tc>
      </w:tr>
      <w:tr>
        <w:trPr>
          <w:trHeight w:val="250"/>
        </w:trPr>
        <w:tc>
          <w:tcPr>
            <w:tcW w:w="7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Installment notes receivable on manufactured homes, net</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100,431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112,798</w:t>
            </w:r>
          </w:p>
        </w:tc>
      </w:tr>
      <w:tr>
        <w:trPr>
          <w:trHeight w:val="266"/>
        </w:trPr>
        <w:tc>
          <w:tcPr>
            <w:tcW w:w="76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Other receivables, net</w:t>
            </w: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74,503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47,279</w:t>
            </w: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 notes and other receivables, net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174,934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160,077</w:t>
            </w:r>
          </w:p>
        </w:tc>
      </w:tr>
      <w:tr>
        <w:trPr>
          <w:trHeight w:val="20"/>
        </w:trPr>
        <w:tc>
          <w:tcPr>
            <w:tcW w:w="2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in installment notes of $100.4 million (net of allowance of $0.7 million) and $112.8 million (net of allowance of $0.7 million) as of September 30, 2019 and December 31, 2018, respectively, are collateralized by manufactured homes. The notes represent financing to purchasers of manufactured homes primarily located in our communities and require monthly principal and interest payments. The notes had a net weighted average interest rate (net of servicing costs) and maturity of 8.0 percent and 16.0 years as of September 30, 2019, and 8.0 percent and 16.6 years as of December 31,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gross principal balance of the installment notes receivable is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83"/>
              <w:spacing w:after="0"/>
              <w:rPr>
                <w:sz w:val="20"/>
                <w:szCs w:val="20"/>
                <w:color w:val="auto"/>
              </w:rPr>
            </w:pPr>
            <w:r>
              <w:rPr>
                <w:rFonts w:ascii="Arial" w:cs="Arial" w:eastAsia="Arial" w:hAnsi="Arial"/>
                <w:sz w:val="15"/>
                <w:szCs w:val="15"/>
                <w:b w:val="1"/>
                <w:bCs w:val="1"/>
                <w:color w:val="auto"/>
                <w:w w:val="97"/>
              </w:rPr>
              <w:t>Nine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September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113,495</w:t>
            </w:r>
          </w:p>
        </w:tc>
      </w:tr>
      <w:tr>
        <w:trPr>
          <w:trHeight w:val="212"/>
        </w:trPr>
        <w:tc>
          <w:tcPr>
            <w:tcW w:w="9600" w:type="dxa"/>
            <w:vAlign w:val="bottom"/>
          </w:tcPr>
          <w:p>
            <w:pPr>
              <w:ind w:left="360"/>
              <w:spacing w:after="0"/>
              <w:rPr>
                <w:sz w:val="20"/>
                <w:szCs w:val="20"/>
                <w:color w:val="auto"/>
              </w:rPr>
            </w:pPr>
            <w:r>
              <w:rPr>
                <w:rFonts w:ascii="Arial" w:cs="Arial" w:eastAsia="Arial" w:hAnsi="Arial"/>
                <w:sz w:val="15"/>
                <w:szCs w:val="15"/>
                <w:color w:val="auto"/>
              </w:rPr>
              <w:t>Investment in installment notes</w:t>
            </w:r>
          </w:p>
        </w:tc>
        <w:tc>
          <w:tcPr>
            <w:tcW w:w="180" w:type="dxa"/>
            <w:vAlign w:val="bottom"/>
          </w:tcPr>
          <w:p>
            <w:pPr>
              <w:spacing w:after="0"/>
              <w:rPr>
                <w:sz w:val="18"/>
                <w:szCs w:val="18"/>
                <w:color w:val="auto"/>
              </w:rPr>
            </w:pPr>
          </w:p>
        </w:tc>
        <w:tc>
          <w:tcPr>
            <w:tcW w:w="1640" w:type="dxa"/>
            <w:vAlign w:val="bottom"/>
          </w:tcPr>
          <w:p>
            <w:pPr>
              <w:jc w:val="right"/>
              <w:ind w:right="23"/>
              <w:spacing w:after="0"/>
              <w:rPr>
                <w:sz w:val="20"/>
                <w:szCs w:val="20"/>
                <w:color w:val="auto"/>
              </w:rPr>
            </w:pPr>
            <w:r>
              <w:rPr>
                <w:rFonts w:ascii="Arial" w:cs="Arial" w:eastAsia="Arial" w:hAnsi="Arial"/>
                <w:sz w:val="15"/>
                <w:szCs w:val="15"/>
                <w:color w:val="auto"/>
              </w:rPr>
              <w:t>248</w:t>
            </w:r>
          </w:p>
        </w:tc>
      </w:tr>
      <w:tr>
        <w:trPr>
          <w:trHeight w:val="220"/>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Principal payments and payoffs from our customers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(6,242)</w:t>
            </w:r>
          </w:p>
        </w:tc>
      </w:tr>
      <w:tr>
        <w:trPr>
          <w:trHeight w:val="212"/>
        </w:trPr>
        <w:tc>
          <w:tcPr>
            <w:tcW w:w="96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Principal reduction from repossessed homes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(6,380)</w:t>
            </w:r>
          </w:p>
        </w:tc>
      </w:tr>
      <w:tr>
        <w:trPr>
          <w:trHeight w:val="210"/>
        </w:trPr>
        <w:tc>
          <w:tcPr>
            <w:tcW w:w="96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activity</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(12,374)</w:t>
            </w:r>
          </w:p>
        </w:tc>
      </w:tr>
      <w:tr>
        <w:trPr>
          <w:trHeight w:val="214"/>
        </w:trPr>
        <w:tc>
          <w:tcPr>
            <w:tcW w:w="9600" w:type="dxa"/>
            <w:vAlign w:val="bottom"/>
          </w:tcPr>
          <w:p>
            <w:pPr>
              <w:ind w:left="40"/>
              <w:spacing w:after="0"/>
              <w:rPr>
                <w:sz w:val="20"/>
                <w:szCs w:val="20"/>
                <w:color w:val="auto"/>
              </w:rPr>
            </w:pPr>
            <w:r>
              <w:rPr>
                <w:rFonts w:ascii="Arial" w:cs="Arial" w:eastAsia="Arial" w:hAnsi="Arial"/>
                <w:sz w:val="15"/>
                <w:szCs w:val="15"/>
                <w:color w:val="auto"/>
              </w:rPr>
              <w:t>Ending balance</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101,121</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6"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9600" w:type="dxa"/>
            <w:vAlign w:val="bottom"/>
          </w:tcPr>
          <w:p>
            <w:pPr>
              <w:jc w:val="center"/>
              <w:ind w:left="1759"/>
              <w:spacing w:after="0"/>
              <w:rPr>
                <w:sz w:val="20"/>
                <w:szCs w:val="20"/>
                <w:color w:val="auto"/>
              </w:rPr>
            </w:pPr>
            <w:r>
              <w:rPr>
                <w:rFonts w:ascii="Arial" w:cs="Arial" w:eastAsia="Arial" w:hAnsi="Arial"/>
                <w:sz w:val="16"/>
                <w:szCs w:val="16"/>
                <w:b w:val="1"/>
                <w:bCs w:val="1"/>
                <w:color w:val="auto"/>
              </w:rPr>
              <w:t>SUN COMMUNITIES, INC.</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57"/>
        </w:trPr>
        <w:tc>
          <w:tcPr>
            <w:tcW w:w="9600" w:type="dxa"/>
            <w:vAlign w:val="bottom"/>
          </w:tcPr>
          <w:p>
            <w:pPr>
              <w:jc w:val="center"/>
              <w:ind w:left="1739"/>
              <w:spacing w:after="0"/>
              <w:rPr>
                <w:sz w:val="20"/>
                <w:szCs w:val="20"/>
                <w:color w:val="auto"/>
              </w:rPr>
            </w:pPr>
            <w:r>
              <w:rPr>
                <w:rFonts w:ascii="Arial" w:cs="Arial" w:eastAsia="Arial" w:hAnsi="Arial"/>
                <w:sz w:val="16"/>
                <w:szCs w:val="16"/>
                <w:b w:val="1"/>
                <w:bCs w:val="1"/>
                <w:color w:val="auto"/>
              </w:rPr>
              <w:t>NOTES TO CONSOLIDATED FINANCIAL STATEMENTS - (Continued)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0"/>
        </w:trPr>
        <w:tc>
          <w:tcPr>
            <w:tcW w:w="9600" w:type="dxa"/>
            <w:vAlign w:val="bottom"/>
          </w:tcPr>
          <w:p>
            <w:pPr>
              <w:jc w:val="center"/>
              <w:ind w:left="1759"/>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830"/>
        </w:trPr>
        <w:tc>
          <w:tcPr>
            <w:tcW w:w="9600" w:type="dxa"/>
            <w:vAlign w:val="bottom"/>
          </w:tcPr>
          <w:p>
            <w:pPr>
              <w:spacing w:after="0"/>
              <w:rPr>
                <w:sz w:val="20"/>
                <w:szCs w:val="20"/>
                <w:color w:val="auto"/>
              </w:rPr>
            </w:pPr>
            <w:r>
              <w:rPr>
                <w:rFonts w:ascii="Arial" w:cs="Arial" w:eastAsia="Arial" w:hAnsi="Arial"/>
                <w:sz w:val="18"/>
                <w:szCs w:val="18"/>
                <w:i w:val="1"/>
                <w:iCs w:val="1"/>
                <w:color w:val="auto"/>
              </w:rPr>
              <w:t>Allowance for Losses for Installment Notes Receivable</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The following table sets forth the allowance change for the installment notes receivable as follows (in thousands):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3"/>
        </w:trPr>
        <w:tc>
          <w:tcPr>
            <w:tcW w:w="9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83"/>
              <w:spacing w:after="0"/>
              <w:rPr>
                <w:sz w:val="20"/>
                <w:szCs w:val="20"/>
                <w:color w:val="auto"/>
              </w:rPr>
            </w:pPr>
            <w:r>
              <w:rPr>
                <w:rFonts w:ascii="Arial" w:cs="Arial" w:eastAsia="Arial" w:hAnsi="Arial"/>
                <w:sz w:val="15"/>
                <w:szCs w:val="15"/>
                <w:b w:val="1"/>
                <w:bCs w:val="1"/>
                <w:color w:val="auto"/>
                <w:w w:val="97"/>
              </w:rPr>
              <w:t>Nine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September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212"/>
        </w:trPr>
        <w:tc>
          <w:tcPr>
            <w:tcW w:w="9600" w:type="dxa"/>
            <w:vAlign w:val="bottom"/>
          </w:tcPr>
          <w:p>
            <w:pPr>
              <w:ind w:left="360"/>
              <w:spacing w:after="0"/>
              <w:rPr>
                <w:sz w:val="20"/>
                <w:szCs w:val="20"/>
                <w:color w:val="auto"/>
              </w:rPr>
            </w:pPr>
            <w:r>
              <w:rPr>
                <w:rFonts w:ascii="Arial" w:cs="Arial" w:eastAsia="Arial" w:hAnsi="Arial"/>
                <w:sz w:val="15"/>
                <w:szCs w:val="15"/>
                <w:color w:val="auto"/>
              </w:rPr>
              <w:t>Lower of cost or market write-downs</w:t>
            </w:r>
          </w:p>
        </w:tc>
        <w:tc>
          <w:tcPr>
            <w:tcW w:w="180" w:type="dxa"/>
            <w:vAlign w:val="bottom"/>
          </w:tcPr>
          <w:p>
            <w:pPr>
              <w:spacing w:after="0"/>
              <w:rPr>
                <w:sz w:val="18"/>
                <w:szCs w:val="18"/>
                <w:color w:val="auto"/>
              </w:rPr>
            </w:pPr>
          </w:p>
        </w:tc>
        <w:tc>
          <w:tcPr>
            <w:tcW w:w="1640" w:type="dxa"/>
            <w:vAlign w:val="bottom"/>
          </w:tcPr>
          <w:p>
            <w:pPr>
              <w:jc w:val="right"/>
              <w:ind w:right="23"/>
              <w:spacing w:after="0"/>
              <w:rPr>
                <w:sz w:val="20"/>
                <w:szCs w:val="20"/>
                <w:color w:val="auto"/>
              </w:rPr>
            </w:pPr>
            <w:r>
              <w:rPr>
                <w:rFonts w:ascii="Arial" w:cs="Arial" w:eastAsia="Arial" w:hAnsi="Arial"/>
                <w:sz w:val="15"/>
                <w:szCs w:val="15"/>
                <w:color w:val="auto"/>
              </w:rPr>
              <w:t>147</w:t>
            </w: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Increase to reserve balance</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w:t>
            </w:r>
          </w:p>
        </w:tc>
      </w:tr>
      <w:tr>
        <w:trPr>
          <w:trHeight w:val="210"/>
        </w:trPr>
        <w:tc>
          <w:tcPr>
            <w:tcW w:w="96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activity</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w:t>
            </w:r>
          </w:p>
        </w:tc>
      </w:tr>
      <w:tr>
        <w:trPr>
          <w:trHeight w:val="21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Ending balance</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other receivables were comprised of amounts due from: residents for rent, utility charges, fees and other pass through charges of $8.6 million (net of allowance of $1.8 million); home sale proceeds of $20.1 million; insurance receivables of $9.6 million, notes receivables of $30.2 million and other receivables of $6.0 million. As of December 31, 2018, other receivables were comprised of amounts due from: residents for rent, utility charges, fees and other pass through charges of $7.1 million (net of allowance of $1.5 million); home sale proceeds of $16.1 million; and insurance and other receivables of $24.1 million.</w:t>
      </w:r>
    </w:p>
    <w:p>
      <w:pPr>
        <w:spacing w:after="0" w:line="18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intangible assets include in-place leases, franchise agreements and other intangible assets. These intangible assets are recorded in Other assets, net on the Consolidated Balance Sheets. In accordance with FASB ASC Topic 842, below market leases are now classified as a right of use asset.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5"/>
                <w:szCs w:val="15"/>
                <w:b w:val="1"/>
                <w:bCs w:val="1"/>
                <w:color w:val="auto"/>
              </w:rPr>
              <w:t>September 30, 2019</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5"/>
                <w:szCs w:val="15"/>
                <w:b w:val="1"/>
                <w:bCs w:val="1"/>
                <w:color w:val="auto"/>
              </w:rPr>
              <w:t>December 31, 2018</w:t>
            </w:r>
          </w:p>
        </w:tc>
      </w:tr>
      <w:tr>
        <w:trPr>
          <w:trHeight w:val="165"/>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52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260" w:type="dxa"/>
            <w:vAlign w:val="bottom"/>
          </w:tcPr>
          <w:p>
            <w:pPr>
              <w:jc w:val="right"/>
              <w:ind w:right="223"/>
              <w:spacing w:after="0" w:line="165" w:lineRule="exact"/>
              <w:rPr>
                <w:sz w:val="20"/>
                <w:szCs w:val="20"/>
                <w:color w:val="auto"/>
              </w:rPr>
            </w:pPr>
            <w:r>
              <w:rPr>
                <w:rFonts w:ascii="Arial" w:cs="Arial" w:eastAsia="Arial" w:hAnsi="Arial"/>
                <w:sz w:val="15"/>
                <w:szCs w:val="15"/>
                <w:b w:val="1"/>
                <w:bCs w:val="1"/>
                <w:color w:val="auto"/>
                <w:w w:val="99"/>
              </w:rPr>
              <w:t>Accumulated</w:t>
            </w:r>
          </w:p>
        </w:tc>
      </w:tr>
      <w:tr>
        <w:trPr>
          <w:trHeight w:val="20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Intangible Asset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Useful Life</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Amortization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Amortization</w:t>
            </w:r>
          </w:p>
        </w:tc>
      </w:tr>
      <w:tr>
        <w:trPr>
          <w:trHeight w:val="254"/>
        </w:trPr>
        <w:tc>
          <w:tcPr>
            <w:tcW w:w="37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In-place leases</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85"/>
              </w:rPr>
              <w:t>7 years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119,184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(70,321)</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103,547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(59,068)</w:t>
            </w:r>
          </w:p>
        </w:tc>
      </w:tr>
      <w:tr>
        <w:trPr>
          <w:trHeight w:val="266"/>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Franchise agreements and other intangible assets</w:t>
            </w:r>
          </w:p>
        </w:tc>
        <w:tc>
          <w:tcPr>
            <w:tcW w:w="128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5"/>
                <w:szCs w:val="15"/>
                <w:color w:val="auto"/>
                <w:w w:val="88"/>
              </w:rPr>
              <w:t>7 - 20 years</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16,944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(2,555)</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16,641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(1,942)</w:t>
            </w:r>
          </w:p>
        </w:tc>
      </w:tr>
      <w:tr>
        <w:trPr>
          <w:trHeight w:val="24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1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136,128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(72,876)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120,188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(61,010)</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expenses related to the intangible assets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5"/>
                <w:szCs w:val="15"/>
                <w:b w:val="1"/>
                <w:bCs w:val="1"/>
                <w:color w:val="auto"/>
              </w:rPr>
              <w:t>Nine Months Ended</w:t>
            </w:r>
          </w:p>
        </w:tc>
      </w:tr>
      <w:tr>
        <w:trPr>
          <w:trHeight w:val="264"/>
        </w:trPr>
        <w:tc>
          <w:tcPr>
            <w:tcW w:w="4580" w:type="dxa"/>
            <w:vAlign w:val="bottom"/>
          </w:tcPr>
          <w:p>
            <w:pPr>
              <w:ind w:left="40"/>
              <w:spacing w:after="0"/>
              <w:rPr>
                <w:sz w:val="20"/>
                <w:szCs w:val="20"/>
                <w:color w:val="auto"/>
              </w:rPr>
            </w:pPr>
            <w:r>
              <w:rPr>
                <w:rFonts w:ascii="Arial" w:cs="Arial" w:eastAsia="Arial" w:hAnsi="Arial"/>
                <w:sz w:val="15"/>
                <w:szCs w:val="15"/>
                <w:b w:val="1"/>
                <w:bCs w:val="1"/>
                <w:color w:val="auto"/>
              </w:rPr>
              <w:t>Intangible Asset Amortization Expense</w:t>
            </w:r>
          </w:p>
        </w:tc>
        <w:tc>
          <w:tcPr>
            <w:tcW w:w="140" w:type="dxa"/>
            <w:vAlign w:val="bottom"/>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2019</w:t>
            </w:r>
          </w:p>
        </w:tc>
        <w:tc>
          <w:tcPr>
            <w:tcW w:w="140" w:type="dxa"/>
            <w:vAlign w:val="bottom"/>
          </w:tcPr>
          <w:p>
            <w:pPr>
              <w:spacing w:after="0"/>
              <w:rPr>
                <w:sz w:val="22"/>
                <w:szCs w:val="22"/>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2018</w:t>
            </w:r>
          </w:p>
        </w:tc>
        <w:tc>
          <w:tcPr>
            <w:tcW w:w="1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2019</w:t>
            </w:r>
          </w:p>
        </w:tc>
        <w:tc>
          <w:tcPr>
            <w:tcW w:w="120" w:type="dxa"/>
            <w:vAlign w:val="bottom"/>
          </w:tcPr>
          <w:p>
            <w:pPr>
              <w:spacing w:after="0"/>
              <w:rPr>
                <w:sz w:val="22"/>
                <w:szCs w:val="22"/>
                <w:color w:val="auto"/>
              </w:rPr>
            </w:pPr>
          </w:p>
        </w:tc>
        <w:tc>
          <w:tcPr>
            <w:tcW w:w="1460" w:type="dxa"/>
            <w:vAlign w:val="bottom"/>
          </w:tcPr>
          <w:p>
            <w:pPr>
              <w:jc w:val="right"/>
              <w:ind w:right="83"/>
              <w:spacing w:after="0"/>
              <w:rPr>
                <w:sz w:val="20"/>
                <w:szCs w:val="20"/>
                <w:color w:val="auto"/>
              </w:rPr>
            </w:pPr>
            <w:r>
              <w:rPr>
                <w:rFonts w:ascii="Arial" w:cs="Arial" w:eastAsia="Arial" w:hAnsi="Arial"/>
                <w:sz w:val="15"/>
                <w:szCs w:val="15"/>
                <w:b w:val="1"/>
                <w:bCs w:val="1"/>
                <w:color w:val="auto"/>
                <w:w w:val="91"/>
              </w:rPr>
              <w:t>September 30, 2018</w:t>
            </w:r>
          </w:p>
        </w:tc>
      </w:tr>
      <w:tr>
        <w:trPr>
          <w:trHeight w:val="254"/>
        </w:trPr>
        <w:tc>
          <w:tcPr>
            <w:tcW w:w="4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In-place leases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3,320</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11,253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10,305</w:t>
            </w:r>
          </w:p>
        </w:tc>
      </w:tr>
      <w:tr>
        <w:trPr>
          <w:trHeight w:val="266"/>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Franchise fees and other intangible assets</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717</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614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755</w:t>
            </w:r>
          </w:p>
        </w:tc>
      </w:tr>
      <w:tr>
        <w:trPr>
          <w:trHeight w:val="241"/>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4,037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11,867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11,060</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Year</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5"/>
                <w:szCs w:val="15"/>
                <w:b w:val="1"/>
                <w:bCs w:val="1"/>
                <w:color w:val="auto"/>
              </w:rPr>
              <w:t>Remainder of 2019</w:t>
            </w:r>
          </w:p>
        </w:tc>
        <w:tc>
          <w:tcPr>
            <w:tcW w:w="400" w:type="dxa"/>
            <w:vAlign w:val="bottom"/>
          </w:tcPr>
          <w:p>
            <w:pPr>
              <w:spacing w:after="0"/>
              <w:rPr>
                <w:sz w:val="22"/>
                <w:szCs w:val="22"/>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62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03"/>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623"/>
              <w:spacing w:after="0"/>
              <w:rPr>
                <w:sz w:val="20"/>
                <w:szCs w:val="20"/>
                <w:color w:val="auto"/>
              </w:rPr>
            </w:pPr>
            <w:r>
              <w:rPr>
                <w:rFonts w:ascii="Arial" w:cs="Arial" w:eastAsia="Arial" w:hAnsi="Arial"/>
                <w:sz w:val="15"/>
                <w:szCs w:val="15"/>
                <w:b w:val="1"/>
                <w:bCs w:val="1"/>
                <w:color w:val="auto"/>
              </w:rPr>
              <w:t>2023</w:t>
            </w:r>
          </w:p>
        </w:tc>
      </w:tr>
      <w:tr>
        <w:trPr>
          <w:trHeight w:val="254"/>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Estimated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3,873</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14,373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13,981</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9,379</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6,004</w:t>
            </w: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6"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Affiliates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nonconsolidated affiliates are recorded within Other assets, net on the Consolidated Balance Sheets. Equity income and loss are recorded in the Income / (loss) from nonconsolidated affiliates on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2019, the Company had a 50 percent ownership interest in RezPlot, a RV reservation software technology company, acquired in January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JV</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At September 30, 2019 and December 31, 2018, the Company had a 50 percent interest in Sungenia JV, a joint venture (“JV”) formed between the Company and Ingenia Communities Group in November 2018, to establish and grow a manufactured housing community development program in Australia.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2019 and December 31, 2018, the Company had a 40 percent ownership interest in GTSC, which engages in acquiring, holding and selling loans secured, directly or indirectly, by manufactured homes located in communities of Sun Communities.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 LLC”)</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September 30, 2019 and December 31, 2018, the Company had a 22.9 percent ownership interest in OFS LLC, an end-to-end online resident screening and document management suite.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September 30, 2019</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Investment in RezPlot</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2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6400" w:type="dxa"/>
            <w:vAlign w:val="bottom"/>
            <w:gridSpan w:val="2"/>
          </w:tcPr>
          <w:p>
            <w:pPr>
              <w:ind w:left="40"/>
              <w:spacing w:after="0"/>
              <w:rPr>
                <w:sz w:val="20"/>
                <w:szCs w:val="20"/>
                <w:color w:val="auto"/>
              </w:rPr>
            </w:pPr>
            <w:r>
              <w:rPr>
                <w:rFonts w:ascii="Arial" w:cs="Arial" w:eastAsia="Arial" w:hAnsi="Arial"/>
                <w:sz w:val="15"/>
                <w:szCs w:val="15"/>
                <w:color w:val="auto"/>
              </w:rPr>
              <w:t>Investment in Sungenia JV</w:t>
            </w:r>
          </w:p>
        </w:tc>
        <w:tc>
          <w:tcPr>
            <w:tcW w:w="340" w:type="dxa"/>
            <w:vAlign w:val="bottom"/>
          </w:tcPr>
          <w:p>
            <w:pPr>
              <w:spacing w:after="0"/>
              <w:rPr>
                <w:sz w:val="23"/>
                <w:szCs w:val="23"/>
                <w:color w:val="auto"/>
              </w:rPr>
            </w:pPr>
          </w:p>
        </w:tc>
        <w:tc>
          <w:tcPr>
            <w:tcW w:w="2080" w:type="dxa"/>
            <w:vAlign w:val="bottom"/>
          </w:tcPr>
          <w:p>
            <w:pPr>
              <w:jc w:val="right"/>
              <w:ind w:right="43"/>
              <w:spacing w:after="0"/>
              <w:rPr>
                <w:sz w:val="20"/>
                <w:szCs w:val="20"/>
                <w:color w:val="auto"/>
              </w:rPr>
            </w:pPr>
            <w:r>
              <w:rPr>
                <w:rFonts w:ascii="Arial" w:cs="Arial" w:eastAsia="Arial" w:hAnsi="Arial"/>
                <w:sz w:val="15"/>
                <w:szCs w:val="15"/>
                <w:color w:val="auto"/>
              </w:rPr>
              <w:t>9.9</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jc w:val="right"/>
              <w:ind w:right="23"/>
              <w:spacing w:after="0"/>
              <w:rPr>
                <w:sz w:val="20"/>
                <w:szCs w:val="20"/>
                <w:color w:val="auto"/>
              </w:rPr>
            </w:pPr>
            <w:r>
              <w:rPr>
                <w:rFonts w:ascii="Arial" w:cs="Arial" w:eastAsia="Arial" w:hAnsi="Arial"/>
                <w:sz w:val="15"/>
                <w:szCs w:val="15"/>
                <w:color w:val="auto"/>
              </w:rPr>
              <w:t>0.7</w:t>
            </w:r>
          </w:p>
        </w:tc>
      </w:tr>
      <w:tr>
        <w:trPr>
          <w:trHeight w:val="274"/>
        </w:trPr>
        <w:tc>
          <w:tcPr>
            <w:tcW w:w="640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Investment in GTSC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15.8</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29.8</w:t>
            </w:r>
          </w:p>
        </w:tc>
      </w:tr>
      <w:tr>
        <w:trPr>
          <w:trHeight w:val="266"/>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Investment in OFS LLC</w:t>
            </w: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0.3</w:t>
            </w:r>
          </w:p>
        </w:tc>
        <w:tc>
          <w:tcPr>
            <w:tcW w:w="2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0.1</w:t>
            </w:r>
          </w:p>
        </w:tc>
      </w:tr>
      <w:tr>
        <w:trPr>
          <w:trHeight w:val="241"/>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2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30.7</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2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30.6</w:t>
            </w:r>
          </w:p>
        </w:tc>
      </w:tr>
    </w:tbl>
    <w:p>
      <w:pPr>
        <w:spacing w:after="0" w:line="8"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decrease in investment balance is primarily due to return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-98425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Equity income / (loss) from each nonconsolidated affiliate is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ind w:left="860"/>
              <w:spacing w:after="0"/>
              <w:rPr>
                <w:sz w:val="20"/>
                <w:szCs w:val="20"/>
                <w:color w:val="auto"/>
              </w:rPr>
            </w:pPr>
            <w:r>
              <w:rPr>
                <w:rFonts w:ascii="Arial" w:cs="Arial" w:eastAsia="Arial" w:hAnsi="Arial"/>
                <w:sz w:val="15"/>
                <w:szCs w:val="15"/>
                <w:b w:val="1"/>
                <w:bCs w:val="1"/>
                <w:color w:val="auto"/>
              </w:rPr>
              <w:t>Nine Months Ended</w:t>
            </w: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Equity income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2"/>
              </w:rPr>
              <w:t>September 30,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2"/>
              </w:rPr>
              <w:t>September 30, 2018</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September 30, 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9"/>
              </w:rPr>
              <w:t>September 30, 2018</w:t>
            </w:r>
          </w:p>
        </w:tc>
      </w:tr>
      <w:tr>
        <w:trPr>
          <w:trHeight w:val="25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RezPlot equity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w:t>
            </w:r>
          </w:p>
        </w:tc>
      </w:tr>
      <w:tr>
        <w:trPr>
          <w:trHeight w:val="266"/>
        </w:trPr>
        <w:tc>
          <w:tcPr>
            <w:tcW w:w="4580" w:type="dxa"/>
            <w:vAlign w:val="bottom"/>
            <w:gridSpan w:val="2"/>
          </w:tcPr>
          <w:p>
            <w:pPr>
              <w:ind w:left="40"/>
              <w:spacing w:after="0"/>
              <w:rPr>
                <w:sz w:val="20"/>
                <w:szCs w:val="20"/>
                <w:color w:val="auto"/>
              </w:rPr>
            </w:pPr>
            <w:r>
              <w:rPr>
                <w:rFonts w:ascii="Arial" w:cs="Arial" w:eastAsia="Arial" w:hAnsi="Arial"/>
                <w:sz w:val="15"/>
                <w:szCs w:val="15"/>
                <w:color w:val="auto"/>
              </w:rPr>
              <w:t>Sungenia JV equity loss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w:t>
            </w:r>
          </w:p>
        </w:tc>
      </w:tr>
      <w:tr>
        <w:trPr>
          <w:trHeight w:val="27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GTSC equity income</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59</w:t>
            </w:r>
          </w:p>
        </w:tc>
      </w:tr>
      <w:tr>
        <w:trPr>
          <w:trHeight w:val="266"/>
        </w:trPr>
        <w:tc>
          <w:tcPr>
            <w:tcW w:w="4580" w:type="dxa"/>
            <w:vAlign w:val="bottom"/>
            <w:gridSpan w:val="2"/>
          </w:tcPr>
          <w:p>
            <w:pPr>
              <w:ind w:left="40"/>
              <w:spacing w:after="0"/>
              <w:rPr>
                <w:sz w:val="20"/>
                <w:szCs w:val="20"/>
                <w:color w:val="auto"/>
              </w:rPr>
            </w:pPr>
            <w:r>
              <w:rPr>
                <w:rFonts w:ascii="Arial" w:cs="Arial" w:eastAsia="Arial" w:hAnsi="Arial"/>
                <w:sz w:val="15"/>
                <w:szCs w:val="15"/>
                <w:color w:val="auto"/>
              </w:rPr>
              <w:t>OFS LLC equity income</w:t>
            </w:r>
          </w:p>
        </w:tc>
        <w:tc>
          <w:tcPr>
            <w:tcW w:w="140" w:type="dxa"/>
            <w:vAlign w:val="bottom"/>
          </w:tcPr>
          <w:p>
            <w:pPr>
              <w:spacing w:after="0"/>
              <w:rPr>
                <w:sz w:val="23"/>
                <w:szCs w:val="23"/>
                <w:color w:val="auto"/>
              </w:rPr>
            </w:pP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ind w:left="1200"/>
              <w:spacing w:after="0"/>
              <w:rPr>
                <w:sz w:val="20"/>
                <w:szCs w:val="20"/>
                <w:color w:val="auto"/>
              </w:rPr>
            </w:pPr>
            <w:r>
              <w:rPr>
                <w:rFonts w:ascii="Arial" w:cs="Arial" w:eastAsia="Arial" w:hAnsi="Arial"/>
                <w:sz w:val="15"/>
                <w:szCs w:val="15"/>
                <w:color w:val="auto"/>
              </w:rPr>
              <w:t>—</w:t>
            </w:r>
          </w:p>
        </w:tc>
      </w:tr>
      <w:tr>
        <w:trPr>
          <w:trHeight w:val="241"/>
        </w:trPr>
        <w:tc>
          <w:tcPr>
            <w:tcW w:w="458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 equity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5"/>
                <w:szCs w:val="15"/>
                <w:color w:val="auto"/>
              </w:rPr>
              <w:t>59</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We consolidate the Operating Partnership under the guidance set forth in FASB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ASU 2015-02 modified the evaluation of whether limited partnerships and similar legal entities are VIEs or voting interest entities. We evaluated the application of ASU 2015-02 and concluded that the Operating Partnership now meets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Sun NG RV Resorts LLC (“Sun NG Resorts”); Rudgate Village SPE, LLC, Rudgate Clinton SPE, LLC, and Rudgate Clinton Estates SPE, LLC (collectively, “Rudgate”); Sun NG Whitewater RV LLC </w:t>
      </w:r>
      <w:r>
        <w:rPr>
          <w:rFonts w:ascii="Arial" w:cs="Arial" w:eastAsia="Arial" w:hAnsi="Arial"/>
          <w:sz w:val="18"/>
          <w:szCs w:val="18"/>
          <w:color w:val="auto"/>
        </w:rPr>
        <w:t>(</w:t>
      </w:r>
      <w:r>
        <w:rPr>
          <w:rFonts w:ascii="Arial" w:cs="Arial" w:eastAsia="Arial" w:hAnsi="Arial"/>
          <w:sz w:val="18"/>
          <w:szCs w:val="18"/>
          <w:i w:val="1"/>
          <w:iCs w:val="1"/>
          <w:color w:val="auto"/>
        </w:rPr>
        <w:t>“Whitewater Resorts”</w:t>
      </w:r>
      <w:r>
        <w:rPr>
          <w:rFonts w:ascii="Arial" w:cs="Arial" w:eastAsia="Arial" w:hAnsi="Arial"/>
          <w:sz w:val="18"/>
          <w:szCs w:val="18"/>
          <w:color w:val="auto"/>
        </w:rPr>
        <w: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consolidate Sun NG Resorts, Rudgate, and Whitewater Resorts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We concluded that each of them is a VIE where we are the primary beneficiary, as we have the power to direct the significant activities, absorb the significant losses and receive the significant benefits from the entity. Refer to Note 3, “Real Estate Acquisitions,” Note 9, “Debt and Lines of Credit,” and Note 10, “Equity and Temporary Equity” for additional information on Sun NG Resorts.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included in our Consolidated Balance Sheets after eliminations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2019</w:t>
            </w:r>
          </w:p>
        </w:tc>
        <w:tc>
          <w:tcPr>
            <w:tcW w:w="180" w:type="dxa"/>
            <w:vAlign w:val="bottom"/>
          </w:tcPr>
          <w:p>
            <w:pPr>
              <w:spacing w:after="0"/>
              <w:rPr>
                <w:sz w:val="17"/>
                <w:szCs w:val="17"/>
                <w:color w:val="auto"/>
              </w:rPr>
            </w:pPr>
          </w:p>
        </w:tc>
        <w:tc>
          <w:tcPr>
            <w:tcW w:w="1620" w:type="dxa"/>
            <w:vAlign w:val="bottom"/>
          </w:tcPr>
          <w:p>
            <w:pPr>
              <w:jc w:val="right"/>
              <w:ind w:right="203"/>
              <w:spacing w:after="0"/>
              <w:rPr>
                <w:sz w:val="20"/>
                <w:szCs w:val="20"/>
                <w:color w:val="auto"/>
              </w:rPr>
            </w:pPr>
            <w:r>
              <w:rPr>
                <w:rFonts w:ascii="Arial" w:cs="Arial" w:eastAsia="Arial" w:hAnsi="Arial"/>
                <w:sz w:val="15"/>
                <w:szCs w:val="15"/>
                <w:b w:val="1"/>
                <w:bCs w:val="1"/>
                <w:color w:val="auto"/>
                <w:w w:val="97"/>
              </w:rPr>
              <w:t>December 31, 2018</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tcPr>
          <w:p>
            <w:pPr>
              <w:spacing w:after="0"/>
              <w:rPr>
                <w:sz w:val="23"/>
                <w:szCs w:val="23"/>
                <w:color w:val="auto"/>
              </w:rPr>
            </w:pPr>
          </w:p>
        </w:tc>
        <w:tc>
          <w:tcPr>
            <w:tcW w:w="17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property, net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341,563</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308,171</w:t>
            </w: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assets, net</w:t>
            </w: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22,598</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19,809</w:t>
            </w:r>
          </w:p>
        </w:tc>
      </w:tr>
      <w:tr>
        <w:trPr>
          <w:trHeight w:val="241"/>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364,161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327,980</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Other Equity</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Debt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3"/>
              <w:spacing w:after="0"/>
              <w:rPr>
                <w:sz w:val="20"/>
                <w:szCs w:val="20"/>
                <w:color w:val="auto"/>
              </w:rPr>
            </w:pPr>
            <w:r>
              <w:rPr>
                <w:rFonts w:ascii="Arial" w:cs="Arial" w:eastAsia="Arial" w:hAnsi="Arial"/>
                <w:sz w:val="15"/>
                <w:szCs w:val="15"/>
                <w:color w:val="auto"/>
              </w:rPr>
              <w:t>47,256</w:t>
            </w:r>
          </w:p>
        </w:tc>
        <w:tc>
          <w:tcPr>
            <w:tcW w:w="22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44,172</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Equity - Sun NG Resorts - mandatorily redeemable</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35,249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35,277</w:t>
            </w: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28,031</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6,914</w:t>
            </w: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110,536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86,363</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220" w:type="dxa"/>
            <w:vAlign w:val="bottom"/>
          </w:tcPr>
          <w:p>
            <w:pPr>
              <w:spacing w:after="0"/>
              <w:rPr>
                <w:sz w:val="23"/>
                <w:szCs w:val="23"/>
                <w:color w:val="auto"/>
              </w:rPr>
            </w:pPr>
          </w:p>
        </w:tc>
        <w:tc>
          <w:tcPr>
            <w:tcW w:w="1740" w:type="dxa"/>
            <w:vAlign w:val="bottom"/>
          </w:tcPr>
          <w:p>
            <w:pPr>
              <w:jc w:val="right"/>
              <w:ind w:right="43"/>
              <w:spacing w:after="0"/>
              <w:rPr>
                <w:sz w:val="20"/>
                <w:szCs w:val="20"/>
                <w:color w:val="auto"/>
              </w:rPr>
            </w:pPr>
            <w:r>
              <w:rPr>
                <w:rFonts w:ascii="Arial" w:cs="Arial" w:eastAsia="Arial" w:hAnsi="Arial"/>
                <w:sz w:val="15"/>
                <w:szCs w:val="15"/>
                <w:color w:val="auto"/>
              </w:rPr>
              <w:t>27,461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21,976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7,854</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7,145</w:t>
            </w:r>
          </w:p>
        </w:tc>
      </w:tr>
      <w:tr>
        <w:trPr>
          <w:trHeight w:val="241"/>
        </w:trPr>
        <w:tc>
          <w:tcPr>
            <w:tcW w:w="7440" w:type="dxa"/>
            <w:vAlign w:val="bottom"/>
          </w:tcPr>
          <w:p>
            <w:pPr>
              <w:ind w:left="40"/>
              <w:spacing w:after="0"/>
              <w:rPr>
                <w:sz w:val="20"/>
                <w:szCs w:val="20"/>
                <w:color w:val="auto"/>
              </w:rPr>
            </w:pPr>
            <w:r>
              <w:rPr>
                <w:rFonts w:ascii="Arial" w:cs="Arial" w:eastAsia="Arial" w:hAnsi="Arial"/>
                <w:sz w:val="15"/>
                <w:szCs w:val="15"/>
                <w:b w:val="1"/>
                <w:bCs w:val="1"/>
                <w:color w:val="auto"/>
              </w:rPr>
              <w:t>Total Liabilities and Other Equity</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145,851</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115,484</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comprised approximately 4.9 percent of our consolidated total assets at September 30, 2019 and December 31, 2018, respectively. Debt, Preferred Equity and other liabilities comprised approximately 3.0 percent and 2.6 percent of our consolidated total liabilities at September 30, 2019 and December 31, 2018, respectively. Equity Interests and Noncontrolling interests related to the consolidated VIEs, on an absolute basis, comprised approximately 1.0 percent and less than 1.0 percent of our consolidated total equity at September 30, 2019 and at December 31, 2018,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4"/>
          </w:tcPr>
          <w:p>
            <w:pPr>
              <w:ind w:left="640"/>
              <w:spacing w:after="0"/>
              <w:rPr>
                <w:sz w:val="20"/>
                <w:szCs w:val="20"/>
                <w:color w:val="auto"/>
              </w:rPr>
            </w:pPr>
            <w:r>
              <w:rPr>
                <w:rFonts w:ascii="Arial" w:cs="Arial" w:eastAsia="Arial" w:hAnsi="Arial"/>
                <w:sz w:val="15"/>
                <w:szCs w:val="15"/>
                <w:b w:val="1"/>
                <w:bCs w:val="1"/>
                <w:color w:val="auto"/>
              </w:rPr>
              <w:t>Weighted Average</w:t>
            </w:r>
          </w:p>
        </w:tc>
        <w:tc>
          <w:tcPr>
            <w:tcW w:w="2600" w:type="dxa"/>
            <w:vAlign w:val="bottom"/>
            <w:gridSpan w:val="3"/>
          </w:tcPr>
          <w:p>
            <w:pPr>
              <w:jc w:val="right"/>
              <w:ind w:right="603"/>
              <w:spacing w:after="0"/>
              <w:rPr>
                <w:sz w:val="20"/>
                <w:szCs w:val="20"/>
                <w:color w:val="auto"/>
              </w:rPr>
            </w:pPr>
            <w:r>
              <w:rPr>
                <w:rFonts w:ascii="Arial" w:cs="Arial" w:eastAsia="Arial" w:hAnsi="Arial"/>
                <w:sz w:val="15"/>
                <w:szCs w:val="15"/>
                <w:b w:val="1"/>
                <w:bCs w:val="1"/>
                <w:color w:val="auto"/>
              </w:rPr>
              <w:t>Weighted Average</w:t>
            </w:r>
          </w:p>
        </w:tc>
      </w:tr>
      <w:tr>
        <w:trPr>
          <w:trHeight w:val="202"/>
        </w:trPr>
        <w:tc>
          <w:tcPr>
            <w:tcW w:w="3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b w:val="1"/>
                <w:bCs w:val="1"/>
                <w:color w:val="auto"/>
              </w:rPr>
              <w:t>Carrying Amount</w:t>
            </w:r>
          </w:p>
        </w:tc>
        <w:tc>
          <w:tcPr>
            <w:tcW w:w="120" w:type="dxa"/>
            <w:vAlign w:val="bottom"/>
          </w:tcPr>
          <w:p>
            <w:pPr>
              <w:spacing w:after="0"/>
              <w:rPr>
                <w:sz w:val="17"/>
                <w:szCs w:val="17"/>
                <w:color w:val="auto"/>
              </w:rPr>
            </w:pPr>
          </w:p>
        </w:tc>
        <w:tc>
          <w:tcPr>
            <w:tcW w:w="24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5"/>
                <w:szCs w:val="15"/>
                <w:b w:val="1"/>
                <w:bCs w:val="1"/>
                <w:color w:val="auto"/>
              </w:rPr>
              <w:t>Years to Maturity</w:t>
            </w:r>
          </w:p>
        </w:tc>
        <w:tc>
          <w:tcPr>
            <w:tcW w:w="10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743"/>
              <w:spacing w:after="0"/>
              <w:rPr>
                <w:sz w:val="20"/>
                <w:szCs w:val="20"/>
                <w:color w:val="auto"/>
              </w:rPr>
            </w:pPr>
            <w:r>
              <w:rPr>
                <w:rFonts w:ascii="Arial" w:cs="Arial" w:eastAsia="Arial" w:hAnsi="Arial"/>
                <w:sz w:val="15"/>
                <w:szCs w:val="15"/>
                <w:b w:val="1"/>
                <w:bCs w:val="1"/>
                <w:color w:val="auto"/>
              </w:rPr>
              <w:t>Interest Rates</w:t>
            </w:r>
          </w:p>
        </w:tc>
      </w:tr>
      <w:tr>
        <w:trPr>
          <w:trHeight w:val="169"/>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000" w:type="dxa"/>
            <w:vAlign w:val="bottom"/>
          </w:tcPr>
          <w:p>
            <w:pPr>
              <w:jc w:val="right"/>
              <w:ind w:right="23"/>
              <w:spacing w:after="0" w:line="169" w:lineRule="exact"/>
              <w:rPr>
                <w:sz w:val="20"/>
                <w:szCs w:val="20"/>
                <w:color w:val="auto"/>
              </w:rPr>
            </w:pPr>
            <w:r>
              <w:rPr>
                <w:rFonts w:ascii="Arial" w:cs="Arial" w:eastAsia="Arial" w:hAnsi="Arial"/>
                <w:sz w:val="15"/>
                <w:szCs w:val="15"/>
                <w:b w:val="1"/>
                <w:bCs w:val="1"/>
                <w:color w:val="auto"/>
                <w:w w:val="90"/>
              </w:rPr>
              <w:t>December 31,</w:t>
            </w:r>
          </w:p>
        </w:tc>
        <w:tc>
          <w:tcPr>
            <w:tcW w:w="120" w:type="dxa"/>
            <w:vAlign w:val="bottom"/>
          </w:tcPr>
          <w:p>
            <w:pPr>
              <w:spacing w:after="0"/>
              <w:rPr>
                <w:sz w:val="14"/>
                <w:szCs w:val="14"/>
                <w:color w:val="auto"/>
              </w:rPr>
            </w:pPr>
          </w:p>
        </w:tc>
        <w:tc>
          <w:tcPr>
            <w:tcW w:w="1340" w:type="dxa"/>
            <w:vAlign w:val="bottom"/>
            <w:gridSpan w:val="2"/>
          </w:tcPr>
          <w:p>
            <w:pPr>
              <w:ind w:left="140"/>
              <w:spacing w:after="0" w:line="169" w:lineRule="exact"/>
              <w:rPr>
                <w:sz w:val="20"/>
                <w:szCs w:val="20"/>
                <w:color w:val="auto"/>
              </w:rPr>
            </w:pPr>
            <w:r>
              <w:rPr>
                <w:rFonts w:ascii="Arial" w:cs="Arial" w:eastAsia="Arial" w:hAnsi="Arial"/>
                <w:sz w:val="15"/>
                <w:szCs w:val="15"/>
                <w:b w:val="1"/>
                <w:bCs w:val="1"/>
                <w:color w:val="auto"/>
              </w:rPr>
              <w:t>September 30,</w:t>
            </w:r>
          </w:p>
        </w:tc>
        <w:tc>
          <w:tcPr>
            <w:tcW w:w="124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December 31,</w:t>
            </w:r>
          </w:p>
        </w:tc>
        <w:tc>
          <w:tcPr>
            <w:tcW w:w="1420" w:type="dxa"/>
            <w:vAlign w:val="bottom"/>
            <w:gridSpan w:val="2"/>
          </w:tcPr>
          <w:p>
            <w:pPr>
              <w:ind w:left="180"/>
              <w:spacing w:after="0" w:line="169" w:lineRule="exact"/>
              <w:rPr>
                <w:sz w:val="20"/>
                <w:szCs w:val="20"/>
                <w:color w:val="auto"/>
              </w:rPr>
            </w:pPr>
            <w:r>
              <w:rPr>
                <w:rFonts w:ascii="Arial" w:cs="Arial" w:eastAsia="Arial" w:hAnsi="Arial"/>
                <w:sz w:val="15"/>
                <w:szCs w:val="15"/>
                <w:b w:val="1"/>
                <w:bCs w:val="1"/>
                <w:color w:val="auto"/>
              </w:rPr>
              <w:t>September 30,</w:t>
            </w:r>
          </w:p>
        </w:tc>
        <w:tc>
          <w:tcPr>
            <w:tcW w:w="1180" w:type="dxa"/>
            <w:vAlign w:val="bottom"/>
          </w:tcPr>
          <w:p>
            <w:pPr>
              <w:jc w:val="right"/>
              <w:ind w:right="63"/>
              <w:spacing w:after="0" w:line="169" w:lineRule="exact"/>
              <w:rPr>
                <w:sz w:val="20"/>
                <w:szCs w:val="20"/>
                <w:color w:val="auto"/>
              </w:rPr>
            </w:pPr>
            <w:r>
              <w:rPr>
                <w:rFonts w:ascii="Arial" w:cs="Arial" w:eastAsia="Arial" w:hAnsi="Arial"/>
                <w:sz w:val="15"/>
                <w:szCs w:val="15"/>
                <w:b w:val="1"/>
                <w:bCs w:val="1"/>
                <w:color w:val="auto"/>
              </w:rPr>
              <w:t>December 31,</w:t>
            </w:r>
          </w:p>
        </w:tc>
      </w:tr>
      <w:tr>
        <w:trPr>
          <w:trHeight w:val="202"/>
        </w:trPr>
        <w:tc>
          <w:tcPr>
            <w:tcW w:w="36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r>
      <w:tr>
        <w:trPr>
          <w:trHeight w:val="254"/>
        </w:trPr>
        <w:tc>
          <w:tcPr>
            <w:tcW w:w="3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Collateralized term loans - Life Companies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1,320,199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1,259,158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266"/>
        </w:trPr>
        <w:tc>
          <w:tcPr>
            <w:tcW w:w="3660" w:type="dxa"/>
            <w:vAlign w:val="bottom"/>
          </w:tcPr>
          <w:p>
            <w:pPr>
              <w:ind w:left="40"/>
              <w:spacing w:after="0"/>
              <w:rPr>
                <w:sz w:val="20"/>
                <w:szCs w:val="20"/>
                <w:color w:val="auto"/>
              </w:rPr>
            </w:pPr>
            <w:r>
              <w:rPr>
                <w:rFonts w:ascii="Arial" w:cs="Arial" w:eastAsia="Arial" w:hAnsi="Arial"/>
                <w:sz w:val="15"/>
                <w:szCs w:val="15"/>
                <w:color w:val="auto"/>
              </w:rPr>
              <w:t>Collateralized term loans - FNMA</w:t>
            </w: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870,627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770,417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4"/>
        </w:trPr>
        <w:tc>
          <w:tcPr>
            <w:tcW w:w="3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Collateralized term loans - CMBS</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400,051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405,702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266"/>
        </w:trPr>
        <w:tc>
          <w:tcPr>
            <w:tcW w:w="3660" w:type="dxa"/>
            <w:vAlign w:val="bottom"/>
          </w:tcPr>
          <w:p>
            <w:pPr>
              <w:ind w:left="40"/>
              <w:spacing w:after="0"/>
              <w:rPr>
                <w:sz w:val="20"/>
                <w:szCs w:val="20"/>
                <w:color w:val="auto"/>
              </w:rPr>
            </w:pPr>
            <w:r>
              <w:rPr>
                <w:rFonts w:ascii="Arial" w:cs="Arial" w:eastAsia="Arial" w:hAnsi="Arial"/>
                <w:sz w:val="15"/>
                <w:szCs w:val="15"/>
                <w:color w:val="auto"/>
              </w:rPr>
              <w:t>Collateralized term loans - FMCC</w:t>
            </w: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376,251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380,680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74"/>
        </w:trPr>
        <w:tc>
          <w:tcPr>
            <w:tcW w:w="3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Secured borrowings</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93,669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3660" w:type="dxa"/>
            <w:vAlign w:val="bottom"/>
          </w:tcPr>
          <w:p>
            <w:pPr>
              <w:ind w:left="40"/>
              <w:spacing w:after="0"/>
              <w:rPr>
                <w:sz w:val="20"/>
                <w:szCs w:val="20"/>
                <w:color w:val="auto"/>
              </w:rPr>
            </w:pPr>
            <w:r>
              <w:rPr>
                <w:rFonts w:ascii="Arial" w:cs="Arial" w:eastAsia="Arial" w:hAnsi="Arial"/>
                <w:sz w:val="15"/>
                <w:szCs w:val="15"/>
                <w:color w:val="auto"/>
              </w:rPr>
              <w:t>Preferred equity - Sun NG Resorts - mandatorily</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8"/>
        </w:trPr>
        <w:tc>
          <w:tcPr>
            <w:tcW w:w="3660" w:type="dxa"/>
            <w:vAlign w:val="bottom"/>
          </w:tcPr>
          <w:p>
            <w:pPr>
              <w:ind w:left="40"/>
              <w:spacing w:after="0"/>
              <w:rPr>
                <w:sz w:val="20"/>
                <w:szCs w:val="20"/>
                <w:color w:val="auto"/>
              </w:rPr>
            </w:pPr>
            <w:r>
              <w:rPr>
                <w:rFonts w:ascii="Arial" w:cs="Arial" w:eastAsia="Arial" w:hAnsi="Arial"/>
                <w:sz w:val="15"/>
                <w:szCs w:val="15"/>
                <w:color w:val="auto"/>
              </w:rPr>
              <w:t>redeemable</w:t>
            </w:r>
          </w:p>
        </w:tc>
        <w:tc>
          <w:tcPr>
            <w:tcW w:w="12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35,249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35,277</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74"/>
        </w:trPr>
        <w:tc>
          <w:tcPr>
            <w:tcW w:w="3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OP units - mandatorily redeemable</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34,663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37,338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266"/>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Lines of credit</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140,632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128,000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3.2%</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3.8%</w:t>
            </w:r>
          </w:p>
        </w:tc>
      </w:tr>
      <w:tr>
        <w:trPr>
          <w:trHeight w:val="241"/>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3,271,341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3,124,303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the three months ended September 30, 2019, the Company completed a $250.0 million ten-year term loan transaction which carries an interest rate of 2.925 percent. Concurrently, the Company repaid a $134.0 million term loan with an interest rate of 4.30 percent which was due to mature in May 2023. We recognized a loss on extinguishment of debt of $12.8 million as a result of the repayment transaction in our Consolidated Statement of Operations.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2019, we completed a $265.0 million 25-year term loan transaction which carries an interest rate of 4.17 percent. Concurrently, we repaid a $186.8 million term loan with an interest rate of 3.83 percent which was due to mature in January 2030. We recognized a loss on extinguishment of debt of $0.7 million as a result of the repayment transaction in our Consolidated Statement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December 31, 2018, we repaid a term loan of $10.2 million with an interest rate of 5.66 percent. The loan was due to mature on February 28, 2019. Concurrently, we entered into a $21.7 million collateralized term loan with a 4.10 percent fixed interest rate and 20-year term.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2018, we entered into a $228.0 million collateralized term loan with a 4.10 percent fixed rate and a 20-year term. During the three months ended September 30, 2018, we repaid one collateralized term loan of $30.5 million with an interest rate of 6.34 percent, releasing one encumbered community, which was due to mature March 1, 2019. We recognized a loss on extinguishment of debt of $0.9 million as a result of the repayment transaction.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2018 we repaid three collateralized term loans totaling $177.7 million with a weighted average interest rate of 4.53 percent, releasing 11 encumbered communities. One loan was due to mature on August 1, 2018 and two loans were due to mature on May 1, 2023. We recognized a loss on extinguishment of debt of $1.5 million as a result of the repayment transaction.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we repaid four collateralized term loans totaling $24.4 million with a weighted average interest rate of 6.36 percent, releasing three encumbered communities. The loans were due to mature on March 1, 2019. We recognized a loss on extinguishment of debt of $0.2 million as a result of the repayment transactions.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collateralized term loans totaling $3.0 billion as of September 30, 2019, are secured by 183 properties comprised of 71,920 sites representing approximately $3.2 billion of net book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Borrowing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4, “Collateralized Receivables and Transfers of Financial Assets,” for information regarding our collateralized receivables and secured borrowing transactions.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6"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 year term and can be redeemed in the fourth quarter of 2022 at the holders’ option. The Preferred Equity - Sun NG Resorts as of September 30, 2019 was $35.2 million. Refer to Note 3, “Real Estate Acquisitions,” Note 8, “Consolidated Variable Interest Entities,” and Note 10, “Equity and Temporary Equity”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Preferred OP units at September 30, 2019 and December 31, 2018 include $34.7 million of Aspen preferred OP units issued by the Operating Partnership. As of September 30, 2019, these units are convertible indirectly into 406,974 shares of our common stock. Subject to certain limitations, at any time prior to January 1, 2024, the holder of each Aspen preferred OP unit at its option may convert such Aspen preferred OP unit into: (a) if the market price of our common stock is $68.00 per share or less, 0.397 common OP units; or (b) if the market price of our common stock is greater than $68.00 per share, the number of common OP units is determined by dividing (i) the sum of (A) $27.00 plus (B) 25 percent of the amount by which the market price of our common stock exceeds $68.00 per share, by (ii) the per share market price of our common stock. The current preferred distribution rate is 6.5 percent. On January 2, 2024, we are required to redeem all Aspen preferred OP units that have not been converted to common OP units.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Preferred OP units also include $2.7 million of Series B-3 preferred OP units at December 31, 2018, which are not convertible. In January 2019, we redeemed all remaining 26,750 Series B-3 preferred OP units. The weighted average redemption price per unit, which included accrued and unpaid distributions, of $100.153424. In the aggregate, we paid $2.7 million to redeem these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we amended and restated our credit agreement (the “A&amp;R Credit Agreement”) with Citibank, N.A. (“Citibank”) and certain other lenders. Pursuant to the A&amp;R Credit Agreement, we entered into a senior credit facility with Citibank and certain other lenders in the amount of $750.0 million, comprised of a $650.0 million revolving loan, with the ability to use up to $100.0 million for advances in Australian dollars, and a $100.0 million term loan (the “A&amp;R Facility”). The Company has until March 17, 2020 to draw on the term loan. As of September 30, 2019, the Company had not drawn any funds on the term loan. The A&amp;R Credit Agreement has a four-year term ending May 21, 2023, which can be extended for two additional six-month periods, subject to the satisfaction of certain conditions as defined in the credit agreement. The A&amp;R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$1.1 billion.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A&amp;R Facility bears interest at a floating rate based on the Eurodollar rate or Bank Bill Swap Bid Rate (“BBSY Bid rate”) plus a margin that is determined based on our leverage ratio calculated in accordance with the A&amp;R Credit Agreement, which margin can range from 1.20 percent to 2.10 percent for the revolving loan and 1.20 percent to 2.05 percent for the term loan. As of September 30, 2019, the margin based on our leverage ratio was 1.2 percent on the revolving loan and 1.2 percent on the term loan. We had $137.0 million and zero of borrowings on the revolving loan and the term loans, respectively, as of September 30, 2019.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September 30, 2019 and December 31, 2018, approximately $3.4 million and $3.9 million of availability was used to back standby letters of credit.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 $12.0 million manufactured home floor plan facility renewable indefinitely until our lender provides us at least a twelve month notice 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September 30, 2019, the effective interest rate was 7.0 percent. The outstanding balance was $3.6 million as of September 30, 2019 and zero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The most restrictive of our debt agreements place limitations on secured borrowings and contain minimum fixed charge coverage, leverage, distribution, and net worth requirements. At September 30, 2019, we were in compliance with all covenants.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6"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the debts and other obligations of the Company, any of its other subsidiaries or any other person or entity.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 percent investment in GTSC, a nonconsolidated affiliate. During September 2019, GTSC entered into a warehouse line of credit with a maximum loan amount of $125.0 million. As of September 30, 2019, the aggregate carrying amount of debt, including both our and our partners’ share, incurred by GTSC was approximately $110.3 million (of which our proportionate share is approximately $44.1 million). The debt bears interest at a variable rate based on LIBOR plus 1.65 percent per annum and matures on September 15, 2023.</w:t>
      </w:r>
    </w:p>
    <w:p>
      <w:pPr>
        <w:spacing w:after="0" w:line="18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2019, we closed an underwritten registered public offering of 3,737,500 shares of common stock. Proceeds from the offering were $452.1 million after deducting expenses related to the offering. We used the net proceeds of this offering to repay borrowings outstanding under the revolving loan under our senior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2017, we entered into a new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September 30, 2019, we have sold shares of our common stock for gross proceeds of $163.8 million under the Sales Agreement. There were no issuances of common stock under the Sales Agreement during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D Preferred OP Units - Temporary Equity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2019, we issued 488,958 Series D Preferred OP Units in connection with the acquisition of Country 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0.8 shares of SUI stock at the holder’s option. The holders may require redemption in cash after the fifth anniversary of the Series D issuance date or upon the holder’s death. Refer to Note 3, “Real Estate Acquisitions”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 - NG Sun LLC - Temporary Equity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2018, in connection with the investment in Sun NG Resorts, unrelated third parties purchased 6.5 million of Series B preferred equity interests and $15.4 million of common equity interest in Sun NG Resorts (herein jointly referred to as “Equity Interest - NG Sun LLC”). The Series B preferred equity interests carry a preferred return at a rate that, at any time, is equal to the interest rate on Sun NG Resorts’ indebtedness at such time. The current rate of return is 5.5 percent. The Equity Interests - NG Sun LLC do not have a fixed maturity date and can be redeemed in the fourth quarter of 2022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the Company is required to purchase the remaining interests of NG Sun LLC and the property management agreement at fair value. Refer to Note 3, “Real Estate Acquisitions,” Note 8, “Consolidated Variable Interest Entities,” and Note 9, “Debt and Lines of Credit” for additional information.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 - NG Sun Whitewater RV LLC - Temporary Equity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2019, in connection with the investment in land at the property known as Whitewater, NG Sun Whitewater LLC purchased $2.4 million of common equity interest in Sun NG Whitewater RV LLC Resorts (referred to as “Equity Interests - NG Sun Whitewater RV LLC”). The Equity Interests - NG Sun Whitewater RV LLC do not have a fixed maturity date and can be redeemed anytime after the last day of the third full year that the RV park has been operated as a recreational vehicle park, or last day of the third full year that the RV park has been operated as a recreational vehicle park after the completion of the development of phase two (the “buy-sell trigger date”). Sun NG LLC, our subsidiary, has the right to terminate the agreement after the buy-sell trigger date. If either party exercises their option, the property management agreement will be terminated and Sun NG LLC is required to purchase the remaining interests of NG Sun Whitewater LLC and the property management agreement at fair value. Refer to Note 3, “Real Estate Acquisitions,” and Note 8, “Consolidated Variable Interest Entities,”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holders can convert certain series of stock and OP units to shares of our common stock at any time. Below is the activity of conversions during the nine months ended September 30, 2019 and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3"/>
          </w:tcPr>
          <w:p>
            <w:pPr>
              <w:ind w:left="680"/>
              <w:spacing w:after="0"/>
              <w:rPr>
                <w:sz w:val="20"/>
                <w:szCs w:val="20"/>
                <w:color w:val="auto"/>
              </w:rPr>
            </w:pPr>
            <w:r>
              <w:rPr>
                <w:rFonts w:ascii="Arial" w:cs="Arial" w:eastAsia="Arial" w:hAnsi="Arial"/>
                <w:sz w:val="15"/>
                <w:szCs w:val="15"/>
                <w:b w:val="1"/>
                <w:bCs w:val="1"/>
                <w:color w:val="auto"/>
              </w:rPr>
              <w:t>Nine Months Ended</w:t>
            </w:r>
          </w:p>
        </w:tc>
        <w:tc>
          <w:tcPr>
            <w:tcW w:w="2600" w:type="dxa"/>
            <w:vAlign w:val="bottom"/>
            <w:gridSpan w:val="2"/>
          </w:tcPr>
          <w:p>
            <w:pPr>
              <w:jc w:val="right"/>
              <w:ind w:right="545"/>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328"/>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24"/>
                <w:szCs w:val="24"/>
                <w:color w:val="auto"/>
              </w:rPr>
            </w:pPr>
          </w:p>
        </w:tc>
        <w:tc>
          <w:tcPr>
            <w:tcW w:w="2600" w:type="dxa"/>
            <w:vAlign w:val="bottom"/>
            <w:tcBorders>
              <w:bottom w:val="single" w:sz="8" w:color="auto"/>
            </w:tcBorders>
            <w:gridSpan w:val="2"/>
          </w:tcPr>
          <w:p>
            <w:pPr>
              <w:jc w:val="right"/>
              <w:ind w:right="565"/>
              <w:spacing w:after="0"/>
              <w:rPr>
                <w:sz w:val="20"/>
                <w:szCs w:val="20"/>
                <w:color w:val="auto"/>
              </w:rPr>
            </w:pPr>
            <w:r>
              <w:rPr>
                <w:rFonts w:ascii="Arial" w:cs="Arial" w:eastAsia="Arial" w:hAnsi="Arial"/>
                <w:sz w:val="15"/>
                <w:szCs w:val="15"/>
                <w:b w:val="1"/>
                <w:bCs w:val="1"/>
                <w:color w:val="auto"/>
              </w:rPr>
              <w:t>September 30, 2018</w:t>
            </w:r>
          </w:p>
        </w:tc>
        <w:tc>
          <w:tcPr>
            <w:tcW w:w="0" w:type="dxa"/>
            <w:vAlign w:val="bottom"/>
          </w:tcPr>
          <w:p>
            <w:pPr>
              <w:spacing w:after="0"/>
              <w:rPr>
                <w:sz w:val="1"/>
                <w:szCs w:val="1"/>
                <w:color w:val="auto"/>
              </w:rPr>
            </w:pPr>
          </w:p>
        </w:tc>
      </w:tr>
      <w:tr>
        <w:trPr>
          <w:trHeight w:val="173"/>
        </w:trPr>
        <w:tc>
          <w:tcPr>
            <w:tcW w:w="41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Series</w:t>
            </w:r>
          </w:p>
        </w:tc>
        <w:tc>
          <w:tcPr>
            <w:tcW w:w="240" w:type="dxa"/>
            <w:vAlign w:val="bottom"/>
            <w:vMerge w:val="restart"/>
          </w:tcPr>
          <w:p>
            <w:pPr>
              <w:spacing w:after="0"/>
              <w:rPr>
                <w:sz w:val="15"/>
                <w:szCs w:val="15"/>
                <w:color w:val="auto"/>
              </w:rPr>
            </w:pPr>
          </w:p>
        </w:tc>
        <w:tc>
          <w:tcPr>
            <w:tcW w:w="138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Conversion Rate</w:t>
            </w:r>
          </w:p>
        </w:tc>
        <w:tc>
          <w:tcPr>
            <w:tcW w:w="220" w:type="dxa"/>
            <w:vAlign w:val="bottom"/>
            <w:vMerge w:val="restart"/>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b w:val="1"/>
                <w:bCs w:val="1"/>
                <w:color w:val="auto"/>
              </w:rPr>
              <w:t>Units/Shares</w:t>
            </w:r>
          </w:p>
        </w:tc>
        <w:tc>
          <w:tcPr>
            <w:tcW w:w="13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3"/>
              </w:rPr>
              <w:t xml:space="preserve">Common Stock </w:t>
            </w:r>
            <w:r>
              <w:rPr>
                <w:rFonts w:ascii="Arial" w:cs="Arial" w:eastAsia="Arial" w:hAnsi="Arial"/>
                <w:sz w:val="25"/>
                <w:szCs w:val="25"/>
                <w:b w:val="1"/>
                <w:bCs w:val="1"/>
                <w:color w:val="auto"/>
                <w:w w:val="93"/>
                <w:vertAlign w:val="superscript"/>
              </w:rPr>
              <w:t>(1)</w:t>
            </w:r>
          </w:p>
        </w:tc>
        <w:tc>
          <w:tcPr>
            <w:tcW w:w="200" w:type="dxa"/>
            <w:vAlign w:val="bottom"/>
            <w:vMerge w:val="restart"/>
          </w:tcPr>
          <w:p>
            <w:pPr>
              <w:spacing w:after="0"/>
              <w:rPr>
                <w:sz w:val="15"/>
                <w:szCs w:val="15"/>
                <w:color w:val="auto"/>
              </w:rPr>
            </w:pPr>
          </w:p>
        </w:tc>
        <w:tc>
          <w:tcPr>
            <w:tcW w:w="1360" w:type="dxa"/>
            <w:vAlign w:val="bottom"/>
          </w:tcPr>
          <w:p>
            <w:pPr>
              <w:jc w:val="right"/>
              <w:ind w:right="183"/>
              <w:spacing w:after="0"/>
              <w:rPr>
                <w:sz w:val="20"/>
                <w:szCs w:val="20"/>
                <w:color w:val="auto"/>
              </w:rPr>
            </w:pPr>
            <w:r>
              <w:rPr>
                <w:rFonts w:ascii="Arial" w:cs="Arial" w:eastAsia="Arial" w:hAnsi="Arial"/>
                <w:sz w:val="15"/>
                <w:szCs w:val="15"/>
                <w:b w:val="1"/>
                <w:bCs w:val="1"/>
                <w:color w:val="auto"/>
              </w:rPr>
              <w:t>Units/Shares</w:t>
            </w:r>
          </w:p>
        </w:tc>
        <w:tc>
          <w:tcPr>
            <w:tcW w:w="1240" w:type="dxa"/>
            <w:vAlign w:val="bottom"/>
          </w:tcPr>
          <w:p>
            <w:pPr>
              <w:jc w:val="right"/>
              <w:ind w:right="45"/>
              <w:spacing w:after="0"/>
              <w:rPr>
                <w:sz w:val="20"/>
                <w:szCs w:val="20"/>
                <w:color w:val="auto"/>
              </w:rPr>
            </w:pPr>
            <w:r>
              <w:rPr>
                <w:rFonts w:ascii="Arial" w:cs="Arial" w:eastAsia="Arial" w:hAnsi="Arial"/>
                <w:sz w:val="15"/>
                <w:szCs w:val="15"/>
                <w:b w:val="1"/>
                <w:bCs w:val="1"/>
                <w:color w:val="auto"/>
                <w:w w:val="99"/>
              </w:rPr>
              <w:t>Common Stock</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3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Converted</w:t>
            </w:r>
          </w:p>
        </w:tc>
        <w:tc>
          <w:tcPr>
            <w:tcW w:w="13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Converted</w:t>
            </w:r>
          </w:p>
        </w:tc>
        <w:tc>
          <w:tcPr>
            <w:tcW w:w="124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443,158</w:t>
            </w: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443,158</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16,908</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16,908</w:t>
            </w:r>
          </w:p>
        </w:tc>
        <w:tc>
          <w:tcPr>
            <w:tcW w:w="0" w:type="dxa"/>
            <w:vAlign w:val="bottom"/>
          </w:tcPr>
          <w:p>
            <w:pPr>
              <w:spacing w:after="0"/>
              <w:rPr>
                <w:sz w:val="1"/>
                <w:szCs w:val="1"/>
                <w:color w:val="auto"/>
              </w:rPr>
            </w:pP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2.4390</w:t>
            </w:r>
          </w:p>
        </w:tc>
        <w:tc>
          <w:tcPr>
            <w:tcW w:w="220" w:type="dxa"/>
            <w:vAlign w:val="bottom"/>
          </w:tcPr>
          <w:p>
            <w:pPr>
              <w:spacing w:after="0"/>
              <w:rPr>
                <w:sz w:val="23"/>
                <w:szCs w:val="23"/>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15,732</w:t>
            </w:r>
          </w:p>
        </w:tc>
        <w:tc>
          <w:tcPr>
            <w:tcW w:w="1320" w:type="dxa"/>
            <w:vAlign w:val="bottom"/>
          </w:tcPr>
          <w:p>
            <w:pPr>
              <w:jc w:val="right"/>
              <w:ind w:right="63"/>
              <w:spacing w:after="0"/>
              <w:rPr>
                <w:sz w:val="20"/>
                <w:szCs w:val="20"/>
                <w:color w:val="auto"/>
              </w:rPr>
            </w:pPr>
            <w:r>
              <w:rPr>
                <w:rFonts w:ascii="Arial" w:cs="Arial" w:eastAsia="Arial" w:hAnsi="Arial"/>
                <w:sz w:val="15"/>
                <w:szCs w:val="15"/>
                <w:color w:val="auto"/>
              </w:rPr>
              <w:t>38,363</w:t>
            </w:r>
          </w:p>
        </w:tc>
        <w:tc>
          <w:tcPr>
            <w:tcW w:w="20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13,100</w:t>
            </w: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31,948</w:t>
            </w:r>
          </w:p>
        </w:tc>
        <w:tc>
          <w:tcPr>
            <w:tcW w:w="0" w:type="dxa"/>
            <w:vAlign w:val="bottom"/>
          </w:tcPr>
          <w:p>
            <w:pPr>
              <w:spacing w:after="0"/>
              <w:rPr>
                <w:sz w:val="1"/>
                <w:szCs w:val="1"/>
                <w:color w:val="auto"/>
              </w:rPr>
            </w:pPr>
          </w:p>
        </w:tc>
      </w:tr>
      <w:tr>
        <w:trPr>
          <w:trHeight w:val="27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A-4 preferred OP unit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0.4444</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4,708</w:t>
            </w: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2,092</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13,765</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6,116</w:t>
            </w:r>
          </w:p>
        </w:tc>
        <w:tc>
          <w:tcPr>
            <w:tcW w:w="0" w:type="dxa"/>
            <w:vAlign w:val="bottom"/>
          </w:tcPr>
          <w:p>
            <w:pPr>
              <w:spacing w:after="0"/>
              <w:rPr>
                <w:sz w:val="1"/>
                <w:szCs w:val="1"/>
                <w:color w:val="auto"/>
              </w:rPr>
            </w:pP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Series A-4 preferred stock</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0.4444</w:t>
            </w:r>
          </w:p>
        </w:tc>
        <w:tc>
          <w:tcPr>
            <w:tcW w:w="220" w:type="dxa"/>
            <w:vAlign w:val="bottom"/>
          </w:tcPr>
          <w:p>
            <w:pPr>
              <w:spacing w:after="0"/>
              <w:rPr>
                <w:sz w:val="23"/>
                <w:szCs w:val="23"/>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11,288</w:t>
            </w:r>
          </w:p>
        </w:tc>
        <w:tc>
          <w:tcPr>
            <w:tcW w:w="1320" w:type="dxa"/>
            <w:vAlign w:val="bottom"/>
          </w:tcPr>
          <w:p>
            <w:pPr>
              <w:jc w:val="right"/>
              <w:ind w:right="63"/>
              <w:spacing w:after="0"/>
              <w:rPr>
                <w:sz w:val="20"/>
                <w:szCs w:val="20"/>
                <w:color w:val="auto"/>
              </w:rPr>
            </w:pPr>
            <w:r>
              <w:rPr>
                <w:rFonts w:ascii="Arial" w:cs="Arial" w:eastAsia="Arial" w:hAnsi="Arial"/>
                <w:sz w:val="15"/>
                <w:szCs w:val="15"/>
                <w:color w:val="auto"/>
              </w:rPr>
              <w:t>5,016</w:t>
            </w:r>
          </w:p>
        </w:tc>
        <w:tc>
          <w:tcPr>
            <w:tcW w:w="20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22,576</w:t>
            </w:r>
          </w:p>
        </w:tc>
        <w:tc>
          <w:tcPr>
            <w:tcW w:w="1240" w:type="dxa"/>
            <w:vAlign w:val="bottom"/>
          </w:tcPr>
          <w:p>
            <w:pPr>
              <w:jc w:val="right"/>
              <w:ind w:right="25"/>
              <w:spacing w:after="0"/>
              <w:rPr>
                <w:sz w:val="20"/>
                <w:szCs w:val="20"/>
                <w:color w:val="auto"/>
              </w:rPr>
            </w:pPr>
            <w:r>
              <w:rPr>
                <w:rFonts w:ascii="Arial" w:cs="Arial" w:eastAsia="Arial" w:hAnsi="Arial"/>
                <w:sz w:val="15"/>
                <w:szCs w:val="15"/>
                <w:color w:val="auto"/>
              </w:rPr>
              <w:t>10,033</w:t>
            </w:r>
          </w:p>
        </w:tc>
        <w:tc>
          <w:tcPr>
            <w:tcW w:w="0" w:type="dxa"/>
            <w:vAlign w:val="bottom"/>
          </w:tcPr>
          <w:p>
            <w:pPr>
              <w:spacing w:after="0"/>
              <w:rPr>
                <w:sz w:val="1"/>
                <w:szCs w:val="1"/>
                <w:color w:val="auto"/>
              </w:rPr>
            </w:pPr>
          </w:p>
        </w:tc>
      </w:tr>
      <w:tr>
        <w:trPr>
          <w:trHeight w:val="27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C preferred OP unit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1.1100</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4,014</w:t>
            </w: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4,455</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1,919</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2,130</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w:t>
      </w:r>
      <w:r>
        <w:rPr>
          <w:rFonts w:ascii="Arial" w:cs="Arial" w:eastAsia="Arial" w:hAnsi="Arial"/>
          <w:sz w:val="14"/>
          <w:szCs w:val="14"/>
          <w:color w:val="auto"/>
        </w:rPr>
        <w:t>alculation may yield minor differences due to rounding incorporated in the above numbers.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for the three months ended September 30, 2019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5"/>
                <w:szCs w:val="15"/>
                <w:b w:val="1"/>
                <w:bCs w:val="1"/>
                <w:color w:val="auto"/>
              </w:rPr>
              <w:t>Distribution per</w:t>
            </w:r>
          </w:p>
        </w:tc>
        <w:tc>
          <w:tcPr>
            <w:tcW w:w="1240" w:type="dxa"/>
            <w:vAlign w:val="bottom"/>
            <w:gridSpan w:val="2"/>
          </w:tcPr>
          <w:p>
            <w:pPr>
              <w:ind w:left="40"/>
              <w:spacing w:after="0"/>
              <w:rPr>
                <w:sz w:val="20"/>
                <w:szCs w:val="20"/>
                <w:color w:val="auto"/>
              </w:rPr>
            </w:pPr>
            <w:r>
              <w:rPr>
                <w:rFonts w:ascii="Arial" w:cs="Arial" w:eastAsia="Arial" w:hAnsi="Arial"/>
                <w:sz w:val="15"/>
                <w:szCs w:val="15"/>
                <w:b w:val="1"/>
                <w:bCs w:val="1"/>
                <w:color w:val="auto"/>
                <w:w w:val="94"/>
              </w:rPr>
              <w:t>Total Distribution</w:t>
            </w:r>
          </w:p>
        </w:tc>
      </w:tr>
      <w:tr>
        <w:trPr>
          <w:trHeight w:val="20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Cash Distributions</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Record Date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Payment Date</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Share</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5"/>
              </w:rPr>
              <w:t>(thousands)</w:t>
            </w:r>
          </w:p>
        </w:tc>
      </w:tr>
      <w:tr>
        <w:trPr>
          <w:trHeight w:val="254"/>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Stock, Common OP units and Restricted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9/30/2019</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10/15/2019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0.75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69,724</w:t>
            </w:r>
          </w:p>
        </w:tc>
      </w:tr>
      <w:tr>
        <w:trPr>
          <w:trHeight w:val="262"/>
        </w:trPr>
        <w:tc>
          <w:tcPr>
            <w:tcW w:w="5720" w:type="dxa"/>
            <w:vAlign w:val="bottom"/>
            <w:gridSpan w:val="2"/>
          </w:tcPr>
          <w:p>
            <w:pPr>
              <w:ind w:left="40"/>
              <w:spacing w:after="0"/>
              <w:rPr>
                <w:sz w:val="20"/>
                <w:szCs w:val="20"/>
                <w:color w:val="auto"/>
              </w:rPr>
            </w:pPr>
            <w:r>
              <w:rPr>
                <w:rFonts w:ascii="Arial" w:cs="Arial" w:eastAsia="Arial" w:hAnsi="Arial"/>
                <w:sz w:val="15"/>
                <w:szCs w:val="15"/>
                <w:color w:val="auto"/>
              </w:rPr>
              <w:t>Series A-4 Preferred Stock</w:t>
            </w:r>
          </w:p>
        </w:tc>
        <w:tc>
          <w:tcPr>
            <w:tcW w:w="1260" w:type="dxa"/>
            <w:vAlign w:val="bottom"/>
          </w:tcPr>
          <w:p>
            <w:pPr>
              <w:jc w:val="right"/>
              <w:spacing w:after="0"/>
              <w:rPr>
                <w:sz w:val="20"/>
                <w:szCs w:val="20"/>
                <w:color w:val="auto"/>
              </w:rPr>
            </w:pPr>
            <w:r>
              <w:rPr>
                <w:rFonts w:ascii="Arial" w:cs="Arial" w:eastAsia="Arial" w:hAnsi="Arial"/>
                <w:sz w:val="15"/>
                <w:szCs w:val="15"/>
                <w:color w:val="auto"/>
              </w:rPr>
              <w:t>9/14/2019</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9/30/2019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0.40625</w:t>
            </w:r>
          </w:p>
        </w:tc>
        <w:tc>
          <w:tcPr>
            <w:tcW w:w="2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427</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2004, our Board of Directors authorized us to repurchase up to 1,000,000 shares of our common stock. We have 400,000 common shares remaining in the repurchase program as of September 30, 2019. No common shares were repurchased during nine months ended September 30, 2019 or 2018. There is no expiration date specified for the buyback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September 30, 2019,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details on grants of equity awards during the nine months ended September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3"/>
              <w:spacing w:after="0"/>
              <w:rPr>
                <w:sz w:val="20"/>
                <w:szCs w:val="20"/>
                <w:color w:val="auto"/>
              </w:rPr>
            </w:pPr>
            <w:r>
              <w:rPr>
                <w:rFonts w:ascii="Arial" w:cs="Arial" w:eastAsia="Arial" w:hAnsi="Arial"/>
                <w:sz w:val="15"/>
                <w:szCs w:val="15"/>
                <w:b w:val="1"/>
                <w:bCs w:val="1"/>
                <w:color w:val="auto"/>
                <w:w w:val="99"/>
              </w:rPr>
              <w:t>Grant Date</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5"/>
              </w:rPr>
              <w:t>Fair Value Per</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88"/>
              </w:rPr>
              <w:t>Vesting</w:t>
            </w:r>
          </w:p>
        </w:tc>
        <w:tc>
          <w:tcPr>
            <w:tcW w:w="1040" w:type="dxa"/>
            <w:vAlign w:val="bottom"/>
          </w:tcPr>
          <w:p>
            <w:pPr>
              <w:spacing w:after="0"/>
              <w:rPr>
                <w:sz w:val="14"/>
                <w:szCs w:val="14"/>
                <w:color w:val="auto"/>
              </w:rPr>
            </w:pPr>
          </w:p>
        </w:tc>
      </w:tr>
      <w:tr>
        <w:trPr>
          <w:trHeight w:val="202"/>
        </w:trPr>
        <w:tc>
          <w:tcPr>
            <w:tcW w:w="11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6"/>
              </w:rPr>
              <w:t>Grant Period</w:t>
            </w:r>
          </w:p>
        </w:tc>
        <w:tc>
          <w:tcPr>
            <w:tcW w:w="1560" w:type="dxa"/>
            <w:vAlign w:val="bottom"/>
            <w:gridSpan w:val="2"/>
          </w:tcPr>
          <w:p>
            <w:pPr>
              <w:ind w:left="580"/>
              <w:spacing w:after="0"/>
              <w:rPr>
                <w:sz w:val="20"/>
                <w:szCs w:val="20"/>
                <w:color w:val="auto"/>
              </w:rPr>
            </w:pPr>
            <w:r>
              <w:rPr>
                <w:rFonts w:ascii="Arial" w:cs="Arial" w:eastAsia="Arial" w:hAnsi="Arial"/>
                <w:sz w:val="15"/>
                <w:szCs w:val="15"/>
                <w:b w:val="1"/>
                <w:bCs w:val="1"/>
                <w:color w:val="auto"/>
              </w:rPr>
              <w:t>Type</w:t>
            </w:r>
          </w:p>
        </w:tc>
        <w:tc>
          <w:tcPr>
            <w:tcW w:w="360" w:type="dxa"/>
            <w:vAlign w:val="bottom"/>
          </w:tcPr>
          <w:p>
            <w:pPr>
              <w:spacing w:after="0"/>
              <w:rPr>
                <w:sz w:val="17"/>
                <w:szCs w:val="17"/>
                <w:color w:val="auto"/>
              </w:rPr>
            </w:pPr>
          </w:p>
        </w:tc>
        <w:tc>
          <w:tcPr>
            <w:tcW w:w="1900" w:type="dxa"/>
            <w:vAlign w:val="bottom"/>
            <w:gridSpan w:val="2"/>
          </w:tcPr>
          <w:p>
            <w:pPr>
              <w:ind w:left="560"/>
              <w:spacing w:after="0"/>
              <w:rPr>
                <w:sz w:val="20"/>
                <w:szCs w:val="20"/>
                <w:color w:val="auto"/>
              </w:rPr>
            </w:pPr>
            <w:r>
              <w:rPr>
                <w:rFonts w:ascii="Arial" w:cs="Arial" w:eastAsia="Arial" w:hAnsi="Arial"/>
                <w:sz w:val="15"/>
                <w:szCs w:val="15"/>
                <w:b w:val="1"/>
                <w:bCs w:val="1"/>
                <w:color w:val="auto"/>
              </w:rPr>
              <w:t>Plan</w:t>
            </w:r>
          </w:p>
        </w:tc>
        <w:tc>
          <w:tcPr>
            <w:tcW w:w="880" w:type="dxa"/>
            <w:vAlign w:val="bottom"/>
          </w:tcPr>
          <w:p>
            <w:pPr>
              <w:jc w:val="right"/>
              <w:ind w:right="83"/>
              <w:spacing w:after="0"/>
              <w:rPr>
                <w:sz w:val="20"/>
                <w:szCs w:val="20"/>
                <w:color w:val="auto"/>
              </w:rPr>
            </w:pPr>
            <w:r>
              <w:rPr>
                <w:rFonts w:ascii="Arial" w:cs="Arial" w:eastAsia="Arial" w:hAnsi="Arial"/>
                <w:sz w:val="15"/>
                <w:szCs w:val="15"/>
                <w:b w:val="1"/>
                <w:bCs w:val="1"/>
                <w:color w:val="auto"/>
              </w:rPr>
              <w:t>Granted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b w:val="1"/>
                <w:bCs w:val="1"/>
                <w:color w:val="auto"/>
                <w:w w:val="91"/>
              </w:rPr>
              <w:t>Share</w:t>
            </w:r>
          </w:p>
        </w:tc>
        <w:tc>
          <w:tcPr>
            <w:tcW w:w="24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5"/>
                <w:szCs w:val="15"/>
                <w:b w:val="1"/>
                <w:bCs w:val="1"/>
                <w:color w:val="auto"/>
              </w:rPr>
              <w:t>Vesting Type</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Anniversary</w:t>
            </w:r>
          </w:p>
        </w:tc>
        <w:tc>
          <w:tcPr>
            <w:tcW w:w="1040" w:type="dxa"/>
            <w:vAlign w:val="bottom"/>
          </w:tcPr>
          <w:p>
            <w:pPr>
              <w:jc w:val="right"/>
              <w:ind w:right="83"/>
              <w:spacing w:after="0"/>
              <w:rPr>
                <w:sz w:val="20"/>
                <w:szCs w:val="20"/>
                <w:color w:val="auto"/>
              </w:rPr>
            </w:pPr>
            <w:r>
              <w:rPr>
                <w:rFonts w:ascii="Arial" w:cs="Arial" w:eastAsia="Arial" w:hAnsi="Arial"/>
                <w:sz w:val="15"/>
                <w:szCs w:val="15"/>
                <w:b w:val="1"/>
                <w:bCs w:val="1"/>
                <w:color w:val="auto"/>
              </w:rPr>
              <w:t>Percentage</w:t>
            </w:r>
          </w:p>
        </w:tc>
      </w:tr>
      <w:tr>
        <w:trPr>
          <w:trHeight w:val="322"/>
        </w:trPr>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08"/>
        </w:trPr>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115.39</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28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20.0% annually over 5 years</w:t>
            </w:r>
          </w:p>
        </w:tc>
      </w:tr>
      <w:tr>
        <w:trPr>
          <w:trHeight w:val="62"/>
        </w:trPr>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08"/>
        </w:trPr>
        <w:tc>
          <w:tcPr>
            <w:tcW w:w="104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66,000</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115.39</w:t>
            </w:r>
          </w:p>
        </w:tc>
        <w:tc>
          <w:tcPr>
            <w:tcW w:w="240" w:type="dxa"/>
            <w:vAlign w:val="bottom"/>
          </w:tcPr>
          <w:p>
            <w:pPr>
              <w:jc w:val="right"/>
              <w:ind w:right="16"/>
              <w:spacing w:after="0"/>
              <w:rPr>
                <w:sz w:val="20"/>
                <w:szCs w:val="20"/>
                <w:color w:val="auto"/>
              </w:rPr>
            </w:pPr>
            <w:r>
              <w:rPr>
                <w:rFonts w:ascii="Arial" w:cs="Arial" w:eastAsia="Arial" w:hAnsi="Arial"/>
                <w:sz w:val="13"/>
                <w:szCs w:val="13"/>
                <w:color w:val="auto"/>
                <w:w w:val="87"/>
              </w:rPr>
              <w:t>(2)</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62"/>
        </w:trPr>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Directors</w:t>
            </w:r>
          </w:p>
        </w:tc>
        <w:tc>
          <w:tcPr>
            <w:tcW w:w="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2004</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Non-Employee Director</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18,000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113.68</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2"/>
        </w:trPr>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Option Plan</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8"/>
        </w:trPr>
        <w:tc>
          <w:tcPr>
            <w:tcW w:w="104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60" w:type="dxa"/>
            <w:vAlign w:val="bottom"/>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55,770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120.01</w:t>
            </w:r>
          </w:p>
        </w:tc>
        <w:tc>
          <w:tcPr>
            <w:tcW w:w="240" w:type="dxa"/>
            <w:vAlign w:val="bottom"/>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280" w:type="dxa"/>
            <w:vAlign w:val="bottom"/>
            <w:gridSpan w:val="3"/>
          </w:tcPr>
          <w:p>
            <w:pPr>
              <w:ind w:left="280"/>
              <w:spacing w:after="0"/>
              <w:rPr>
                <w:sz w:val="20"/>
                <w:szCs w:val="20"/>
                <w:color w:val="auto"/>
              </w:rPr>
            </w:pPr>
            <w:r>
              <w:rPr>
                <w:rFonts w:ascii="Arial" w:cs="Arial" w:eastAsia="Arial" w:hAnsi="Arial"/>
                <w:sz w:val="15"/>
                <w:szCs w:val="15"/>
                <w:color w:val="auto"/>
              </w:rPr>
              <w:t>20.0% annually over 5 years</w:t>
            </w:r>
          </w:p>
        </w:tc>
      </w:tr>
      <w:tr>
        <w:trPr>
          <w:trHeight w:val="62"/>
        </w:trPr>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r>
      <w:tr>
        <w:trPr>
          <w:trHeight w:val="208"/>
        </w:trPr>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Key Employees</w:t>
            </w:r>
          </w:p>
        </w:tc>
        <w:tc>
          <w:tcPr>
            <w:tcW w:w="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138.07</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28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rPr>
              <w:t>20.0% annually over 5 years</w:t>
            </w:r>
          </w:p>
        </w:tc>
      </w:tr>
      <w:tr>
        <w:trPr>
          <w:trHeight w:val="62"/>
        </w:trPr>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bl>
    <w:p>
      <w:pPr>
        <w:spacing w:after="0" w:line="364"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fair value of the grants were determined by using the average closing price of our common stock on the dates the shares were issued.</w:t>
      </w:r>
    </w:p>
    <w:p>
      <w:pPr>
        <w:ind w:left="260" w:hanging="252"/>
        <w:spacing w:after="0" w:line="233" w:lineRule="auto"/>
        <w:tabs>
          <w:tab w:leader="none" w:pos="183"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of the 66,000 shares to vest.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2019, 1,500 shares of common stock were issued in connection with the exercise of stock options with net proceeds of less than $0.1 million. There were no stock option exercises during the nine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vesting requirements for 223,781 restricted shares granted to our executives, directors and employees were satisfied during the nine months ended September 30, 2019.</w:t>
      </w:r>
    </w:p>
    <w:p>
      <w:pPr>
        <w:spacing w:after="0" w:line="16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 Rentals segment offers manufactured home sales and leasing services to tenants and prospective tenants of our communities.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Transactions between our segments are eliminated in consolidation. Transient RV revenue is included in the Real Property Operations segment revenues and is expected to approximate $131.9 million annually. Transient RV revenue was recognized 19.9 percent in the first quarter, 23.2 percent in the second quarter, 41.1 percent in the third quarter and is expected to be 15.8 percent in the fourth quarter. Transient revenue was $106.2 million for the year ended December 31, 2018. We recognized 20.7 percent in the first quarter, 20.3 percent in the second quarter, 42.6 percent in the third quarter, and 16.4 percent in the fourth quarter.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5"/>
                <w:szCs w:val="15"/>
                <w:b w:val="1"/>
                <w:bCs w:val="1"/>
                <w:color w:val="auto"/>
              </w:rPr>
              <w:t>Three Months Ended</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89"/>
              </w:rPr>
              <w:t>September 30, 2019</w:t>
            </w: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7"/>
          </w:tcPr>
          <w:p>
            <w:pPr>
              <w:jc w:val="right"/>
              <w:ind w:right="883"/>
              <w:spacing w:after="0"/>
              <w:rPr>
                <w:sz w:val="20"/>
                <w:szCs w:val="20"/>
                <w:color w:val="auto"/>
              </w:rPr>
            </w:pPr>
            <w:r>
              <w:rPr>
                <w:rFonts w:ascii="Arial" w:cs="Arial" w:eastAsia="Arial" w:hAnsi="Arial"/>
                <w:sz w:val="15"/>
                <w:szCs w:val="15"/>
                <w:b w:val="1"/>
                <w:bCs w:val="1"/>
                <w:color w:val="auto"/>
                <w:w w:val="91"/>
              </w:rPr>
              <w:t>September 30, 2018</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rPr>
              <w:t>Real Property</w:t>
            </w:r>
          </w:p>
        </w:tc>
        <w:tc>
          <w:tcPr>
            <w:tcW w:w="120" w:type="dxa"/>
            <w:vAlign w:val="bottom"/>
          </w:tcPr>
          <w:p>
            <w:pPr>
              <w:spacing w:after="0"/>
              <w:rPr>
                <w:sz w:val="14"/>
                <w:szCs w:val="14"/>
                <w:color w:val="auto"/>
              </w:rPr>
            </w:pPr>
          </w:p>
        </w:tc>
        <w:tc>
          <w:tcPr>
            <w:tcW w:w="10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w w:val="96"/>
              </w:rPr>
              <w:t>Real Property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8"/>
              </w:rPr>
              <w:t>and Rentals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3"/>
              </w:rPr>
              <w:t>Operations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and Rentals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288,422</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64,249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352,671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257,215</w:t>
            </w:r>
          </w:p>
        </w:tc>
        <w:tc>
          <w:tcPr>
            <w:tcW w:w="3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59,720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316,935</w:t>
            </w:r>
          </w:p>
        </w:tc>
        <w:tc>
          <w:tcPr>
            <w:tcW w:w="0" w:type="dxa"/>
            <w:vAlign w:val="bottom"/>
          </w:tcPr>
          <w:p>
            <w:pPr>
              <w:spacing w:after="0"/>
              <w:rPr>
                <w:sz w:val="1"/>
                <w:szCs w:val="1"/>
                <w:color w:val="auto"/>
              </w:rPr>
            </w:pPr>
          </w:p>
        </w:tc>
      </w:tr>
      <w:tr>
        <w:trPr>
          <w:trHeight w:val="266"/>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Operating expenses / Cost of sales</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113,201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42,326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155,527</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101,550</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39,928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141,478</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Net operating income / Gross profit</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175,221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197,144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155,665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175,457</w:t>
            </w:r>
          </w:p>
        </w:tc>
        <w:tc>
          <w:tcPr>
            <w:tcW w:w="0" w:type="dxa"/>
            <w:vAlign w:val="bottom"/>
          </w:tcPr>
          <w:p>
            <w:pPr>
              <w:spacing w:after="0"/>
              <w:rPr>
                <w:sz w:val="1"/>
                <w:szCs w:val="1"/>
                <w:color w:val="auto"/>
              </w:rPr>
            </w:pPr>
          </w:p>
        </w:tc>
      </w:tr>
      <w:tr>
        <w:trPr>
          <w:trHeight w:val="266"/>
        </w:trPr>
        <w:tc>
          <w:tcPr>
            <w:tcW w:w="4580" w:type="dxa"/>
            <w:vAlign w:val="bottom"/>
          </w:tcPr>
          <w:p>
            <w:pPr>
              <w:ind w:left="40"/>
              <w:spacing w:after="0"/>
              <w:rPr>
                <w:sz w:val="20"/>
                <w:szCs w:val="20"/>
                <w:color w:val="auto"/>
              </w:rPr>
            </w:pPr>
            <w:r>
              <w:rPr>
                <w:rFonts w:ascii="Arial" w:cs="Arial" w:eastAsia="Arial" w:hAnsi="Arial"/>
                <w:sz w:val="15"/>
                <w:szCs w:val="15"/>
                <w:color w:val="auto"/>
              </w:rPr>
              <w:t>Adjustments to arrive at net income / (loss)</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and other revenues, net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9,772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6,478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6,478</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(3,988)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(3,988)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(4,043)</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(19,966)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(22,975)</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(16,919)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(19,763)</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Catastrophic weather related charges, net</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(56,568)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(19,964)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(76,532)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(54,305)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(71,982)</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(12,755)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(12,755)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(528)</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(32,214)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(32,219)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(33,927)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(33,932)</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Remeasurement of marketable securities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12,661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Other income / (expense), net</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(4,401)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(4,408)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1,230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1,231</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from nonconsolidated affiliates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Current tax expense</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tax benefit / (expense)</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46"/>
        </w:trPr>
        <w:tc>
          <w:tcPr>
            <w:tcW w:w="4580" w:type="dxa"/>
            <w:vAlign w:val="bottom"/>
          </w:tcPr>
          <w:p>
            <w:pPr>
              <w:ind w:left="18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69,516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(5,065)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64,451</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56,443</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(4,728)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51,715</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266"/>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Less: Amounts attributable to noncontrolling interests</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(5,644)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(5,422)</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(4,299)</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(4,071)</w:t>
            </w:r>
          </w:p>
        </w:tc>
        <w:tc>
          <w:tcPr>
            <w:tcW w:w="0" w:type="dxa"/>
            <w:vAlign w:val="bottom"/>
          </w:tcPr>
          <w:p>
            <w:pPr>
              <w:spacing w:after="0"/>
              <w:rPr>
                <w:sz w:val="1"/>
                <w:szCs w:val="1"/>
                <w:color w:val="auto"/>
              </w:rPr>
            </w:pPr>
          </w:p>
        </w:tc>
      </w:tr>
      <w:tr>
        <w:trPr>
          <w:trHeight w:val="25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62,273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57,430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50,992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46,492</w:t>
            </w:r>
          </w:p>
        </w:tc>
        <w:tc>
          <w:tcPr>
            <w:tcW w:w="0" w:type="dxa"/>
            <w:vAlign w:val="bottom"/>
          </w:tcPr>
          <w:p>
            <w:pPr>
              <w:spacing w:after="0"/>
              <w:rPr>
                <w:sz w:val="1"/>
                <w:szCs w:val="1"/>
                <w:color w:val="auto"/>
              </w:rPr>
            </w:pPr>
          </w:p>
        </w:tc>
      </w:tr>
      <w:tr>
        <w:trPr>
          <w:trHeight w:val="266"/>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Less: Preferred stock distribution</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156"/>
        </w:trPr>
        <w:tc>
          <w:tcPr>
            <w:tcW w:w="4580" w:type="dxa"/>
            <w:vAlign w:val="bottom"/>
            <w:shd w:val="clear" w:color="auto" w:fill="CCEEFF"/>
          </w:tcPr>
          <w:p>
            <w:pPr>
              <w:ind w:left="180"/>
              <w:spacing w:after="0" w:line="156" w:lineRule="exact"/>
              <w:rPr>
                <w:sz w:val="20"/>
                <w:szCs w:val="20"/>
                <w:color w:val="auto"/>
              </w:rPr>
            </w:pPr>
            <w:r>
              <w:rPr>
                <w:rFonts w:ascii="Arial" w:cs="Arial" w:eastAsia="Arial" w:hAnsi="Arial"/>
                <w:sz w:val="15"/>
                <w:szCs w:val="15"/>
                <w:b w:val="1"/>
                <w:bCs w:val="1"/>
                <w:color w:val="auto"/>
                <w:w w:val="93"/>
              </w:rPr>
              <w:t>Net income / (loss) attributable to Sun Communities, Inc.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61,845</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(4,843)</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57,002</w:t>
            </w:r>
          </w:p>
        </w:tc>
        <w:tc>
          <w:tcPr>
            <w:tcW w:w="2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50,560</w:t>
            </w:r>
          </w:p>
        </w:tc>
        <w:tc>
          <w:tcPr>
            <w:tcW w:w="340" w:type="dxa"/>
            <w:vAlign w:val="bottom"/>
            <w:gridSpan w:val="3"/>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(4,500)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46,060</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stockholders</w:t>
            </w: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4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5"/>
                <w:szCs w:val="15"/>
                <w:b w:val="1"/>
                <w:bCs w:val="1"/>
                <w:color w:val="auto"/>
              </w:rPr>
              <w:t>Nine Months Ended</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8"/>
          </w:tcPr>
          <w:p>
            <w:pPr>
              <w:jc w:val="right"/>
              <w:spacing w:after="0"/>
              <w:rPr>
                <w:sz w:val="20"/>
                <w:szCs w:val="20"/>
                <w:color w:val="auto"/>
              </w:rPr>
            </w:pPr>
            <w:r>
              <w:rPr>
                <w:rFonts w:ascii="Arial" w:cs="Arial" w:eastAsia="Arial" w:hAnsi="Arial"/>
                <w:sz w:val="15"/>
                <w:szCs w:val="15"/>
                <w:b w:val="1"/>
                <w:bCs w:val="1"/>
                <w:color w:val="auto"/>
                <w:w w:val="89"/>
              </w:rPr>
              <w:t>September 30, 2019</w:t>
            </w: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7"/>
          </w:tcPr>
          <w:p>
            <w:pPr>
              <w:jc w:val="right"/>
              <w:ind w:right="883"/>
              <w:spacing w:after="0"/>
              <w:rPr>
                <w:sz w:val="20"/>
                <w:szCs w:val="20"/>
                <w:color w:val="auto"/>
              </w:rPr>
            </w:pPr>
            <w:r>
              <w:rPr>
                <w:rFonts w:ascii="Arial" w:cs="Arial" w:eastAsia="Arial" w:hAnsi="Arial"/>
                <w:sz w:val="15"/>
                <w:szCs w:val="15"/>
                <w:b w:val="1"/>
                <w:bCs w:val="1"/>
                <w:color w:val="auto"/>
                <w:w w:val="91"/>
              </w:rPr>
              <w:t>September 30, 2018</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rPr>
              <w:t>Real Property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tcPr>
          <w:p>
            <w:pPr>
              <w:jc w:val="center"/>
              <w:ind w:right="14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3"/>
              </w:rPr>
              <w:t>Operations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1"/>
              </w:rPr>
              <w:t>and Rentals</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3"/>
              </w:rPr>
              <w:t>Operations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6"/>
              </w:rPr>
              <w:t>and Rentals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5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757,047</w:t>
            </w:r>
          </w:p>
        </w:tc>
        <w:tc>
          <w:tcPr>
            <w:tcW w:w="380" w:type="dxa"/>
            <w:vAlign w:val="bottom"/>
            <w:gridSpan w:val="5"/>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179,492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936,539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671,695</w:t>
            </w:r>
          </w:p>
        </w:tc>
        <w:tc>
          <w:tcPr>
            <w:tcW w:w="3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162,205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833,900</w:t>
            </w:r>
          </w:p>
        </w:tc>
        <w:tc>
          <w:tcPr>
            <w:tcW w:w="0" w:type="dxa"/>
            <w:vAlign w:val="bottom"/>
          </w:tcPr>
          <w:p>
            <w:pPr>
              <w:spacing w:after="0"/>
              <w:rPr>
                <w:sz w:val="1"/>
                <w:szCs w:val="1"/>
                <w:color w:val="auto"/>
              </w:rPr>
            </w:pPr>
          </w:p>
        </w:tc>
      </w:tr>
      <w:tr>
        <w:trPr>
          <w:trHeight w:val="266"/>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Operating expenses / Cost of sales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287,635</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115,917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403,552</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253,407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107,973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361,380</w:t>
            </w:r>
          </w:p>
        </w:tc>
        <w:tc>
          <w:tcPr>
            <w:tcW w:w="0" w:type="dxa"/>
            <w:vAlign w:val="bottom"/>
          </w:tcPr>
          <w:p>
            <w:pPr>
              <w:spacing w:after="0"/>
              <w:rPr>
                <w:sz w:val="1"/>
                <w:szCs w:val="1"/>
                <w:color w:val="auto"/>
              </w:rPr>
            </w:pPr>
          </w:p>
        </w:tc>
      </w:tr>
      <w:tr>
        <w:trPr>
          <w:trHeight w:val="25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Net operating income / Gross profit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469,412</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63,575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532,987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418,288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54,232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472,520</w:t>
            </w:r>
          </w:p>
        </w:tc>
        <w:tc>
          <w:tcPr>
            <w:tcW w:w="0" w:type="dxa"/>
            <w:vAlign w:val="bottom"/>
          </w:tcPr>
          <w:p>
            <w:pPr>
              <w:spacing w:after="0"/>
              <w:rPr>
                <w:sz w:val="1"/>
                <w:szCs w:val="1"/>
                <w:color w:val="auto"/>
              </w:rPr>
            </w:pP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Adjustments to arrive at net income / (loss)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Interest and other revenues, net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25,679</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25,679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18,922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18,922</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Home selling expenses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(10,938)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(11,319)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(11,319)</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General and administrative expenses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(59,922)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(68,559)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(52,706)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(60,972)</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Catastrophic weather related charges, net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(1,294)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2,206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1,987</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(171,867)</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(57,374)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(229,241)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(155,624)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(206,192)</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Loss on extinguishment of debt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(13,478)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(13,478)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(1,255)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(1,255)</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Interest on mandatorily redeemable preferred OP units / equity</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(99,880)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(99,894)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(98,306)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(98,321)</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Remeasurement of marketable securities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16,548</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16,548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Other income / (expense), net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(1,480)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(3,215)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(3,214)</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Income from nonconsolidated affiliates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814</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Current tax expense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(906)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(612)</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tax benefit / (expense)</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246"/>
        </w:trPr>
        <w:tc>
          <w:tcPr>
            <w:tcW w:w="4480" w:type="dxa"/>
            <w:vAlign w:val="bottom"/>
            <w:gridSpan w:val="2"/>
          </w:tcPr>
          <w:p>
            <w:pPr>
              <w:ind w:left="180"/>
              <w:spacing w:after="0"/>
              <w:rPr>
                <w:sz w:val="20"/>
                <w:szCs w:val="20"/>
                <w:color w:val="auto"/>
              </w:rPr>
            </w:pPr>
            <w:r>
              <w:rPr>
                <w:rFonts w:ascii="Arial" w:cs="Arial" w:eastAsia="Arial" w:hAnsi="Arial"/>
                <w:sz w:val="15"/>
                <w:szCs w:val="15"/>
                <w:b w:val="1"/>
                <w:bCs w:val="1"/>
                <w:color w:val="auto"/>
              </w:rPr>
              <w:t>Net income / (loss)</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159,562</w:t>
            </w: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(12,868)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146,694</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125,827</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(16,341)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109,486</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Less: Preferred return to preferred OP units / equity</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(3,335)</w:t>
            </w:r>
          </w:p>
        </w:tc>
        <w:tc>
          <w:tcPr>
            <w:tcW w:w="0" w:type="dxa"/>
            <w:vAlign w:val="bottom"/>
          </w:tcPr>
          <w:p>
            <w:pPr>
              <w:spacing w:after="0"/>
              <w:rPr>
                <w:sz w:val="1"/>
                <w:szCs w:val="1"/>
                <w:color w:val="auto"/>
              </w:rPr>
            </w:pPr>
          </w:p>
        </w:tc>
      </w:tr>
      <w:tr>
        <w:trPr>
          <w:trHeight w:val="266"/>
        </w:trPr>
        <w:tc>
          <w:tcPr>
            <w:tcW w:w="4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Less: Amounts attributable to noncontrolling interests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(9,643)</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595</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(9,048)</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(9,202)</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(8,392)</w:t>
            </w:r>
          </w:p>
        </w:tc>
        <w:tc>
          <w:tcPr>
            <w:tcW w:w="0" w:type="dxa"/>
            <w:vAlign w:val="bottom"/>
          </w:tcPr>
          <w:p>
            <w:pPr>
              <w:spacing w:after="0"/>
              <w:rPr>
                <w:sz w:val="1"/>
                <w:szCs w:val="1"/>
                <w:color w:val="auto"/>
              </w:rPr>
            </w:pPr>
          </w:p>
        </w:tc>
      </w:tr>
      <w:tr>
        <w:trPr>
          <w:trHeight w:val="25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145,279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(12,273)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133,006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113,290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97,759</w:t>
            </w:r>
          </w:p>
        </w:tc>
        <w:tc>
          <w:tcPr>
            <w:tcW w:w="0" w:type="dxa"/>
            <w:vAlign w:val="bottom"/>
          </w:tcPr>
          <w:p>
            <w:pPr>
              <w:spacing w:after="0"/>
              <w:rPr>
                <w:sz w:val="1"/>
                <w:szCs w:val="1"/>
                <w:color w:val="auto"/>
              </w:rPr>
            </w:pPr>
          </w:p>
        </w:tc>
      </w:tr>
      <w:tr>
        <w:trPr>
          <w:trHeight w:val="266"/>
        </w:trPr>
        <w:tc>
          <w:tcPr>
            <w:tcW w:w="448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Less: Preferred stock distribution</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(1,305)</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(1,305)</w:t>
            </w:r>
          </w:p>
        </w:tc>
        <w:tc>
          <w:tcPr>
            <w:tcW w:w="0" w:type="dxa"/>
            <w:vAlign w:val="bottom"/>
          </w:tcPr>
          <w:p>
            <w:pPr>
              <w:spacing w:after="0"/>
              <w:rPr>
                <w:sz w:val="1"/>
                <w:szCs w:val="1"/>
                <w:color w:val="auto"/>
              </w:rPr>
            </w:pPr>
          </w:p>
        </w:tc>
      </w:tr>
      <w:tr>
        <w:trPr>
          <w:trHeight w:val="156"/>
        </w:trPr>
        <w:tc>
          <w:tcPr>
            <w:tcW w:w="4480" w:type="dxa"/>
            <w:vAlign w:val="bottom"/>
            <w:gridSpan w:val="2"/>
            <w:shd w:val="clear" w:color="auto" w:fill="CCEEFF"/>
          </w:tcPr>
          <w:p>
            <w:pPr>
              <w:ind w:left="180"/>
              <w:spacing w:after="0" w:line="156" w:lineRule="exact"/>
              <w:rPr>
                <w:sz w:val="20"/>
                <w:szCs w:val="20"/>
                <w:color w:val="auto"/>
              </w:rPr>
            </w:pPr>
            <w:r>
              <w:rPr>
                <w:rFonts w:ascii="Arial" w:cs="Arial" w:eastAsia="Arial" w:hAnsi="Arial"/>
                <w:sz w:val="15"/>
                <w:szCs w:val="15"/>
                <w:b w:val="1"/>
                <w:bCs w:val="1"/>
                <w:color w:val="auto"/>
                <w:w w:val="91"/>
              </w:rPr>
              <w:t>Net income / (loss) attributable to Sun Communities, Inc. common</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143,991</w:t>
            </w:r>
          </w:p>
        </w:tc>
        <w:tc>
          <w:tcPr>
            <w:tcW w:w="60" w:type="dxa"/>
            <w:vAlign w:val="bottom"/>
            <w:gridSpan w:val="2"/>
            <w:vMerge w:val="restart"/>
            <w:shd w:val="clear" w:color="auto" w:fill="CCEEFF"/>
          </w:tcPr>
          <w:p>
            <w:pPr>
              <w:spacing w:after="0"/>
              <w:rPr>
                <w:sz w:val="13"/>
                <w:szCs w:val="13"/>
                <w:color w:val="auto"/>
              </w:rPr>
            </w:pPr>
          </w:p>
        </w:tc>
        <w:tc>
          <w:tcPr>
            <w:tcW w:w="120" w:type="dxa"/>
            <w:vAlign w:val="bottom"/>
            <w:gridSpan w:val="2"/>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(12,273)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131,718</w:t>
            </w:r>
          </w:p>
        </w:tc>
        <w:tc>
          <w:tcPr>
            <w:tcW w:w="2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111,985</w:t>
            </w:r>
          </w:p>
        </w:tc>
        <w:tc>
          <w:tcPr>
            <w:tcW w:w="4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(15,531)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96,454</w:t>
            </w:r>
          </w:p>
        </w:tc>
        <w:tc>
          <w:tcPr>
            <w:tcW w:w="0" w:type="dxa"/>
            <w:vAlign w:val="bottom"/>
          </w:tcPr>
          <w:p>
            <w:pPr>
              <w:spacing w:after="0"/>
              <w:rPr>
                <w:sz w:val="1"/>
                <w:szCs w:val="1"/>
                <w:color w:val="auto"/>
              </w:rPr>
            </w:pPr>
          </w:p>
        </w:tc>
      </w:tr>
      <w:tr>
        <w:trPr>
          <w:trHeight w:val="193"/>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stockholders</w:t>
            </w: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10"/>
          </w:tcPr>
          <w:p>
            <w:pPr>
              <w:jc w:val="center"/>
              <w:ind w:right="3"/>
              <w:spacing w:after="0"/>
              <w:rPr>
                <w:sz w:val="20"/>
                <w:szCs w:val="20"/>
                <w:color w:val="auto"/>
              </w:rPr>
            </w:pPr>
            <w:r>
              <w:rPr>
                <w:rFonts w:ascii="Arial" w:cs="Arial" w:eastAsia="Arial" w:hAnsi="Arial"/>
                <w:sz w:val="15"/>
                <w:szCs w:val="15"/>
                <w:b w:val="1"/>
                <w:bCs w:val="1"/>
                <w:color w:val="auto"/>
                <w:w w:val="91"/>
              </w:rPr>
              <w:t>September 30, 2019</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88"/>
              </w:rPr>
              <w:t>December 31, 2018</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3"/>
              <w:spacing w:after="0" w:line="169" w:lineRule="exact"/>
              <w:rPr>
                <w:sz w:val="20"/>
                <w:szCs w:val="20"/>
                <w:color w:val="auto"/>
              </w:rPr>
            </w:pPr>
            <w:r>
              <w:rPr>
                <w:rFonts w:ascii="Arial" w:cs="Arial" w:eastAsia="Arial" w:hAnsi="Arial"/>
                <w:sz w:val="15"/>
                <w:szCs w:val="15"/>
                <w:b w:val="1"/>
                <w:bCs w:val="1"/>
                <w:color w:val="auto"/>
              </w:rPr>
              <w:t>Real Property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tcPr>
          <w:p>
            <w:pPr>
              <w:jc w:val="center"/>
              <w:ind w:right="14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Operations</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and Rentals</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Consolidated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3"/>
              </w:rPr>
              <w:t>Operations</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6"/>
              </w:rPr>
              <w:t>and Rentals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50"/>
        </w:trPr>
        <w:tc>
          <w:tcPr>
            <w:tcW w:w="4480" w:type="dxa"/>
            <w:vAlign w:val="bottom"/>
            <w:gridSpan w:val="2"/>
          </w:tcPr>
          <w:p>
            <w:pPr>
              <w:ind w:left="40"/>
              <w:spacing w:after="0"/>
              <w:rPr>
                <w:sz w:val="20"/>
                <w:szCs w:val="20"/>
                <w:color w:val="auto"/>
              </w:rPr>
            </w:pPr>
            <w:r>
              <w:rPr>
                <w:rFonts w:ascii="Arial" w:cs="Arial" w:eastAsia="Arial" w:hAnsi="Arial"/>
                <w:sz w:val="15"/>
                <w:szCs w:val="15"/>
                <w:b w:val="1"/>
                <w:bCs w:val="1"/>
                <w:color w:val="auto"/>
              </w:rPr>
              <w:t>Identifiable assets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Investment property,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6,184,173</w:t>
            </w:r>
          </w:p>
        </w:tc>
        <w:tc>
          <w:tcPr>
            <w:tcW w:w="380" w:type="dxa"/>
            <w:vAlign w:val="bottom"/>
            <w:gridSpan w:val="5"/>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573,266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6,757,439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5,586,444</w:t>
            </w:r>
          </w:p>
        </w:tc>
        <w:tc>
          <w:tcPr>
            <w:tcW w:w="3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531,872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6,118,316</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(12,506)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38,704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26,198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24,343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25,968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50,311</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64,818</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64,818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49,037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Inventory of manufactured homes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55,217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55,234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49,199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49,199</w:t>
            </w:r>
          </w:p>
        </w:tc>
        <w:tc>
          <w:tcPr>
            <w:tcW w:w="0" w:type="dxa"/>
            <w:vAlign w:val="bottom"/>
          </w:tcPr>
          <w:p>
            <w:pPr>
              <w:spacing w:after="0"/>
              <w:rPr>
                <w:sz w:val="1"/>
                <w:szCs w:val="1"/>
                <w:color w:val="auto"/>
              </w:rPr>
            </w:pPr>
          </w:p>
        </w:tc>
      </w:tr>
      <w:tr>
        <w:trPr>
          <w:trHeight w:val="27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Notes and other receivables, net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158,136</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16,798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174,934</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145,673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160,077</w:t>
            </w:r>
          </w:p>
        </w:tc>
        <w:tc>
          <w:tcPr>
            <w:tcW w:w="0" w:type="dxa"/>
            <w:vAlign w:val="bottom"/>
          </w:tcPr>
          <w:p>
            <w:pPr>
              <w:spacing w:after="0"/>
              <w:rPr>
                <w:sz w:val="1"/>
                <w:szCs w:val="1"/>
                <w:color w:val="auto"/>
              </w:rPr>
            </w:pPr>
          </w:p>
        </w:tc>
      </w:tr>
      <w:tr>
        <w:trPr>
          <w:trHeight w:val="266"/>
        </w:trPr>
        <w:tc>
          <w:tcPr>
            <w:tcW w:w="4480" w:type="dxa"/>
            <w:vAlign w:val="bottom"/>
            <w:gridSpan w:val="2"/>
          </w:tcPr>
          <w:p>
            <w:pPr>
              <w:ind w:left="180"/>
              <w:spacing w:after="0"/>
              <w:rPr>
                <w:sz w:val="20"/>
                <w:szCs w:val="20"/>
                <w:color w:val="auto"/>
              </w:rPr>
            </w:pPr>
            <w:r>
              <w:rPr>
                <w:rFonts w:ascii="Arial" w:cs="Arial" w:eastAsia="Arial" w:hAnsi="Arial"/>
                <w:sz w:val="15"/>
                <w:szCs w:val="15"/>
                <w:color w:val="auto"/>
              </w:rPr>
              <w:t>Collateralized receivables, net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93,054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93,054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106,924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106,924</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assets, net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181,895</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44,282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226,177</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140,027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36,135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176,162</w:t>
            </w:r>
          </w:p>
        </w:tc>
        <w:tc>
          <w:tcPr>
            <w:tcW w:w="0" w:type="dxa"/>
            <w:vAlign w:val="bottom"/>
          </w:tcPr>
          <w:p>
            <w:pPr>
              <w:spacing w:after="0"/>
              <w:rPr>
                <w:sz w:val="1"/>
                <w:szCs w:val="1"/>
                <w:color w:val="auto"/>
              </w:rPr>
            </w:pPr>
          </w:p>
        </w:tc>
      </w:tr>
      <w:tr>
        <w:trPr>
          <w:trHeight w:val="241"/>
        </w:trPr>
        <w:tc>
          <w:tcPr>
            <w:tcW w:w="448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6,669,587</w:t>
            </w:r>
          </w:p>
        </w:tc>
        <w:tc>
          <w:tcPr>
            <w:tcW w:w="380" w:type="dxa"/>
            <w:vAlign w:val="bottom"/>
            <w:gridSpan w:val="5"/>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728,267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7,397,854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6,052,448</w:t>
            </w:r>
          </w:p>
        </w:tc>
        <w:tc>
          <w:tcPr>
            <w:tcW w:w="34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657,578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6,710,026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quarter ended September 30, 2019.</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The Company is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bases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U.S. GAAP on our Canadian investments. Our deferred tax assets that have a full valuation allowance relate to our taxable REIT subsidiaries business. Net deferred tax liabilities of $20.7 million and $20.2 million for Canadian entities have been recorded in relation to corporate entities and included in “Other liabilities” in our Consolidated Balance Sheets as of September 30, 2019 and December 31, 2018, respectively. There are no U.S. federal deferred tax assets or liabilities included in our Consolidated Balance Sheets as of September 30, 2019 and December 31, 2018.</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unrecognized tax benefits as of September 30, 2019 and 2018. We do not expect significant changes in tax positions that would result in unrecognized tax benefits within one year of September 30, 2019.</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months ended September 30, 2019 we recorded a current tax expense for federal, state, Canadian income taxes and Australian withholding taxes of $0.4 million. For the three months ended September 30, 2018 we recorded a current tax expense for federal, state and Canadian income taxes of $0.2 million. For the nine months ended September 30, 2019 and 2018, we recorded a current tax expense of $0.9 million and $0.6 million, respectively.</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September 30, 2019, we recorded a deferred tax expense of $0.3 million. For the three months ended September 30, 2018, we recorded a deferred tax benefit of $0.2 million. For the nine months ended September 30, 2019 and 2018, we recorded a deferred tax benefit of $0.0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outstanding stock options, unvested restricted common shares, and Series A-4 Preferred Stock, and our Operating Partnership has: outstanding common OP units; Series A-1 preferred OP units; Series A-3 preferred OP units; Series A-4 preferred OP units; Series C preferred OP units; Series D preferred OP units; and Aspen preferred OP Units, which, if converted or exercised, may impact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gridSpan w:val="2"/>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right"/>
              <w:ind w:right="83"/>
              <w:spacing w:after="0"/>
              <w:rPr>
                <w:sz w:val="20"/>
                <w:szCs w:val="20"/>
                <w:color w:val="auto"/>
              </w:rPr>
            </w:pPr>
            <w:r>
              <w:rPr>
                <w:rFonts w:ascii="Arial" w:cs="Arial" w:eastAsia="Arial" w:hAnsi="Arial"/>
                <w:sz w:val="15"/>
                <w:szCs w:val="15"/>
                <w:b w:val="1"/>
                <w:bCs w:val="1"/>
                <w:color w:val="auto"/>
              </w:rPr>
              <w:t>Nine Months Ended</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2019</w:t>
            </w:r>
          </w:p>
        </w:tc>
        <w:tc>
          <w:tcPr>
            <w:tcW w:w="120" w:type="dxa"/>
            <w:vAlign w:val="bottom"/>
          </w:tcPr>
          <w:p>
            <w:pPr>
              <w:spacing w:after="0"/>
              <w:rPr>
                <w:sz w:val="22"/>
                <w:szCs w:val="22"/>
                <w:color w:val="auto"/>
              </w:rPr>
            </w:pPr>
          </w:p>
        </w:tc>
        <w:tc>
          <w:tcPr>
            <w:tcW w:w="1620" w:type="dxa"/>
            <w:vAlign w:val="bottom"/>
            <w:gridSpan w:val="3"/>
          </w:tcPr>
          <w:p>
            <w:pPr>
              <w:spacing w:after="0"/>
              <w:rPr>
                <w:sz w:val="20"/>
                <w:szCs w:val="20"/>
                <w:color w:val="auto"/>
              </w:rPr>
            </w:pPr>
            <w:r>
              <w:rPr>
                <w:rFonts w:ascii="Arial" w:cs="Arial" w:eastAsia="Arial" w:hAnsi="Arial"/>
                <w:sz w:val="15"/>
                <w:szCs w:val="15"/>
                <w:b w:val="1"/>
                <w:bCs w:val="1"/>
                <w:color w:val="auto"/>
              </w:rPr>
              <w:t>September 30, 2018</w:t>
            </w:r>
          </w:p>
        </w:tc>
        <w:tc>
          <w:tcPr>
            <w:tcW w:w="1560" w:type="dxa"/>
            <w:vAlign w:val="bottom"/>
            <w:gridSpan w:val="5"/>
          </w:tcPr>
          <w:p>
            <w:pPr>
              <w:ind w:left="80"/>
              <w:spacing w:after="0"/>
              <w:rPr>
                <w:sz w:val="20"/>
                <w:szCs w:val="20"/>
                <w:color w:val="auto"/>
              </w:rPr>
            </w:pPr>
            <w:r>
              <w:rPr>
                <w:rFonts w:ascii="Arial" w:cs="Arial" w:eastAsia="Arial" w:hAnsi="Arial"/>
                <w:sz w:val="15"/>
                <w:szCs w:val="15"/>
                <w:b w:val="1"/>
                <w:bCs w:val="1"/>
                <w:color w:val="auto"/>
              </w:rPr>
              <w:t>September 30, 2019</w:t>
            </w:r>
          </w:p>
        </w:tc>
        <w:tc>
          <w:tcPr>
            <w:tcW w:w="146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w w:val="95"/>
              </w:rPr>
              <w:t>September 30, 2018</w:t>
            </w:r>
          </w:p>
        </w:tc>
        <w:tc>
          <w:tcPr>
            <w:tcW w:w="0" w:type="dxa"/>
            <w:vAlign w:val="bottom"/>
          </w:tcPr>
          <w:p>
            <w:pPr>
              <w:spacing w:after="0"/>
              <w:rPr>
                <w:sz w:val="1"/>
                <w:szCs w:val="1"/>
                <w:color w:val="auto"/>
              </w:rPr>
            </w:pPr>
          </w:p>
        </w:tc>
      </w:tr>
      <w:tr>
        <w:trPr>
          <w:trHeight w:val="266"/>
        </w:trPr>
        <w:tc>
          <w:tcPr>
            <w:tcW w:w="5160" w:type="dxa"/>
            <w:vAlign w:val="bottom"/>
            <w:gridSpan w:val="2"/>
          </w:tcPr>
          <w:p>
            <w:pPr>
              <w:ind w:left="40"/>
              <w:spacing w:after="0"/>
              <w:rPr>
                <w:sz w:val="20"/>
                <w:szCs w:val="20"/>
                <w:color w:val="auto"/>
              </w:rPr>
            </w:pPr>
            <w:r>
              <w:rPr>
                <w:rFonts w:ascii="Arial" w:cs="Arial" w:eastAsia="Arial" w:hAnsi="Arial"/>
                <w:sz w:val="15"/>
                <w:szCs w:val="15"/>
                <w:b w:val="1"/>
                <w:bCs w:val="1"/>
                <w:color w:val="auto"/>
              </w:rPr>
              <w:t>Numerator</w:t>
            </w:r>
          </w:p>
        </w:tc>
        <w:tc>
          <w:tcPr>
            <w:tcW w:w="4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57,002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46,060</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131,718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96,454</w:t>
            </w: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Less allocation to restricted stock awards</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(396)</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(830)</w:t>
            </w:r>
          </w:p>
        </w:tc>
        <w:tc>
          <w:tcPr>
            <w:tcW w:w="0" w:type="dxa"/>
            <w:vAlign w:val="bottom"/>
          </w:tcPr>
          <w:p>
            <w:pPr>
              <w:spacing w:after="0"/>
              <w:rPr>
                <w:sz w:val="1"/>
                <w:szCs w:val="1"/>
                <w:color w:val="auto"/>
              </w:rPr>
            </w:pPr>
          </w:p>
        </w:tc>
      </w:tr>
      <w:tr>
        <w:trPr>
          <w:trHeight w:val="18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Basic earnings - Net income attributable to common stockholders after</w:t>
            </w: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allocation to restricted stock awards</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56,565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45,664</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130,698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95,624</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Add allocation to restricted stock awards</w:t>
            </w: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396</w:t>
            </w:r>
          </w:p>
        </w:tc>
        <w:tc>
          <w:tcPr>
            <w:tcW w:w="2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1,020</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51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5"/>
                <w:szCs w:val="15"/>
                <w:color w:val="auto"/>
              </w:rPr>
              <w:t>Diluted earnings - Net income attributable to common stockholders after</w:t>
            </w:r>
          </w:p>
        </w:tc>
        <w:tc>
          <w:tcPr>
            <w:tcW w:w="460" w:type="dxa"/>
            <w:vAlign w:val="bottom"/>
            <w:vMerge w:val="restart"/>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57,002</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46,060</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131,718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95,624</w:t>
            </w:r>
          </w:p>
        </w:tc>
        <w:tc>
          <w:tcPr>
            <w:tcW w:w="0" w:type="dxa"/>
            <w:vAlign w:val="bottom"/>
          </w:tcPr>
          <w:p>
            <w:pPr>
              <w:spacing w:after="0"/>
              <w:rPr>
                <w:sz w:val="1"/>
                <w:szCs w:val="1"/>
                <w:color w:val="auto"/>
              </w:rPr>
            </w:pPr>
          </w:p>
        </w:tc>
      </w:tr>
      <w:tr>
        <w:trPr>
          <w:trHeight w:val="189"/>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allocation to restricted stock awards</w:t>
            </w: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Denominator</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1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Weighted average common shares outstanding</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89,847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81,599</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87,499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80,022</w:t>
            </w: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Add: dilutive stock options</w:t>
            </w:r>
          </w:p>
        </w:tc>
        <w:tc>
          <w:tcPr>
            <w:tcW w:w="46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 dilutive restricted stock</w:t>
            </w: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480</w:t>
            </w:r>
          </w:p>
        </w:tc>
        <w:tc>
          <w:tcPr>
            <w:tcW w:w="2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431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Diluted weighted average common shares and securities</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90,332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82,081</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87,931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80,024</w:t>
            </w: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 available to common stockholders after allocation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Basic</w:t>
            </w:r>
          </w:p>
        </w:tc>
        <w:tc>
          <w:tcPr>
            <w:tcW w:w="46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0.56</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Diluted</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0.56</w:t>
            </w: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September 30, 2019 and 2018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1283"/>
              <w:spacing w:after="0"/>
              <w:rPr>
                <w:sz w:val="20"/>
                <w:szCs w:val="20"/>
                <w:color w:val="auto"/>
              </w:rPr>
            </w:pPr>
            <w:r>
              <w:rPr>
                <w:rFonts w:ascii="Arial" w:cs="Arial" w:eastAsia="Arial" w:hAnsi="Arial"/>
                <w:sz w:val="15"/>
                <w:szCs w:val="15"/>
                <w:b w:val="1"/>
                <w:bCs w:val="1"/>
                <w:color w:val="auto"/>
              </w:rPr>
              <w:t>As of</w:t>
            </w:r>
          </w:p>
        </w:tc>
      </w:tr>
      <w:tr>
        <w:trPr>
          <w:trHeight w:val="264"/>
        </w:trPr>
        <w:tc>
          <w:tcPr>
            <w:tcW w:w="8360" w:type="dxa"/>
            <w:vAlign w:val="bottom"/>
          </w:tcPr>
          <w:p>
            <w:pPr>
              <w:spacing w:after="0"/>
              <w:rPr>
                <w:sz w:val="22"/>
                <w:szCs w:val="22"/>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2019</w:t>
            </w:r>
          </w:p>
        </w:tc>
        <w:tc>
          <w:tcPr>
            <w:tcW w:w="1480" w:type="dxa"/>
            <w:vAlign w:val="bottom"/>
          </w:tcPr>
          <w:p>
            <w:pPr>
              <w:jc w:val="right"/>
              <w:ind w:right="23"/>
              <w:spacing w:after="0"/>
              <w:rPr>
                <w:sz w:val="20"/>
                <w:szCs w:val="20"/>
                <w:color w:val="auto"/>
              </w:rPr>
            </w:pPr>
            <w:r>
              <w:rPr>
                <w:rFonts w:ascii="Arial" w:cs="Arial" w:eastAsia="Arial" w:hAnsi="Arial"/>
                <w:sz w:val="15"/>
                <w:szCs w:val="15"/>
                <w:b w:val="1"/>
                <w:bCs w:val="1"/>
                <w:color w:val="auto"/>
                <w:w w:val="97"/>
              </w:rPr>
              <w:t>September 30, 2018</w:t>
            </w:r>
          </w:p>
        </w:tc>
      </w:tr>
      <w:tr>
        <w:trPr>
          <w:trHeight w:val="254"/>
        </w:trPr>
        <w:tc>
          <w:tcPr>
            <w:tcW w:w="8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Series A-4 preferred stock</w:t>
            </w:r>
          </w:p>
        </w:tc>
        <w:tc>
          <w:tcPr>
            <w:tcW w:w="14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1,052</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1,063</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Common OP units</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2,282</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2,729</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A-1 preferred OP units</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332</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A-3 preferred OP units</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40</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A-4 preferred OP units</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410</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Series C preferred OP units</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310</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314</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Series D preferred OP units</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Aspen preferred OP units</w:t>
            </w: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1,284</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1,284</w:t>
            </w:r>
          </w:p>
        </w:tc>
      </w:tr>
      <w:tr>
        <w:trPr>
          <w:trHeight w:val="241"/>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securities</w:t>
            </w: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6,179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6,172</w:t>
            </w: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consist primarily of cash and cash equivalents, accounts and notes receivable, accounts payable, and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the Company’s market assumption. This hierarchy requires the use of observable market data when available. These two types of inputs have created the following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unadjusted prices for identical instruments in active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2018, we purchased marketable securities on the Australian Securities Exchange (“ASX”) for total consideration of $54.0 million US. The marketable securities held by us and accounted for under the ASC 321 “</w:t>
      </w:r>
      <w:r>
        <w:rPr>
          <w:rFonts w:ascii="Arial" w:cs="Arial" w:eastAsia="Arial" w:hAnsi="Arial"/>
          <w:sz w:val="16"/>
          <w:szCs w:val="16"/>
          <w:i w:val="1"/>
          <w:iCs w:val="1"/>
          <w:color w:val="auto"/>
        </w:rPr>
        <w:t>Investment Equity Securities</w:t>
      </w:r>
      <w:r>
        <w:rPr>
          <w:rFonts w:ascii="Arial" w:cs="Arial" w:eastAsia="Arial" w:hAnsi="Arial"/>
          <w:sz w:val="16"/>
          <w:szCs w:val="16"/>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6"/>
          <w:szCs w:val="16"/>
          <w:i w:val="1"/>
          <w:iCs w:val="1"/>
          <w:color w:val="auto"/>
        </w:rPr>
        <w:t>Financial Instruments</w:t>
      </w:r>
    </w:p>
    <w:p>
      <w:pPr>
        <w:ind w:right="20" w:firstLine="8"/>
        <w:spacing w:after="0" w:line="261" w:lineRule="auto"/>
        <w:tabs>
          <w:tab w:leader="none" w:pos="111"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Overall (Subtopic 825-10): Recognition and measurement of financial assets and financial liabilities</w:t>
      </w:r>
      <w:r>
        <w:rPr>
          <w:rFonts w:ascii="Arial" w:cs="Arial" w:eastAsia="Arial" w:hAnsi="Arial"/>
          <w:sz w:val="18"/>
          <w:szCs w:val="18"/>
          <w:color w:val="auto"/>
        </w:rPr>
        <w:t>.” The fair value is measured by the quoted unadjusted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of which is readily available in active markets (Level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carrying value of the installment notes receivable on manufactured homes estimates the fair value as the interest rates in the portfolio are comparable to current prevailing market rates (Level 2). Refer to Note 5, “Notes and Other Receivables.”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(excluding the secured borrowing) is based on the estimates of management and on rates currently quoted, rates currently prevailing for comparable loans, and instruments of comparable maturities (Level 2). Refer to Note 9, “Debt and Lines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Receivables and Secured Borrowings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these financial instruments offset each other as our collateralized receivables represent a transfer of financial assets and the cash proceeds received from these transactions have been classified as a secured borrowing on the Consolidated Balance Sheets. The net carrying value of the collateralized receivables estimates the fair value as the interest rates in the portfolio are comparable to current prevailing market rates (Level 2). Refer to Note 4, “Collateralized Receivables and Transfers of Financial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and notes receivable, and accounts payable approximate their fair market values due to the short-term nature of these instruments.</w:t>
      </w:r>
    </w:p>
    <w:p>
      <w:pPr>
        <w:spacing w:after="0" w:line="17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table below sets forth our financial assets and liabilities that required disclosure of fair value on a recurring basis as of September 30, 2019. The table presents the carrying values and fair values of our financial instruments as of September 30, 2019 and December 31, 2018, that were measured using the valuation techniques described above (in thousands). The table excludes other financial instruments such as cash and cash equivalents, accounts receivable, and accounts payable as the carrying values associated with these instruments approximate fair value since their maturities are less than one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5"/>
                <w:szCs w:val="15"/>
                <w:b w:val="1"/>
                <w:bCs w:val="1"/>
                <w:color w:val="auto"/>
              </w:rPr>
              <w:t>September 30, 2019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5"/>
                <w:szCs w:val="15"/>
                <w:b w:val="1"/>
                <w:bCs w:val="1"/>
                <w:color w:val="auto"/>
              </w:rPr>
              <w:t>December 31, 2018</w:t>
            </w:r>
          </w:p>
        </w:tc>
      </w:tr>
      <w:tr>
        <w:trPr>
          <w:trHeight w:val="169"/>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60"/>
              <w:spacing w:after="0" w:line="169" w:lineRule="exact"/>
              <w:rPr>
                <w:sz w:val="20"/>
                <w:szCs w:val="20"/>
                <w:color w:val="auto"/>
              </w:rPr>
            </w:pPr>
            <w:r>
              <w:rPr>
                <w:rFonts w:ascii="Arial" w:cs="Arial" w:eastAsia="Arial" w:hAnsi="Arial"/>
                <w:sz w:val="15"/>
                <w:szCs w:val="15"/>
                <w:b w:val="1"/>
                <w:bCs w:val="1"/>
                <w:color w:val="auto"/>
              </w:rPr>
              <w:t>Fair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43"/>
              <w:spacing w:after="0" w:line="169" w:lineRule="exact"/>
              <w:rPr>
                <w:sz w:val="20"/>
                <w:szCs w:val="20"/>
                <w:color w:val="auto"/>
              </w:rPr>
            </w:pPr>
            <w:r>
              <w:rPr>
                <w:rFonts w:ascii="Arial" w:cs="Arial" w:eastAsia="Arial" w:hAnsi="Arial"/>
                <w:sz w:val="15"/>
                <w:szCs w:val="15"/>
                <w:b w:val="1"/>
                <w:bCs w:val="1"/>
                <w:color w:val="auto"/>
              </w:rPr>
              <w:t>Fair</w:t>
            </w:r>
          </w:p>
        </w:tc>
      </w:tr>
      <w:tr>
        <w:trPr>
          <w:trHeight w:val="202"/>
        </w:trPr>
        <w:tc>
          <w:tcPr>
            <w:tcW w:w="6400" w:type="dxa"/>
            <w:vAlign w:val="bottom"/>
          </w:tcPr>
          <w:p>
            <w:pPr>
              <w:ind w:left="40"/>
              <w:spacing w:after="0"/>
              <w:rPr>
                <w:sz w:val="20"/>
                <w:szCs w:val="20"/>
                <w:color w:val="auto"/>
              </w:rPr>
            </w:pPr>
            <w:r>
              <w:rPr>
                <w:rFonts w:ascii="Arial" w:cs="Arial" w:eastAsia="Arial" w:hAnsi="Arial"/>
                <w:sz w:val="15"/>
                <w:szCs w:val="15"/>
                <w:b w:val="1"/>
                <w:bCs w:val="1"/>
                <w:color w:val="auto"/>
              </w:rPr>
              <w:t>Financial assets</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17"/>
                <w:szCs w:val="17"/>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4"/>
              </w:rPr>
              <w:t>Value</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17"/>
                <w:szCs w:val="17"/>
                <w:color w:val="auto"/>
              </w:rPr>
            </w:pPr>
          </w:p>
        </w:tc>
        <w:tc>
          <w:tcPr>
            <w:tcW w:w="880" w:type="dxa"/>
            <w:vAlign w:val="bottom"/>
          </w:tcPr>
          <w:p>
            <w:pPr>
              <w:jc w:val="right"/>
              <w:ind w:right="303"/>
              <w:spacing w:after="0"/>
              <w:rPr>
                <w:sz w:val="20"/>
                <w:szCs w:val="20"/>
                <w:color w:val="auto"/>
              </w:rPr>
            </w:pPr>
            <w:r>
              <w:rPr>
                <w:rFonts w:ascii="Arial" w:cs="Arial" w:eastAsia="Arial" w:hAnsi="Arial"/>
                <w:sz w:val="15"/>
                <w:szCs w:val="15"/>
                <w:b w:val="1"/>
                <w:bCs w:val="1"/>
                <w:color w:val="auto"/>
              </w:rPr>
              <w:t>Value</w:t>
            </w:r>
          </w:p>
        </w:tc>
      </w:tr>
      <w:tr>
        <w:trPr>
          <w:trHeight w:val="254"/>
        </w:trPr>
        <w:tc>
          <w:tcPr>
            <w:tcW w:w="6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2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64,818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64,818</w:t>
            </w: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49,037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tcPr>
          <w:p>
            <w:pPr>
              <w:spacing w:after="0"/>
              <w:rPr>
                <w:sz w:val="23"/>
                <w:szCs w:val="23"/>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100,431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100,431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112,798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112,798</w:t>
            </w:r>
          </w:p>
        </w:tc>
      </w:tr>
      <w:tr>
        <w:trPr>
          <w:trHeight w:val="274"/>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Collateralized receivables, net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93,054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93,054</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106,924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106,924</w:t>
            </w: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Notes receivable from third party</w:t>
            </w:r>
          </w:p>
        </w:tc>
        <w:tc>
          <w:tcPr>
            <w:tcW w:w="280" w:type="dxa"/>
            <w:vAlign w:val="bottom"/>
          </w:tcPr>
          <w:p>
            <w:pPr>
              <w:spacing w:after="0"/>
              <w:rPr>
                <w:sz w:val="23"/>
                <w:szCs w:val="23"/>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30,186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30,186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1"/>
        </w:trPr>
        <w:tc>
          <w:tcPr>
            <w:tcW w:w="6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288,489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288,489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268,759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268,759</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Debt (excluding secured borrowings)</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3,037,040</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3,099,392</w:t>
            </w:r>
          </w:p>
        </w:tc>
        <w:tc>
          <w:tcPr>
            <w:tcW w:w="2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2,888,572</w:t>
            </w:r>
          </w:p>
        </w:tc>
        <w:tc>
          <w:tcPr>
            <w:tcW w:w="10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2,757,649</w:t>
            </w:r>
          </w:p>
        </w:tc>
      </w:tr>
      <w:tr>
        <w:trPr>
          <w:trHeight w:val="274"/>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Secured borrowings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93,669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93,669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Lines of credit</w:t>
            </w:r>
          </w:p>
        </w:tc>
        <w:tc>
          <w:tcPr>
            <w:tcW w:w="280" w:type="dxa"/>
            <w:vAlign w:val="bottom"/>
          </w:tcPr>
          <w:p>
            <w:pPr>
              <w:spacing w:after="0"/>
              <w:rPr>
                <w:sz w:val="23"/>
                <w:szCs w:val="23"/>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140,632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140,632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128,000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128,000</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liabilities (contingent consideration)</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6,052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6,052</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4,640</w:t>
            </w:r>
          </w:p>
        </w:tc>
      </w:tr>
      <w:tr>
        <w:trPr>
          <w:trHeight w:val="241"/>
        </w:trPr>
        <w:tc>
          <w:tcPr>
            <w:tcW w:w="640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3,277,393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3,339,745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3,128,943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2,998,020</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ASC 2016-02 codified in ASC Topic 842, Leases, which amends the guidance in former ASC Topic 840, Leases. On January 1, 2019, we adopted ASC 2016-02. The new standard increases transparency and comparability most significantly by requiring the recognition by lessees of right-of-use (“ROU”) assets and lease liabilities on the balance sheet for those leases classified as operating leases and disclose key information about leasing arrangements. As amended by ASU 2018-11, comparative reporting periods are presented in accordance with Topic 840, while periods subsequent to the effective date are presented in accordance with Topic 842. The Company elected the package of practical expedients, which permits the Company not to reassess expired or existing contracts containing a lease, the lease classification for expired or existing contracts, initial direct costs for any existing leases. The Company elected not to allocate lease obligation between lease and non-lease components of our agreements for both leases where we are a lessor and leases where we are a lessee. The Company did not elect the hindsight practical expedient, which permits the company to use hindsight in determining the lease terms and impairment implications. The Company did not elect to use a portfolio approach in the valuation of ROU assets and corresponding liabilities. Some ROU assets include an extension option, which is included in the ROU assets and liabilities only if we are reasonably certain to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income from real property and rental home revenue streams are derived from rental agreements where we are the lessor. Our recognition of rental revenue remains mainly consistent with previous guidance, apart from the narrower definition of initial direct costs that can be capitalized.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842 limits the definition of initial direct costs to only the incremental costs of signing a lease. Internal sales employees’ compensation, payroll-related fringe benefits, certain legal fees rendered prior to the execution of a lease, negotiation costs, advertising and other origination effort costs no longer meet the definition of initial direct costs under the new standard, and will be accounted for as general and administrative expense in our consolidated statements of operations. ASC 842 permits the capitalization of direct commission costs. The application of ASC 842 resulted in an immaterial impact on the statement of consolidated operations.</w:t>
      </w:r>
    </w:p>
    <w:p>
      <w:pPr>
        <w:sectPr>
          <w:pgSz w:w="11900" w:h="16838" w:orient="portrait"/>
          <w:cols w:equalWidth="0" w:num="1">
            <w:col w:w="11420"/>
          </w:cols>
          <w:pgMar w:left="240" w:top="126"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6"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with customers are classified as operating leases. Lease income from tenants is recognized on a straight-line basis over the terms of the relevant lease agreement and is included within income from real property, rental home revenue and ancillary revenue on the Consolidated Statements of Operations. Revenue is not recognized when collection is not reasonably assured. When collectability is not reasonably assured, the resident is placed on non-accrual status and revenue is recognized when cash payments are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if an arrangement is a lease at inception. Our operating lease agreements are primarily for executive office spaces, ground leases at certain communities, and certain equipment leases. The ROU asset and ROU liabilities are included within Other assets, net and Other liabilities on the Consolidated Balance Sheets.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operating leases with a term greater than one year, the company recognizes the ROU assets and liabilities related to the lease payments on the Consolidated Balance Sheets. The lease liabilities are initially and subsequently measured at the present value of the unpaid lease payments at the lease commencement date. The ROU assets represent our right to use the underlying assets for the term of the lease and the lease liabilities represent our obligation to make lease payments arising for the agreements. The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unamortized initial direct costs, plus (minus) any prepaid (accrued) lease payments, less the unamortized balance of lease incentives received. Lease expense for lease payments is recognized on a straight-line basis over the lease term. The ROU asset is periodically reduced by impairment losses. As of September 30, 2019, we have not encountered any impairment losses. Variable lease payments, except for the ones that depend on index or rate, are excluded from the calculation of the ROU assets and lease liabilities and are recognized as variable lease expense in the Consolidated Statements of Operations in the period in which they are incurred. As most of our leases do not provide an implicit rate, we use our incremental borrowing rate based on the information available at commencement date in determining the present value of lease payments. Many of our lessee agreements include options to extend the lease, which we do not include in our minimum lease terms unless they are reasonably certain to be exercised. The lease liability costs are amortized over the straight-line method over the term of the lease. Operating leases with a term of less than one year are recognized as a lease expense over the term of the lease, with no asset or liability recognized on the Consolidated Balance Sheets.</w:t>
      </w:r>
    </w:p>
    <w:p>
      <w:pPr>
        <w:spacing w:after="0" w:line="1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Finance leases where we are the lessee are included in Other assets, net and Other liabilities on our Consolidated Balance Sheets. The lease liabilities are initially measured in the same manner as operating leases and are subsequently measured at amortized cost using the effective interest method. The ROU asset is initially measured at cost, which comprises the initial amount of the lease liability adjusted for lease payments made at or before the lease commencement date, plus any initial direct costs incurred less any lease incentives received. 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 ROU assets are periodically reduced by impairment losses. As of September 30, 2019, we have not encountered any impairment losses. Refer to Note 18, “Leases” for information regarding leasing activities.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Refer to Note 2, “Revenue” for information regarding our adoption of this guidance.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On January 1, 2018, we adopted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and now capitalize direct acquisition related costs as part of the purchase price of asset acquisitions. Under previous guidance, substantially all of our property acquisitions were accounted for as business combinations with identifiable assets and liabilities measured at fair value, and acquisition related costs expensed as incurred.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we adopted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update required inclusion of restricted cash and restricted cash equivalents with cash and cash equivalents when reconciling the beginning-of-period and end-of-period total amounts shown on the statement of cash flows.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restricted cash consists of amounts primarily held in deposit for tax, insurance and repair escrows held by lenders in accordance with certain debt agreements. Restricted cash is included as a component of Other assets, net on the Consolidated Balance Sheets. Changes in restricted cash are reported in our Consolidated Statements of Cash Flows as operating, investing or financing activities based on the nature of the underlying activity.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our beginning-of-period and end-of-period balances of cash, cash equivalents and restricted cash for the periods shown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2019</w:t>
            </w: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2018</w:t>
            </w:r>
          </w:p>
        </w:tc>
        <w:tc>
          <w:tcPr>
            <w:tcW w:w="1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2018</w:t>
            </w:r>
          </w:p>
        </w:tc>
        <w:tc>
          <w:tcPr>
            <w:tcW w:w="140" w:type="dxa"/>
            <w:vAlign w:val="bottom"/>
          </w:tcPr>
          <w:p>
            <w:pPr>
              <w:spacing w:after="0"/>
              <w:rPr>
                <w:sz w:val="17"/>
                <w:szCs w:val="17"/>
                <w:color w:val="auto"/>
              </w:rPr>
            </w:pPr>
          </w:p>
        </w:tc>
        <w:tc>
          <w:tcPr>
            <w:tcW w:w="1440" w:type="dxa"/>
            <w:vAlign w:val="bottom"/>
          </w:tcPr>
          <w:p>
            <w:pPr>
              <w:jc w:val="right"/>
              <w:ind w:right="103"/>
              <w:spacing w:after="0"/>
              <w:rPr>
                <w:sz w:val="20"/>
                <w:szCs w:val="20"/>
                <w:color w:val="auto"/>
              </w:rPr>
            </w:pPr>
            <w:r>
              <w:rPr>
                <w:rFonts w:ascii="Arial" w:cs="Arial" w:eastAsia="Arial" w:hAnsi="Arial"/>
                <w:sz w:val="15"/>
                <w:szCs w:val="15"/>
                <w:b w:val="1"/>
                <w:bCs w:val="1"/>
                <w:color w:val="auto"/>
                <w:w w:val="91"/>
              </w:rPr>
              <w:t>December 31, 2017</w:t>
            </w:r>
          </w:p>
        </w:tc>
      </w:tr>
      <w:tr>
        <w:trPr>
          <w:trHeight w:val="254"/>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26,198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50,311</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113,556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10,127</w:t>
            </w:r>
          </w:p>
        </w:tc>
      </w:tr>
      <w:tr>
        <w:trPr>
          <w:trHeight w:val="266"/>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Restricted cash</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15,528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11,951</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15,538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13,382</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41,726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62,262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129,094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23,509</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update replaces the incurred loss impairment methodology in current GAAP with a methodology that reflects expected credit losses and requires consideration of a broader range of reasonable and supportable information to inform credit loss estimates. The amendments in this update are effective for fiscal years beginning after December 15, 2019, including interim periods within those fiscal years. We are in the process of evaluating the provisions of ASU 2016-13 and have taken steps to prepare for the implementation, such as finalizing the population in scope, gathering and analyzing relevant data, and evaluating the most appropriate valuation methodology under the issued guidance. As of September 30, 2019, the Company is still evaluating the impacts of ASU 2016-13 on its consolidated financial statements.</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4"/>
          <w:szCs w:val="14"/>
          <w:b w:val="1"/>
          <w:bCs w:val="1"/>
          <w:color w:val="auto"/>
        </w:rPr>
        <w:t>Leases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the quarter ended September 30, 2019 where we are the lessee include: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ind w:left="40"/>
              <w:spacing w:after="0"/>
              <w:rPr>
                <w:sz w:val="20"/>
                <w:szCs w:val="20"/>
                <w:color w:val="auto"/>
              </w:rPr>
            </w:pPr>
            <w:r>
              <w:rPr>
                <w:rFonts w:ascii="Arial" w:cs="Arial" w:eastAsia="Arial" w:hAnsi="Arial"/>
                <w:sz w:val="15"/>
                <w:szCs w:val="15"/>
                <w:b w:val="1"/>
                <w:bCs w:val="1"/>
                <w:color w:val="auto"/>
              </w:rPr>
              <w:t xml:space="preserve">Maturity of lease liabilities </w:t>
            </w:r>
            <w:r>
              <w:rPr>
                <w:rFonts w:ascii="Arial" w:cs="Arial" w:eastAsia="Arial" w:hAnsi="Arial"/>
                <w:sz w:val="15"/>
                <w:szCs w:val="15"/>
                <w:color w:val="auto"/>
              </w:rPr>
              <w:t>(in thousands)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4"/>
        </w:trPr>
        <w:tc>
          <w:tcPr>
            <w:tcW w:w="6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Operating Leases</w:t>
            </w:r>
          </w:p>
        </w:tc>
        <w:tc>
          <w:tcPr>
            <w:tcW w:w="140" w:type="dxa"/>
            <w:vAlign w:val="bottom"/>
          </w:tcPr>
          <w:p>
            <w:pPr>
              <w:spacing w:after="0"/>
              <w:rPr>
                <w:sz w:val="23"/>
                <w:szCs w:val="23"/>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rPr>
              <w:t>Finance Leases</w:t>
            </w:r>
          </w:p>
        </w:tc>
        <w:tc>
          <w:tcPr>
            <w:tcW w:w="320" w:type="dxa"/>
            <w:vAlign w:val="bottom"/>
          </w:tcPr>
          <w:p>
            <w:pPr>
              <w:spacing w:after="0"/>
              <w:rPr>
                <w:sz w:val="23"/>
                <w:szCs w:val="23"/>
                <w:color w:val="auto"/>
              </w:rPr>
            </w:pPr>
          </w:p>
        </w:tc>
        <w:tc>
          <w:tcPr>
            <w:tcW w:w="1040" w:type="dxa"/>
            <w:vAlign w:val="bottom"/>
          </w:tcPr>
          <w:p>
            <w:pPr>
              <w:jc w:val="right"/>
              <w:ind w:right="423"/>
              <w:spacing w:after="0"/>
              <w:rPr>
                <w:sz w:val="20"/>
                <w:szCs w:val="20"/>
                <w:color w:val="auto"/>
              </w:rPr>
            </w:pPr>
            <w:r>
              <w:rPr>
                <w:rFonts w:ascii="Arial" w:cs="Arial" w:eastAsia="Arial" w:hAnsi="Arial"/>
                <w:sz w:val="15"/>
                <w:szCs w:val="15"/>
                <w:b w:val="1"/>
                <w:bCs w:val="1"/>
                <w:color w:val="auto"/>
              </w:rPr>
              <w:t>Total</w:t>
            </w:r>
          </w:p>
        </w:tc>
      </w:tr>
      <w:tr>
        <w:trPr>
          <w:trHeight w:val="254"/>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2019 (excluding the nine months ended September 30,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712</w:t>
            </w:r>
          </w:p>
        </w:tc>
        <w:tc>
          <w:tcPr>
            <w:tcW w:w="2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97</w:t>
            </w:r>
          </w:p>
        </w:tc>
        <w:tc>
          <w:tcPr>
            <w:tcW w:w="2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809</w:t>
            </w:r>
          </w:p>
        </w:tc>
      </w:tr>
      <w:tr>
        <w:trPr>
          <w:trHeight w:val="266"/>
        </w:trPr>
        <w:tc>
          <w:tcPr>
            <w:tcW w:w="6740" w:type="dxa"/>
            <w:vAlign w:val="bottom"/>
          </w:tcPr>
          <w:p>
            <w:pPr>
              <w:ind w:left="40"/>
              <w:spacing w:after="0"/>
              <w:rPr>
                <w:sz w:val="20"/>
                <w:szCs w:val="20"/>
                <w:color w:val="auto"/>
              </w:rPr>
            </w:pPr>
            <w:r>
              <w:rPr>
                <w:rFonts w:ascii="Arial" w:cs="Arial" w:eastAsia="Arial" w:hAnsi="Arial"/>
                <w:sz w:val="15"/>
                <w:szCs w:val="15"/>
                <w:color w:val="auto"/>
              </w:rPr>
              <w:t>2020</w:t>
            </w:r>
          </w:p>
        </w:tc>
        <w:tc>
          <w:tcPr>
            <w:tcW w:w="14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2,397</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2,517</w:t>
            </w:r>
          </w:p>
        </w:tc>
      </w:tr>
      <w:tr>
        <w:trPr>
          <w:trHeight w:val="27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2021</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2,446</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2,566</w:t>
            </w:r>
          </w:p>
        </w:tc>
      </w:tr>
      <w:tr>
        <w:trPr>
          <w:trHeight w:val="266"/>
        </w:trPr>
        <w:tc>
          <w:tcPr>
            <w:tcW w:w="6740" w:type="dxa"/>
            <w:vAlign w:val="bottom"/>
          </w:tcPr>
          <w:p>
            <w:pPr>
              <w:ind w:left="40"/>
              <w:spacing w:after="0"/>
              <w:rPr>
                <w:sz w:val="20"/>
                <w:szCs w:val="20"/>
                <w:color w:val="auto"/>
              </w:rPr>
            </w:pPr>
            <w:r>
              <w:rPr>
                <w:rFonts w:ascii="Arial" w:cs="Arial" w:eastAsia="Arial" w:hAnsi="Arial"/>
                <w:sz w:val="15"/>
                <w:szCs w:val="15"/>
                <w:color w:val="auto"/>
              </w:rPr>
              <w:t>2022</w:t>
            </w:r>
          </w:p>
        </w:tc>
        <w:tc>
          <w:tcPr>
            <w:tcW w:w="14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2,483</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2,603</w:t>
            </w:r>
          </w:p>
        </w:tc>
      </w:tr>
      <w:tr>
        <w:trPr>
          <w:trHeight w:val="27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2023</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2,572</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2,692</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Thereafter</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35,185</w:t>
            </w: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4,060</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39,245</w:t>
            </w: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45,795</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4,637</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50,432</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Imputed interest</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(21,121)</w:t>
            </w: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(21,606)</w:t>
            </w: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24,674</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4,152</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28,826</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ROU assets and lease liabilities for finance and operating leases as included in our Consolidated Financial Statements are as follows:</w:t>
      </w:r>
    </w:p>
    <w:p>
      <w:pPr>
        <w:sectPr>
          <w:pgSz w:w="11900" w:h="16838" w:orient="portrait"/>
          <w:cols w:equalWidth="0" w:num="1">
            <w:col w:w="11420"/>
          </w:cols>
          <w:pgMar w:left="240" w:top="126" w:right="239" w:bottom="312" w:gutter="0" w:footer="0" w:header="0"/>
        </w:sect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Lease asset and liabilities </w:t>
      </w:r>
      <w:r>
        <w:rPr>
          <w:rFonts w:ascii="Arial" w:cs="Arial" w:eastAsia="Arial" w:hAnsi="Arial"/>
          <w:sz w:val="15"/>
          <w:szCs w:val="15"/>
          <w:color w:val="auto"/>
        </w:rPr>
        <w:t>(in thousands)</w:t>
      </w:r>
    </w:p>
    <w:p>
      <w:pPr>
        <w:spacing w:after="0" w:line="200" w:lineRule="exact"/>
        <w:rPr>
          <w:sz w:val="20"/>
          <w:szCs w:val="20"/>
          <w:color w:val="auto"/>
        </w:rPr>
      </w:pPr>
    </w:p>
    <w:p>
      <w:pPr>
        <w:spacing w:after="0" w:line="330" w:lineRule="exact"/>
        <w:rPr>
          <w:sz w:val="20"/>
          <w:szCs w:val="20"/>
          <w:color w:val="auto"/>
        </w:rPr>
      </w:pPr>
    </w:p>
    <w:p>
      <w:pPr>
        <w:jc w:val="center"/>
        <w:ind w:left="4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68414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4145" cy="180340"/>
                    </a:xfrm>
                    <a:prstGeom prst="rect">
                      <a:avLst/>
                    </a:prstGeom>
                    <a:noFill/>
                  </pic:spPr>
                </pic:pic>
              </a:graphicData>
            </a:graphic>
          </wp:anchor>
        </w:drawing>
      </w:r>
    </w:p>
    <w:p>
      <w:pPr>
        <w:spacing w:after="0" w:line="9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assets</w:t>
      </w:r>
    </w:p>
    <w:p>
      <w:pPr>
        <w:spacing w:after="0" w:line="48" w:lineRule="exact"/>
        <w:rPr>
          <w:sz w:val="20"/>
          <w:szCs w:val="20"/>
          <w:color w:val="auto"/>
        </w:rPr>
      </w:pPr>
    </w:p>
    <w:p>
      <w:pPr>
        <w:ind w:left="40" w:right="380"/>
        <w:spacing w:after="0" w:line="255" w:lineRule="auto"/>
        <w:rPr>
          <w:sz w:val="20"/>
          <w:szCs w:val="20"/>
          <w:color w:val="auto"/>
        </w:rPr>
      </w:pPr>
      <w:r>
        <w:rPr>
          <w:rFonts w:ascii="Arial" w:cs="Arial" w:eastAsia="Arial" w:hAnsi="Arial"/>
          <w:sz w:val="15"/>
          <w:szCs w:val="15"/>
          <w:color w:val="auto"/>
        </w:rPr>
        <w:t>Right-of-use asset obtained in exchange for new finance lease liabilities</w:t>
      </w:r>
    </w:p>
    <w:p>
      <w:pPr>
        <w:spacing w:after="0" w:line="12" w:lineRule="exact"/>
        <w:rPr>
          <w:sz w:val="20"/>
          <w:szCs w:val="20"/>
          <w:color w:val="auto"/>
        </w:rPr>
      </w:pPr>
    </w:p>
    <w:p>
      <w:pPr>
        <w:ind w:left="40" w:right="240"/>
        <w:spacing w:after="0" w:line="255" w:lineRule="auto"/>
        <w:rPr>
          <w:sz w:val="20"/>
          <w:szCs w:val="20"/>
          <w:color w:val="auto"/>
        </w:rPr>
      </w:pPr>
      <w:r>
        <w:rPr>
          <w:rFonts w:ascii="Arial" w:cs="Arial" w:eastAsia="Arial" w:hAnsi="Arial"/>
          <w:sz w:val="15"/>
          <w:szCs w:val="15"/>
          <w:color w:val="auto"/>
        </w:rPr>
        <w:t>Right-of-use asset obtained in exchange for new operating lease liabilities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Right-of-use asset obtained relative to below market operating lease</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liabilities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Finance lease liabilities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Financial</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5"/>
              </w:rPr>
              <w:t>Financial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Statement</w:t>
            </w:r>
          </w:p>
        </w:tc>
        <w:tc>
          <w:tcPr>
            <w:tcW w:w="140" w:type="dxa"/>
            <w:vAlign w:val="bottom"/>
          </w:tcPr>
          <w:p>
            <w:pPr>
              <w:spacing w:after="0"/>
              <w:rPr>
                <w:sz w:val="14"/>
                <w:szCs w:val="14"/>
                <w:color w:val="auto"/>
              </w:rPr>
            </w:pPr>
          </w:p>
        </w:tc>
        <w:tc>
          <w:tcPr>
            <w:tcW w:w="124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September 30,</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0"/>
              </w:rPr>
              <w:t>Statement</w:t>
            </w:r>
          </w:p>
        </w:tc>
        <w:tc>
          <w:tcPr>
            <w:tcW w:w="140" w:type="dxa"/>
            <w:vAlign w:val="bottom"/>
          </w:tcPr>
          <w:p>
            <w:pPr>
              <w:spacing w:after="0"/>
              <w:rPr>
                <w:sz w:val="14"/>
                <w:szCs w:val="14"/>
                <w:color w:val="auto"/>
              </w:rPr>
            </w:pPr>
          </w:p>
        </w:tc>
        <w:tc>
          <w:tcPr>
            <w:tcW w:w="110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2"/>
        </w:trPr>
        <w:tc>
          <w:tcPr>
            <w:tcW w:w="13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Classification</w:t>
            </w:r>
          </w:p>
        </w:tc>
        <w:tc>
          <w:tcPr>
            <w:tcW w:w="1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700" w:type="dxa"/>
            <w:vAlign w:val="bottom"/>
            <w:gridSpan w:val="2"/>
          </w:tcPr>
          <w:p>
            <w:pPr>
              <w:ind w:left="420"/>
              <w:spacing w:after="0"/>
              <w:rPr>
                <w:sz w:val="20"/>
                <w:szCs w:val="20"/>
                <w:color w:val="auto"/>
              </w:rPr>
            </w:pPr>
            <w:r>
              <w:rPr>
                <w:rFonts w:ascii="Arial" w:cs="Arial" w:eastAsia="Arial" w:hAnsi="Arial"/>
                <w:sz w:val="15"/>
                <w:szCs w:val="15"/>
                <w:b w:val="1"/>
                <w:bCs w:val="1"/>
                <w:color w:val="auto"/>
              </w:rPr>
              <w:t>Description</w:t>
            </w:r>
          </w:p>
        </w:tc>
        <w:tc>
          <w:tcPr>
            <w:tcW w:w="13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Classification</w:t>
            </w: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68"/>
        </w:trPr>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4,152</w:t>
            </w:r>
          </w:p>
        </w:tc>
        <w:tc>
          <w:tcPr>
            <w:tcW w:w="10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color w:val="auto"/>
              </w:rPr>
              <w:t>Capital lease asset</w:t>
            </w:r>
          </w:p>
        </w:tc>
        <w:tc>
          <w:tcPr>
            <w:tcW w:w="1360" w:type="dxa"/>
            <w:vAlign w:val="bottom"/>
            <w:gridSpan w:val="2"/>
          </w:tcPr>
          <w:p>
            <w:pPr>
              <w:ind w:left="40"/>
              <w:spacing w:after="0"/>
              <w:rPr>
                <w:sz w:val="20"/>
                <w:szCs w:val="20"/>
                <w:color w:val="auto"/>
              </w:rPr>
            </w:pPr>
            <w:r>
              <w:rPr>
                <w:rFonts w:ascii="Arial" w:cs="Arial" w:eastAsia="Arial" w:hAnsi="Arial"/>
                <w:sz w:val="15"/>
                <w:szCs w:val="15"/>
                <w:color w:val="auto"/>
              </w:rPr>
              <w:t>Land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378"/>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24,197</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360"/>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80" w:type="dxa"/>
            <w:vAlign w:val="bottom"/>
            <w:gridSpan w:val="2"/>
            <w:vMerge w:val="restart"/>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28,554</w:t>
            </w:r>
          </w:p>
        </w:tc>
        <w:tc>
          <w:tcPr>
            <w:tcW w:w="10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color w:val="auto"/>
              </w:rPr>
              <w:t>Below market Lease</w:t>
            </w:r>
          </w:p>
        </w:tc>
        <w:tc>
          <w:tcPr>
            <w:tcW w:w="1360" w:type="dxa"/>
            <w:vAlign w:val="bottom"/>
            <w:gridSpan w:val="2"/>
            <w:vMerge w:val="restart"/>
          </w:tcPr>
          <w:p>
            <w:pPr>
              <w:ind w:left="40"/>
              <w:spacing w:after="0"/>
              <w:rPr>
                <w:sz w:val="20"/>
                <w:szCs w:val="20"/>
                <w:color w:val="auto"/>
              </w:rPr>
            </w:pPr>
            <w:r>
              <w:rPr>
                <w:rFonts w:ascii="Arial" w:cs="Arial" w:eastAsia="Arial" w:hAnsi="Arial"/>
                <w:sz w:val="15"/>
                <w:szCs w:val="15"/>
                <w:color w:val="auto"/>
              </w:rPr>
              <w:t>Other Asset, net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29,118</w:t>
            </w:r>
          </w:p>
        </w:tc>
        <w:tc>
          <w:tcPr>
            <w:tcW w:w="0" w:type="dxa"/>
            <w:vAlign w:val="bottom"/>
          </w:tcPr>
          <w:p>
            <w:pPr>
              <w:spacing w:after="0"/>
              <w:rPr>
                <w:sz w:val="1"/>
                <w:szCs w:val="1"/>
                <w:color w:val="auto"/>
              </w:rPr>
            </w:pPr>
          </w:p>
        </w:tc>
      </w:tr>
      <w:tr>
        <w:trPr>
          <w:trHeight w:val="113"/>
        </w:trPr>
        <w:tc>
          <w:tcPr>
            <w:tcW w:w="13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5"/>
                <w:szCs w:val="15"/>
                <w:color w:val="auto"/>
              </w:rPr>
              <w:t>intangible asset</w:t>
            </w:r>
          </w:p>
        </w:tc>
        <w:tc>
          <w:tcPr>
            <w:tcW w:w="13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4,152</w:t>
            </w:r>
          </w:p>
        </w:tc>
        <w:tc>
          <w:tcPr>
            <w:tcW w:w="10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color w:val="auto"/>
              </w:rPr>
              <w:t>Capital lease liabilities</w:t>
            </w:r>
          </w:p>
        </w:tc>
        <w:tc>
          <w:tcPr>
            <w:tcW w:w="1360" w:type="dxa"/>
            <w:vAlign w:val="bottom"/>
            <w:gridSpan w:val="2"/>
          </w:tcPr>
          <w:p>
            <w:pPr>
              <w:ind w:left="40"/>
              <w:spacing w:after="0"/>
              <w:rPr>
                <w:sz w:val="20"/>
                <w:szCs w:val="20"/>
                <w:color w:val="auto"/>
              </w:rPr>
            </w:pPr>
            <w:r>
              <w:rPr>
                <w:rFonts w:ascii="Arial" w:cs="Arial" w:eastAsia="Arial" w:hAnsi="Arial"/>
                <w:sz w:val="15"/>
                <w:szCs w:val="15"/>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270"/>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24,674</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ind w:left="360"/>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-972185</wp:posOffset>
            </wp:positionV>
            <wp:extent cx="724662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-491490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-148590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160"/>
            <w:col w:w="7060"/>
          </w:cols>
          <w:pgMar w:left="240" w:top="126" w:right="239" w:bottom="312"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Financial Statements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20" w:type="dxa"/>
            <w:vAlign w:val="bottom"/>
            <w:gridSpan w:val="2"/>
          </w:tcPr>
          <w:p>
            <w:pPr>
              <w:ind w:left="40"/>
              <w:spacing w:after="0"/>
              <w:rPr>
                <w:sz w:val="20"/>
                <w:szCs w:val="20"/>
                <w:color w:val="auto"/>
              </w:rPr>
            </w:pPr>
            <w:r>
              <w:rPr>
                <w:rFonts w:ascii="Arial" w:cs="Arial" w:eastAsia="Arial" w:hAnsi="Arial"/>
                <w:sz w:val="15"/>
                <w:szCs w:val="15"/>
                <w:b w:val="1"/>
                <w:bCs w:val="1"/>
                <w:color w:val="auto"/>
              </w:rPr>
              <w:t xml:space="preserve">Lease expense </w:t>
            </w:r>
            <w:r>
              <w:rPr>
                <w:rFonts w:ascii="Arial" w:cs="Arial" w:eastAsia="Arial" w:hAnsi="Arial"/>
                <w:sz w:val="15"/>
                <w:szCs w:val="15"/>
                <w:color w:val="auto"/>
              </w:rPr>
              <w:t>(in thousands)</w:t>
            </w: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54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w w:val="95"/>
              </w:rPr>
              <w:t>Nine Months Ended</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310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23"/>
                <w:szCs w:val="23"/>
                <w:color w:val="auto"/>
              </w:rPr>
            </w:pPr>
          </w:p>
        </w:tc>
        <w:tc>
          <w:tcPr>
            <w:tcW w:w="4460" w:type="dxa"/>
            <w:vAlign w:val="bottom"/>
            <w:tcBorders>
              <w:bottom w:val="single" w:sz="8" w:color="auto"/>
            </w:tcBorders>
          </w:tcPr>
          <w:p>
            <w:pPr>
              <w:ind w:left="1120"/>
              <w:spacing w:after="0"/>
              <w:rPr>
                <w:sz w:val="20"/>
                <w:szCs w:val="20"/>
                <w:color w:val="auto"/>
              </w:rPr>
            </w:pPr>
            <w:r>
              <w:rPr>
                <w:rFonts w:ascii="Arial" w:cs="Arial" w:eastAsia="Arial" w:hAnsi="Arial"/>
                <w:sz w:val="15"/>
                <w:szCs w:val="15"/>
                <w:b w:val="1"/>
                <w:bCs w:val="1"/>
                <w:color w:val="auto"/>
              </w:rPr>
              <w:t>Financial Statement Classification</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8"/>
              </w:rPr>
              <w:t>September 30, 2019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4"/>
              </w:rPr>
              <w:t>September 30, 2019</w:t>
            </w:r>
          </w:p>
        </w:tc>
        <w:tc>
          <w:tcPr>
            <w:tcW w:w="0" w:type="dxa"/>
            <w:vAlign w:val="bottom"/>
          </w:tcPr>
          <w:p>
            <w:pPr>
              <w:spacing w:after="0"/>
              <w:rPr>
                <w:sz w:val="1"/>
                <w:szCs w:val="1"/>
                <w:color w:val="auto"/>
              </w:rPr>
            </w:pPr>
          </w:p>
        </w:tc>
      </w:tr>
      <w:tr>
        <w:trPr>
          <w:trHeight w:val="268"/>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Finance lease expense</w:t>
            </w:r>
          </w:p>
        </w:tc>
        <w:tc>
          <w:tcPr>
            <w:tcW w:w="4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gridSpan w:val="2"/>
          </w:tcPr>
          <w:p>
            <w:pPr>
              <w:ind w:left="180"/>
              <w:spacing w:after="0"/>
              <w:rPr>
                <w:sz w:val="20"/>
                <w:szCs w:val="20"/>
                <w:color w:val="auto"/>
              </w:rPr>
            </w:pPr>
            <w:r>
              <w:rPr>
                <w:rFonts w:ascii="Arial" w:cs="Arial" w:eastAsia="Arial" w:hAnsi="Arial"/>
                <w:sz w:val="15"/>
                <w:szCs w:val="15"/>
                <w:color w:val="auto"/>
              </w:rPr>
              <w:t>Amortization of right-of-use assets</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74"/>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Interest on lease liabilities</w:t>
            </w: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 Property operating and</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Operating lease cost</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maintenance</w:t>
            </w:r>
          </w:p>
        </w:tc>
        <w:tc>
          <w:tcPr>
            <w:tcW w:w="160" w:type="dxa"/>
            <w:vAlign w:val="bottom"/>
          </w:tcPr>
          <w:p>
            <w:pPr>
              <w:spacing w:after="0"/>
              <w:rPr>
                <w:sz w:val="17"/>
                <w:szCs w:val="17"/>
                <w:color w:val="auto"/>
              </w:rPr>
            </w:pP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794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2,598</w:t>
            </w:r>
          </w:p>
        </w:tc>
        <w:tc>
          <w:tcPr>
            <w:tcW w:w="0" w:type="dxa"/>
            <w:vAlign w:val="bottom"/>
          </w:tcPr>
          <w:p>
            <w:pPr>
              <w:spacing w:after="0"/>
              <w:rPr>
                <w:sz w:val="1"/>
                <w:szCs w:val="1"/>
                <w:color w:val="auto"/>
              </w:rPr>
            </w:pP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Variable lease cost</w:t>
            </w: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468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241"/>
        </w:trPr>
        <w:tc>
          <w:tcPr>
            <w:tcW w:w="32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1,306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Nine Months Ended</w:t>
            </w:r>
          </w:p>
        </w:tc>
      </w:tr>
      <w:tr>
        <w:trPr>
          <w:trHeight w:val="274"/>
        </w:trPr>
        <w:tc>
          <w:tcPr>
            <w:tcW w:w="310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23"/>
                <w:szCs w:val="23"/>
                <w:color w:val="auto"/>
              </w:rPr>
            </w:pPr>
          </w:p>
        </w:tc>
        <w:tc>
          <w:tcPr>
            <w:tcW w:w="4460" w:type="dxa"/>
            <w:vAlign w:val="bottom"/>
            <w:tcBorders>
              <w:bottom w:val="single" w:sz="8" w:color="auto"/>
            </w:tcBorders>
          </w:tcPr>
          <w:p>
            <w:pPr>
              <w:ind w:left="1120"/>
              <w:spacing w:after="0"/>
              <w:rPr>
                <w:sz w:val="20"/>
                <w:szCs w:val="20"/>
                <w:color w:val="auto"/>
              </w:rPr>
            </w:pPr>
            <w:r>
              <w:rPr>
                <w:rFonts w:ascii="Arial" w:cs="Arial" w:eastAsia="Arial" w:hAnsi="Arial"/>
                <w:sz w:val="15"/>
                <w:szCs w:val="15"/>
                <w:b w:val="1"/>
                <w:bCs w:val="1"/>
                <w:color w:val="auto"/>
              </w:rPr>
              <w:t>Financial Statement Classification</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8"/>
              </w:rPr>
              <w:t>September 30, 2018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4"/>
              </w:rPr>
              <w:t>September 30, 2018</w:t>
            </w:r>
          </w:p>
        </w:tc>
      </w:tr>
      <w:tr>
        <w:trPr>
          <w:trHeight w:val="268"/>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Capital lease expense</w:t>
            </w:r>
          </w:p>
        </w:tc>
        <w:tc>
          <w:tcPr>
            <w:tcW w:w="4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Amortization of lease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55</w:t>
            </w:r>
          </w:p>
        </w:tc>
      </w:tr>
      <w:tr>
        <w:trPr>
          <w:trHeight w:val="27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on lease liabilities</w:t>
            </w: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78</w:t>
            </w:r>
          </w:p>
        </w:tc>
      </w:tr>
      <w:tr>
        <w:trPr>
          <w:trHeight w:val="176"/>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 Property operating and</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8"/>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Operating lease expense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maintenance</w:t>
            </w:r>
          </w:p>
        </w:tc>
        <w:tc>
          <w:tcPr>
            <w:tcW w:w="160" w:type="dxa"/>
            <w:vAlign w:val="bottom"/>
          </w:tcPr>
          <w:p>
            <w:pPr>
              <w:spacing w:after="0"/>
              <w:rPr>
                <w:sz w:val="17"/>
                <w:szCs w:val="17"/>
                <w:color w:val="auto"/>
              </w:rPr>
            </w:pP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845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2,468</w:t>
            </w: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6"/>
              </w:rPr>
              <w:t>Below market ground lease amortization expense</w:t>
            </w: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633</w:t>
            </w:r>
          </w:p>
        </w:tc>
      </w:tr>
      <w:tr>
        <w:trPr>
          <w:trHeight w:val="241"/>
        </w:trPr>
        <w:tc>
          <w:tcPr>
            <w:tcW w:w="322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1,077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3,234</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term and discount rate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6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September 30, 2019</w:t>
            </w:r>
          </w:p>
        </w:tc>
      </w:tr>
      <w:tr>
        <w:trPr>
          <w:trHeight w:val="268"/>
        </w:trPr>
        <w:tc>
          <w:tcPr>
            <w:tcW w:w="9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Weighted-average remaining lease terms (years)</w:t>
            </w:r>
          </w:p>
        </w:tc>
        <w:tc>
          <w:tcPr>
            <w:tcW w:w="1760" w:type="dxa"/>
            <w:vAlign w:val="bottom"/>
            <w:shd w:val="clear" w:color="auto" w:fill="CCEEFF"/>
          </w:tcPr>
          <w:p>
            <w:pPr>
              <w:spacing w:after="0"/>
              <w:rPr>
                <w:sz w:val="23"/>
                <w:szCs w:val="23"/>
                <w:color w:val="auto"/>
              </w:rPr>
            </w:pPr>
          </w:p>
        </w:tc>
      </w:tr>
      <w:tr>
        <w:trPr>
          <w:trHeight w:val="266"/>
        </w:trPr>
        <w:tc>
          <w:tcPr>
            <w:tcW w:w="9660" w:type="dxa"/>
            <w:vAlign w:val="bottom"/>
          </w:tcPr>
          <w:p>
            <w:pPr>
              <w:ind w:left="180"/>
              <w:spacing w:after="0"/>
              <w:rPr>
                <w:sz w:val="20"/>
                <w:szCs w:val="20"/>
                <w:color w:val="auto"/>
              </w:rPr>
            </w:pPr>
            <w:r>
              <w:rPr>
                <w:rFonts w:ascii="Arial" w:cs="Arial" w:eastAsia="Arial" w:hAnsi="Arial"/>
                <w:sz w:val="15"/>
                <w:szCs w:val="15"/>
                <w:color w:val="auto"/>
              </w:rPr>
              <w:t>Finance lease</w:t>
            </w:r>
          </w:p>
        </w:tc>
        <w:tc>
          <w:tcPr>
            <w:tcW w:w="1760" w:type="dxa"/>
            <w:vAlign w:val="bottom"/>
          </w:tcPr>
          <w:p>
            <w:pPr>
              <w:jc w:val="right"/>
              <w:ind w:right="83"/>
              <w:spacing w:after="0"/>
              <w:rPr>
                <w:sz w:val="20"/>
                <w:szCs w:val="20"/>
                <w:color w:val="auto"/>
              </w:rPr>
            </w:pPr>
            <w:r>
              <w:rPr>
                <w:rFonts w:ascii="Arial" w:cs="Arial" w:eastAsia="Arial" w:hAnsi="Arial"/>
                <w:sz w:val="15"/>
                <w:szCs w:val="15"/>
                <w:color w:val="auto"/>
              </w:rPr>
              <w:t>4.75</w:t>
            </w:r>
          </w:p>
        </w:tc>
      </w:tr>
      <w:tr>
        <w:trPr>
          <w:trHeight w:val="274"/>
        </w:trPr>
        <w:tc>
          <w:tcPr>
            <w:tcW w:w="9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w:t>
            </w:r>
          </w:p>
        </w:tc>
        <w:tc>
          <w:tcPr>
            <w:tcW w:w="17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26.90</w:t>
            </w:r>
          </w:p>
        </w:tc>
      </w:tr>
      <w:tr>
        <w:trPr>
          <w:trHeight w:val="266"/>
        </w:trPr>
        <w:tc>
          <w:tcPr>
            <w:tcW w:w="9660" w:type="dxa"/>
            <w:vAlign w:val="bottom"/>
          </w:tcPr>
          <w:p>
            <w:pPr>
              <w:ind w:left="40"/>
              <w:spacing w:after="0"/>
              <w:rPr>
                <w:sz w:val="20"/>
                <w:szCs w:val="20"/>
                <w:color w:val="auto"/>
              </w:rPr>
            </w:pPr>
            <w:r>
              <w:rPr>
                <w:rFonts w:ascii="Arial" w:cs="Arial" w:eastAsia="Arial" w:hAnsi="Arial"/>
                <w:sz w:val="15"/>
                <w:szCs w:val="15"/>
                <w:color w:val="auto"/>
              </w:rPr>
              <w:t>Weighted-average discount rate</w:t>
            </w:r>
          </w:p>
        </w:tc>
        <w:tc>
          <w:tcPr>
            <w:tcW w:w="1760" w:type="dxa"/>
            <w:vAlign w:val="bottom"/>
          </w:tcPr>
          <w:p>
            <w:pPr>
              <w:spacing w:after="0"/>
              <w:rPr>
                <w:sz w:val="23"/>
                <w:szCs w:val="23"/>
                <w:color w:val="auto"/>
              </w:rPr>
            </w:pPr>
          </w:p>
        </w:tc>
      </w:tr>
      <w:tr>
        <w:trPr>
          <w:trHeight w:val="274"/>
        </w:trPr>
        <w:tc>
          <w:tcPr>
            <w:tcW w:w="9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Finance lease</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262"/>
        </w:trPr>
        <w:tc>
          <w:tcPr>
            <w:tcW w:w="9660" w:type="dxa"/>
            <w:vAlign w:val="bottom"/>
          </w:tcPr>
          <w:p>
            <w:pPr>
              <w:ind w:left="180"/>
              <w:spacing w:after="0"/>
              <w:rPr>
                <w:sz w:val="20"/>
                <w:szCs w:val="20"/>
                <w:color w:val="auto"/>
              </w:rPr>
            </w:pPr>
            <w:r>
              <w:rPr>
                <w:rFonts w:ascii="Arial" w:cs="Arial" w:eastAsia="Arial" w:hAnsi="Arial"/>
                <w:sz w:val="15"/>
                <w:szCs w:val="15"/>
                <w:color w:val="auto"/>
              </w:rPr>
              <w:t>Operating lease</w:t>
            </w:r>
          </w:p>
        </w:tc>
        <w:tc>
          <w:tcPr>
            <w:tcW w:w="1760" w:type="dxa"/>
            <w:vAlign w:val="bottom"/>
          </w:tcPr>
          <w:p>
            <w:pPr>
              <w:jc w:val="right"/>
              <w:spacing w:after="0"/>
              <w:rPr>
                <w:sz w:val="20"/>
                <w:szCs w:val="20"/>
                <w:color w:val="auto"/>
              </w:rPr>
            </w:pPr>
            <w:r>
              <w:rPr>
                <w:rFonts w:ascii="Arial" w:cs="Arial" w:eastAsia="Arial" w:hAnsi="Arial"/>
                <w:sz w:val="15"/>
                <w:szCs w:val="15"/>
                <w:color w:val="auto"/>
              </w:rPr>
              <w:t>4.03%</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 xml:space="preserve">Other Information </w:t>
            </w:r>
            <w:r>
              <w:rPr>
                <w:rFonts w:ascii="Arial" w:cs="Arial" w:eastAsia="Arial" w:hAnsi="Arial"/>
                <w:sz w:val="15"/>
                <w:szCs w:val="15"/>
                <w:color w:val="auto"/>
              </w:rPr>
              <w:t>(in thousands)</w:t>
            </w: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Nine Months Ended</w:t>
            </w:r>
          </w:p>
        </w:tc>
      </w:tr>
      <w:tr>
        <w:trPr>
          <w:trHeight w:val="274"/>
        </w:trPr>
        <w:tc>
          <w:tcPr>
            <w:tcW w:w="7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2019</w:t>
            </w:r>
          </w:p>
        </w:tc>
        <w:tc>
          <w:tcPr>
            <w:tcW w:w="140" w:type="dxa"/>
            <w:vAlign w:val="bottom"/>
          </w:tcPr>
          <w:p>
            <w:pPr>
              <w:spacing w:after="0"/>
              <w:rPr>
                <w:sz w:val="23"/>
                <w:szCs w:val="23"/>
                <w:color w:val="auto"/>
              </w:rPr>
            </w:pPr>
          </w:p>
        </w:tc>
        <w:tc>
          <w:tcPr>
            <w:tcW w:w="1540" w:type="dxa"/>
            <w:vAlign w:val="bottom"/>
          </w:tcPr>
          <w:p>
            <w:pPr>
              <w:jc w:val="right"/>
              <w:ind w:right="123"/>
              <w:spacing w:after="0"/>
              <w:rPr>
                <w:sz w:val="20"/>
                <w:szCs w:val="20"/>
                <w:color w:val="auto"/>
              </w:rPr>
            </w:pPr>
            <w:r>
              <w:rPr>
                <w:rFonts w:ascii="Arial" w:cs="Arial" w:eastAsia="Arial" w:hAnsi="Arial"/>
                <w:sz w:val="15"/>
                <w:szCs w:val="15"/>
                <w:b w:val="1"/>
                <w:bCs w:val="1"/>
                <w:color w:val="auto"/>
                <w:w w:val="94"/>
              </w:rPr>
              <w:t>September 30, 2018</w:t>
            </w:r>
          </w:p>
        </w:tc>
      </w:tr>
      <w:tr>
        <w:trPr>
          <w:trHeight w:val="268"/>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Operating Cash Flow from Operating leases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1,504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2,556</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Financing Cash Flow from Finance leases</w:t>
            </w: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r>
      <w:tr>
        <w:trPr>
          <w:trHeight w:val="241"/>
        </w:trPr>
        <w:tc>
          <w:tcPr>
            <w:tcW w:w="7900" w:type="dxa"/>
            <w:vAlign w:val="bottom"/>
          </w:tcPr>
          <w:p>
            <w:pPr>
              <w:ind w:left="180"/>
              <w:spacing w:after="0"/>
              <w:rPr>
                <w:sz w:val="20"/>
                <w:szCs w:val="20"/>
                <w:color w:val="auto"/>
              </w:rPr>
            </w:pPr>
            <w:r>
              <w:rPr>
                <w:rFonts w:ascii="Arial" w:cs="Arial" w:eastAsia="Arial" w:hAnsi="Arial"/>
                <w:sz w:val="14"/>
                <w:szCs w:val="14"/>
                <w:b w:val="1"/>
                <w:bCs w:val="1"/>
                <w:color w:val="auto"/>
              </w:rPr>
              <w:t>Total Cash paid on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1,527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2,579</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312"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6" w:right="239" w:bottom="312"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quarter ended September 30, 2019, we have an additional executive office space operating lease for $2.9 million which will commence in January 2020 with a lease term of seven years.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Related Party Leases: Lease of Executive Offices. </w:t>
      </w:r>
      <w:r>
        <w:rPr>
          <w:rFonts w:ascii="Arial" w:cs="Arial" w:eastAsia="Arial" w:hAnsi="Arial"/>
          <w:sz w:val="16"/>
          <w:szCs w:val="16"/>
          <w:color w:val="auto"/>
        </w:rPr>
        <w:t>Gary A. Shiffman, together with certain of his family members, indirectly owns an equity interest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28.1 percent 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average gross base rent is $18.55 per square foot until October 31, 2019 with graduated rental increases thereafter. Each of Mr. Shiffman, Mr. Hermelin, Mr. Klein and Mr. Weiss may have a conflict of interest with respect to his obligations as our officer and/or director and his ownership interest in American Center LLC.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the lessor for any finance leases as of September 30, 2019. Over 95 percent of our operating leases where we are the lessor are either month to month or for a time period not to exceed one year. As of the reporting date, future minimum lease payments would not exceed twelve months. Similarly, over 95 percent of our investment property, net on the Consolidated Balance Sheets, and related depreciation amounts relate to assets whereby we are the lessor under an operating lease.</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acquire the Jensen Portfolio no later than October 31, 2019. However, the closing is subject to the satisfaction of customary closing conditions, including obtaining certain third party consents. If these conditions are not satisfied or waived, or if the merger agreement is otherwise terminated in accordance with its terms, then the acquisition will not be consummated. Refer to Note 3, “Real Estate Acquisitions” for additional information regarding this transaction.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intends to convert 1,051,501 shares of Series A-4 preferred stock and 405,656 Series A-4 preferred OP units issued by the Operating Partnership into its common stock and common OP units. Each share of Series A-4 preferred stock is convertible into approximately 0.4444 shares of common stock and each Series A-4 preferred OP units is convertible into approximately 0.4444 common OP units. The Company has the right under its charter and the Operating Partnership’s partnership agreement to convert these securities, if at any time after November 26, 2019, the volume weighted average of the daily volume weighted average price of a share of its common stock on the New York Stock Exchange is equal to or greater than $64.97 for at least 20 trading days in a period of 30 consecutive trading days (the “Pricing Target”). On October 17, 2019, the Company’s Board of Directors approved the conversion of all of the Series A-4 preferred stock and Series A-4 preferred OP units into common stock and common OP units, respectively, provided that the Pricing Target is satisfied on November 27, 2019. If the Pricing Target is satisfied, the conversion is expected to occur on December 13,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Notes filed herewith, along with our 2018 Annual Report. Capitalized terms are used as defined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fully integrated, self-administered and self-managed REIT. As of September 30, 2019, we owned and operated or held an interest in a portfolio of 389 developed properties located in 32 states throughout the U.S. and one province in Canada, including 236 MH communities, 120 RV communities, and 33 properties containing both MH and RV sites.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2018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depreciation/amortization of real estate assets. In addition, NOI and FFO are commonly used in various ratios, pricing multiples/yields and returns and valuation calculations used to measure financial position, performance and value.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FFO is defined by the National Association of Real Estate Investment Trusts (“NAREIT”) as GAAP net income (loss),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purchase new homes and acquire pre-owned and repossessed manufactured homes, generally located within our communities, from lenders, dealers, and former residents to sell or lease to current and prospective residents. We evaluate segment operating performance based on NOI and gross profit. Refer to Note 12, “Segment Reporting,” in our accompanying Consolidated Financial Statements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Nine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consolidated financial results and reconciles net income attributable to Sun Communities, Inc. common stockholders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NOI for the three and nine months ended September 30, 2019 and 2018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w w:val="95"/>
              </w:rPr>
              <w:t>Nine Months Ended</w:t>
            </w:r>
          </w:p>
        </w:tc>
        <w:tc>
          <w:tcPr>
            <w:tcW w:w="680" w:type="dxa"/>
            <w:vAlign w:val="bottom"/>
            <w:tcBorders>
              <w:bottom w:val="single" w:sz="8" w:color="auto"/>
            </w:tcBorders>
          </w:tcPr>
          <w:p>
            <w:pPr>
              <w:spacing w:after="0"/>
              <w:rPr>
                <w:sz w:val="17"/>
                <w:szCs w:val="17"/>
                <w:color w:val="auto"/>
              </w:rPr>
            </w:pPr>
          </w:p>
        </w:tc>
      </w:tr>
      <w:tr>
        <w:trPr>
          <w:trHeight w:val="264"/>
        </w:trPr>
        <w:tc>
          <w:tcPr>
            <w:tcW w:w="550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2019</w:t>
            </w:r>
          </w:p>
        </w:tc>
        <w:tc>
          <w:tcPr>
            <w:tcW w:w="160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2018</w:t>
            </w:r>
          </w:p>
        </w:tc>
        <w:tc>
          <w:tcPr>
            <w:tcW w:w="144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September 30, 2019</w:t>
            </w: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w w:val="92"/>
              </w:rPr>
              <w:t>September 30, 2018</w:t>
            </w: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57,002</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46,060</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131,718</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96,454</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Other revenues</w:t>
            </w:r>
          </w:p>
        </w:tc>
        <w:tc>
          <w:tcPr>
            <w:tcW w:w="440" w:type="dxa"/>
            <w:vAlign w:val="bottom"/>
          </w:tcPr>
          <w:p>
            <w:pPr>
              <w:spacing w:after="0"/>
              <w:rPr>
                <w:sz w:val="23"/>
                <w:szCs w:val="23"/>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(9,772)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(6,478)</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(25,679)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(18,922)</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Home selling expenses</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3,988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4,043</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10,938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11,319</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General and administrative expenses</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22,975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19,763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68,559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60,972</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173</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1,302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Depreciation and amortization</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76,532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71,982</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229,241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206,192</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extinguishment of debt</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12,755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528</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13,478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1,255</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Interest expense</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33,435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35,074</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103,385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100,872</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Remeasurement of marketable securities</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(12,661)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Other (income) / expense, net</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4,408</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(1,231)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1,489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3,214</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Current tax expense</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213</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906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612</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 / expense</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w:t>
            </w: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Preferred return to preferred OP units / equity</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1,599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1,152</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4,640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3,335</w:t>
            </w: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Amounts attributable to noncontrolling interests</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5,422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4,071</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9,048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8,392</w:t>
            </w:r>
          </w:p>
        </w:tc>
      </w:tr>
      <w:tr>
        <w:trPr>
          <w:trHeight w:val="266"/>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Preferred stock distribution</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432</w:t>
            </w:r>
          </w:p>
        </w:tc>
        <w:tc>
          <w:tcPr>
            <w:tcW w:w="2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1,305</w:t>
            </w:r>
          </w:p>
        </w:tc>
      </w:tr>
      <w:tr>
        <w:trPr>
          <w:trHeight w:val="241"/>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NOI / Gross Profit</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197,144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9"/>
              </w:rPr>
              <w:t>175,457</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532,987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472,520</w:t>
            </w: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w w:val="95"/>
              </w:rPr>
              <w:t>Nine Months Ended</w:t>
            </w:r>
          </w:p>
        </w:tc>
        <w:tc>
          <w:tcPr>
            <w:tcW w:w="680" w:type="dxa"/>
            <w:vAlign w:val="bottom"/>
            <w:tcBorders>
              <w:bottom w:val="single" w:sz="8" w:color="auto"/>
            </w:tcBorders>
          </w:tcPr>
          <w:p>
            <w:pPr>
              <w:spacing w:after="0"/>
              <w:rPr>
                <w:sz w:val="17"/>
                <w:szCs w:val="17"/>
                <w:color w:val="auto"/>
              </w:rPr>
            </w:pPr>
          </w:p>
        </w:tc>
      </w:tr>
      <w:tr>
        <w:trPr>
          <w:trHeight w:val="264"/>
        </w:trPr>
        <w:tc>
          <w:tcPr>
            <w:tcW w:w="550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2019</w:t>
            </w:r>
          </w:p>
        </w:tc>
        <w:tc>
          <w:tcPr>
            <w:tcW w:w="160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2018</w:t>
            </w:r>
          </w:p>
        </w:tc>
        <w:tc>
          <w:tcPr>
            <w:tcW w:w="144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September 30, 2019</w:t>
            </w: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w w:val="92"/>
              </w:rPr>
              <w:t>September 30, 2018</w:t>
            </w: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Real Property NOI</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161,929</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9"/>
              </w:rPr>
              <w:t>143,418</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449,954</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401,066</w:t>
            </w: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Home Sales NOI / Gross Profit</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13,487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12,439</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36,635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31,053</w:t>
            </w: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Rental Program NOI</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25,706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23,750</w:t>
            </w:r>
          </w:p>
        </w:tc>
        <w:tc>
          <w:tcPr>
            <w:tcW w:w="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78,266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72,424</w:t>
            </w: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Ancillary NOI / Gross Profit</w:t>
            </w:r>
          </w:p>
        </w:tc>
        <w:tc>
          <w:tcPr>
            <w:tcW w:w="44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13,292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12,247</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19,458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17,222</w:t>
            </w:r>
          </w:p>
        </w:tc>
      </w:tr>
      <w:tr>
        <w:trPr>
          <w:trHeight w:val="274"/>
        </w:trPr>
        <w:tc>
          <w:tcPr>
            <w:tcW w:w="550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Site rent from Rental Program (included in Real Property NOI) </w:t>
            </w:r>
            <w:r>
              <w:rPr>
                <w:rFonts w:ascii="Arial" w:cs="Arial" w:eastAsia="Arial" w:hAnsi="Arial"/>
                <w:sz w:val="25"/>
                <w:szCs w:val="25"/>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(17,270)</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(16,397)</w:t>
            </w:r>
          </w:p>
        </w:tc>
        <w:tc>
          <w:tcPr>
            <w:tcW w:w="2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(51,326)</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(49,245)</w:t>
            </w:r>
          </w:p>
        </w:tc>
      </w:tr>
      <w:tr>
        <w:trPr>
          <w:trHeight w:val="237"/>
        </w:trPr>
        <w:tc>
          <w:tcPr>
            <w:tcW w:w="5500" w:type="dxa"/>
            <w:vAlign w:val="bottom"/>
          </w:tcPr>
          <w:p>
            <w:pPr>
              <w:ind w:left="380"/>
              <w:spacing w:after="0"/>
              <w:rPr>
                <w:sz w:val="20"/>
                <w:szCs w:val="20"/>
                <w:color w:val="auto"/>
              </w:rPr>
            </w:pPr>
            <w:r>
              <w:rPr>
                <w:rFonts w:ascii="Arial" w:cs="Arial" w:eastAsia="Arial" w:hAnsi="Arial"/>
                <w:sz w:val="15"/>
                <w:szCs w:val="15"/>
                <w:color w:val="auto"/>
              </w:rPr>
              <w:t>NOI / Gross Profit</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197,144</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9"/>
              </w:rPr>
              <w:t>175,457</w:t>
            </w:r>
          </w:p>
        </w:tc>
        <w:tc>
          <w:tcPr>
            <w:tcW w:w="220" w:type="dxa"/>
            <w:vAlign w:val="bottom"/>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532,987</w:t>
            </w:r>
          </w:p>
        </w:tc>
        <w:tc>
          <w:tcPr>
            <w:tcW w:w="100" w:type="dxa"/>
            <w:vAlign w:val="bottom"/>
          </w:tcPr>
          <w:p>
            <w:pPr>
              <w:spacing w:after="0"/>
              <w:rPr>
                <w:sz w:val="20"/>
                <w:szCs w:val="2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472,520</w:t>
            </w: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260" w:hanging="252"/>
        <w:spacing w:after="0" w:line="239" w:lineRule="auto"/>
        <w:tabs>
          <w:tab w:leader="none" w:pos="262"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the Company’s operations.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and nine months ended September 30, 2019 and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69"/>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0"/>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 Change</w:t>
            </w:r>
          </w:p>
        </w:tc>
      </w:tr>
      <w:tr>
        <w:trPr>
          <w:trHeight w:val="158"/>
        </w:trPr>
        <w:tc>
          <w:tcPr>
            <w:tcW w:w="2180" w:type="dxa"/>
            <w:vAlign w:val="bottom"/>
          </w:tcPr>
          <w:p>
            <w:pPr>
              <w:ind w:left="40"/>
              <w:spacing w:after="0" w:line="159" w:lineRule="exact"/>
              <w:rPr>
                <w:sz w:val="20"/>
                <w:szCs w:val="20"/>
                <w:color w:val="auto"/>
              </w:rPr>
            </w:pPr>
            <w:r>
              <w:rPr>
                <w:rFonts w:ascii="Arial" w:cs="Arial" w:eastAsia="Arial" w:hAnsi="Arial"/>
                <w:sz w:val="15"/>
                <w:szCs w:val="15"/>
                <w:b w:val="1"/>
                <w:bCs w:val="1"/>
                <w:color w:val="auto"/>
              </w:rPr>
              <w:t>Financial Information (in</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02"/>
        </w:trPr>
        <w:tc>
          <w:tcPr>
            <w:tcW w:w="2180" w:type="dxa"/>
            <w:vAlign w:val="bottom"/>
          </w:tcPr>
          <w:p>
            <w:pPr>
              <w:ind w:left="40"/>
              <w:spacing w:after="0"/>
              <w:rPr>
                <w:sz w:val="20"/>
                <w:szCs w:val="20"/>
                <w:color w:val="auto"/>
              </w:rPr>
            </w:pPr>
            <w:r>
              <w:rPr>
                <w:rFonts w:ascii="Arial" w:cs="Arial" w:eastAsia="Arial" w:hAnsi="Arial"/>
                <w:sz w:val="15"/>
                <w:szCs w:val="15"/>
                <w:b w:val="1"/>
                <w:bCs w:val="1"/>
                <w:color w:val="auto"/>
              </w:rPr>
              <w:t>thousands)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74"/>
        </w:trPr>
        <w:tc>
          <w:tcPr>
            <w:tcW w:w="2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256,423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229,607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26,816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699,301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625,488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73,813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266"/>
        </w:trPr>
        <w:tc>
          <w:tcPr>
            <w:tcW w:w="218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4"/>
        </w:trPr>
        <w:tc>
          <w:tcPr>
            <w:tcW w:w="2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Payroll and benefits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25,427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22,481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66,393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56,810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9,583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16.9%</w:t>
            </w:r>
          </w:p>
        </w:tc>
      </w:tr>
      <w:tr>
        <w:trPr>
          <w:trHeight w:val="266"/>
        </w:trPr>
        <w:tc>
          <w:tcPr>
            <w:tcW w:w="2180" w:type="dxa"/>
            <w:vAlign w:val="bottom"/>
          </w:tcPr>
          <w:p>
            <w:pPr>
              <w:ind w:left="280"/>
              <w:spacing w:after="0"/>
              <w:rPr>
                <w:sz w:val="20"/>
                <w:szCs w:val="20"/>
                <w:color w:val="auto"/>
              </w:rPr>
            </w:pPr>
            <w:r>
              <w:rPr>
                <w:rFonts w:ascii="Arial" w:cs="Arial" w:eastAsia="Arial" w:hAnsi="Arial"/>
                <w:sz w:val="15"/>
                <w:szCs w:val="15"/>
                <w:color w:val="auto"/>
              </w:rPr>
              <w:t>Legal, taxes, and insurance</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2,968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2,743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225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7,716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7,311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405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5.5%</w:t>
            </w:r>
          </w:p>
        </w:tc>
      </w:tr>
      <w:tr>
        <w:trPr>
          <w:trHeight w:val="274"/>
        </w:trPr>
        <w:tc>
          <w:tcPr>
            <w:tcW w:w="2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Utilities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29,383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27,204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77,462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71,363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66"/>
        </w:trPr>
        <w:tc>
          <w:tcPr>
            <w:tcW w:w="2180" w:type="dxa"/>
            <w:vAlign w:val="bottom"/>
          </w:tcPr>
          <w:p>
            <w:pPr>
              <w:ind w:left="280"/>
              <w:spacing w:after="0"/>
              <w:rPr>
                <w:sz w:val="20"/>
                <w:szCs w:val="20"/>
                <w:color w:val="auto"/>
              </w:rPr>
            </w:pPr>
            <w:r>
              <w:rPr>
                <w:rFonts w:ascii="Arial" w:cs="Arial" w:eastAsia="Arial" w:hAnsi="Arial"/>
                <w:sz w:val="15"/>
                <w:szCs w:val="15"/>
                <w:color w:val="auto"/>
              </w:rPr>
              <w:t>Supplies and repairs</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10,966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9,283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1,683</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18.1%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27,049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22,371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4,678</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20.9%</w:t>
            </w:r>
          </w:p>
        </w:tc>
      </w:tr>
      <w:tr>
        <w:trPr>
          <w:trHeight w:val="274"/>
        </w:trPr>
        <w:tc>
          <w:tcPr>
            <w:tcW w:w="2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24,272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24,122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66"/>
        </w:trPr>
        <w:tc>
          <w:tcPr>
            <w:tcW w:w="21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Real estate taxes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15,399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14,533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866</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6.0%</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46,455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42,445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4,010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9.4%</w:t>
            </w:r>
          </w:p>
        </w:tc>
      </w:tr>
      <w:tr>
        <w:trPr>
          <w:trHeight w:val="250"/>
        </w:trPr>
        <w:tc>
          <w:tcPr>
            <w:tcW w:w="218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8"/>
              </w:rPr>
              <w:t>Property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94,494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86,189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8,305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249,347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224,422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24,925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w:t>
            </w:r>
          </w:p>
        </w:tc>
      </w:tr>
      <w:tr>
        <w:trPr>
          <w:trHeight w:val="241"/>
        </w:trPr>
        <w:tc>
          <w:tcPr>
            <w:tcW w:w="218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161,929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143,418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18,511</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12.9%</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449,954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401,066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48,888</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12.2%</w:t>
            </w: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5"/>
                <w:szCs w:val="15"/>
                <w:b w:val="1"/>
                <w:bCs w:val="1"/>
                <w:color w:val="auto"/>
              </w:rPr>
              <w:t>As of</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1"/>
        </w:trPr>
        <w:tc>
          <w:tcPr>
            <w:tcW w:w="72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2019</w:t>
            </w:r>
          </w:p>
        </w:tc>
        <w:tc>
          <w:tcPr>
            <w:tcW w:w="150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2018</w:t>
            </w:r>
          </w:p>
        </w:tc>
        <w:tc>
          <w:tcPr>
            <w:tcW w:w="220" w:type="dxa"/>
            <w:vAlign w:val="bottom"/>
          </w:tcPr>
          <w:p>
            <w:pPr>
              <w:spacing w:after="0"/>
              <w:rPr>
                <w:sz w:val="22"/>
                <w:szCs w:val="22"/>
                <w:color w:val="auto"/>
              </w:rPr>
            </w:pPr>
          </w:p>
        </w:tc>
        <w:tc>
          <w:tcPr>
            <w:tcW w:w="960" w:type="dxa"/>
            <w:vAlign w:val="bottom"/>
          </w:tcPr>
          <w:p>
            <w:pPr>
              <w:jc w:val="right"/>
              <w:ind w:right="263"/>
              <w:spacing w:after="0"/>
              <w:rPr>
                <w:sz w:val="20"/>
                <w:szCs w:val="20"/>
                <w:color w:val="auto"/>
              </w:rPr>
            </w:pPr>
            <w:r>
              <w:rPr>
                <w:rFonts w:ascii="Arial" w:cs="Arial" w:eastAsia="Arial" w:hAnsi="Arial"/>
                <w:sz w:val="15"/>
                <w:szCs w:val="15"/>
                <w:b w:val="1"/>
                <w:bCs w:val="1"/>
                <w:color w:val="auto"/>
              </w:rPr>
              <w:t>Change</w:t>
            </w:r>
          </w:p>
        </w:tc>
      </w:tr>
      <w:tr>
        <w:trPr>
          <w:trHeight w:val="266"/>
        </w:trPr>
        <w:tc>
          <w:tcPr>
            <w:tcW w:w="722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4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74"/>
        </w:trPr>
        <w:tc>
          <w:tcPr>
            <w:tcW w:w="7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389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19</w:t>
            </w:r>
          </w:p>
        </w:tc>
      </w:tr>
      <w:tr>
        <w:trPr>
          <w:trHeight w:val="270"/>
        </w:trPr>
        <w:tc>
          <w:tcPr>
            <w:tcW w:w="7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MH occupancy</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7220" w:type="dxa"/>
            <w:vAlign w:val="bottom"/>
          </w:tcPr>
          <w:p>
            <w:pPr>
              <w:ind w:left="40"/>
              <w:spacing w:after="0"/>
              <w:rPr>
                <w:sz w:val="20"/>
                <w:szCs w:val="20"/>
                <w:color w:val="auto"/>
              </w:rPr>
            </w:pPr>
            <w:r>
              <w:rPr>
                <w:rFonts w:ascii="Arial" w:cs="Arial" w:eastAsia="Arial" w:hAnsi="Arial"/>
                <w:sz w:val="15"/>
                <w:szCs w:val="15"/>
                <w:color w:val="auto"/>
              </w:rPr>
              <w:t>RV occupancy</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722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97"/>
        </w:trPr>
        <w:tc>
          <w:tcPr>
            <w:tcW w:w="7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Sites available for development</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10,557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11,315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(758)</w:t>
            </w:r>
          </w:p>
        </w:tc>
      </w:tr>
      <w:tr>
        <w:trPr>
          <w:trHeight w:val="297"/>
        </w:trPr>
        <w:tc>
          <w:tcPr>
            <w:tcW w:w="7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574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23</w:t>
            </w:r>
          </w:p>
        </w:tc>
      </w:tr>
      <w:tr>
        <w:trPr>
          <w:trHeight w:val="270"/>
        </w:trPr>
        <w:tc>
          <w:tcPr>
            <w:tcW w:w="722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(2)</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472</w:t>
            </w:r>
          </w:p>
        </w:tc>
        <w:tc>
          <w:tcPr>
            <w:tcW w:w="120" w:type="dxa"/>
            <w:vAlign w:val="bottom"/>
          </w:tcPr>
          <w:p>
            <w:pPr>
              <w:spacing w:after="0"/>
              <w:rPr>
                <w:sz w:val="23"/>
                <w:szCs w:val="23"/>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24</w:t>
            </w: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Total</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23</w:t>
            </w:r>
          </w:p>
        </w:tc>
      </w:tr>
    </w:tbl>
    <w:p>
      <w:pPr>
        <w:spacing w:after="0" w:line="1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Overall occupancy percentage includes MH and annual RV sites, and excludes transient RV sites.</w:t>
      </w:r>
    </w:p>
    <w:p>
      <w:pPr>
        <w:ind w:left="340" w:hanging="332"/>
        <w:spacing w:after="0" w:line="182" w:lineRule="auto"/>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Monthly base rent pertains to annual RV sites and excludes transient RV sites.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$18.5 million increase in Real Property NOI consists of $9.7 million from Same Communities as detailed below and $8.8 million from recently acquired properties in the three months ended September 30, 2019 as compared to the same period in 2018.</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$48.9 million increase in Real Property NOI consists of $28.2 million from Same Communities as detailed below and $20.7 million from recently acquired properties in the nine months ended September 30, 2019 as compared to the same period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Same Communities consist of properties owned and operated since January 1, 2018. The Same Community data may change from time-to-time depending on acquisitions, dispositions, management discretion, significant transactions, or unique situations. The Same Community data in this Form 10-Q includes all properties which we have owned and operated continuously since January 1, 2018.</w:t>
      </w:r>
    </w:p>
    <w:p>
      <w:pPr>
        <w:spacing w:after="0" w:line="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 We have reclassified water and sewer revenues of $8.9 million and $8.4 million for the three months ended September 30, 2019 and 2018, and $25.8 million and $24.1 million for the nine months ended September 30, 2019 and 2018, respectively, to reflect the utility expenses associated with our Same Community portfolio net of recovery.</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and nine months ended September 30, 2019 and 2018. The amounts in the table below reflect constant currency for comparative purposes. Canadian currency figures included within the three and nine months ended September 30, 2018 have been translated at 2019 exchange rate.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w w:val="99"/>
              </w:rPr>
              <w:t>Nine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9"/>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0"/>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1120" w:type="dxa"/>
            <w:vAlign w:val="bottom"/>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3"/>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158"/>
        </w:trPr>
        <w:tc>
          <w:tcPr>
            <w:tcW w:w="2340" w:type="dxa"/>
            <w:vAlign w:val="bottom"/>
          </w:tcPr>
          <w:p>
            <w:pPr>
              <w:ind w:left="40"/>
              <w:spacing w:after="0" w:line="159" w:lineRule="exact"/>
              <w:rPr>
                <w:sz w:val="20"/>
                <w:szCs w:val="20"/>
                <w:color w:val="auto"/>
              </w:rPr>
            </w:pPr>
            <w:r>
              <w:rPr>
                <w:rFonts w:ascii="Arial" w:cs="Arial" w:eastAsia="Arial" w:hAnsi="Arial"/>
                <w:sz w:val="15"/>
                <w:szCs w:val="15"/>
                <w:b w:val="1"/>
                <w:bCs w:val="1"/>
                <w:color w:val="auto"/>
              </w:rPr>
              <w:t>Financial Information</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202"/>
        </w:trPr>
        <w:tc>
          <w:tcPr>
            <w:tcW w:w="2340" w:type="dxa"/>
            <w:vAlign w:val="bottom"/>
          </w:tcPr>
          <w:p>
            <w:pPr>
              <w:ind w:left="40"/>
              <w:spacing w:after="0"/>
              <w:rPr>
                <w:sz w:val="20"/>
                <w:szCs w:val="20"/>
                <w:color w:val="auto"/>
              </w:rPr>
            </w:pPr>
            <w:r>
              <w:rPr>
                <w:rFonts w:ascii="Arial" w:cs="Arial" w:eastAsia="Arial" w:hAnsi="Arial"/>
                <w:sz w:val="15"/>
                <w:szCs w:val="15"/>
                <w:b w:val="1"/>
                <w:bCs w:val="1"/>
                <w:color w:val="auto"/>
              </w:rPr>
              <w:t>(in thousands)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4"/>
        </w:trPr>
        <w:tc>
          <w:tcPr>
            <w:tcW w:w="234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Income from real property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214,452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202,133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12,319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609,841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574,491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35,350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6.2 %</w:t>
            </w:r>
          </w:p>
        </w:tc>
      </w:tr>
      <w:tr>
        <w:trPr>
          <w:trHeight w:val="266"/>
        </w:trPr>
        <w:tc>
          <w:tcPr>
            <w:tcW w:w="234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23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Payroll and benefits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20,418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19,244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55,512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266"/>
        </w:trPr>
        <w:tc>
          <w:tcPr>
            <w:tcW w:w="2340" w:type="dxa"/>
            <w:vAlign w:val="bottom"/>
          </w:tcPr>
          <w:p>
            <w:pPr>
              <w:ind w:left="280"/>
              <w:spacing w:after="0"/>
              <w:rPr>
                <w:sz w:val="20"/>
                <w:szCs w:val="20"/>
                <w:color w:val="auto"/>
              </w:rPr>
            </w:pPr>
            <w:r>
              <w:rPr>
                <w:rFonts w:ascii="Arial" w:cs="Arial" w:eastAsia="Arial" w:hAnsi="Arial"/>
                <w:sz w:val="15"/>
                <w:szCs w:val="15"/>
                <w:color w:val="auto"/>
              </w:rPr>
              <w:t>Legal, taxes, and insurance</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2,589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2,600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6,911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7,118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74"/>
        </w:trPr>
        <w:tc>
          <w:tcPr>
            <w:tcW w:w="23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Utilities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17,382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16,958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45,060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44,746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0.7 %</w:t>
            </w:r>
          </w:p>
        </w:tc>
      </w:tr>
      <w:tr>
        <w:trPr>
          <w:trHeight w:val="266"/>
        </w:trPr>
        <w:tc>
          <w:tcPr>
            <w:tcW w:w="2340" w:type="dxa"/>
            <w:vAlign w:val="bottom"/>
          </w:tcPr>
          <w:p>
            <w:pPr>
              <w:ind w:left="280"/>
              <w:spacing w:after="0"/>
              <w:rPr>
                <w:sz w:val="20"/>
                <w:szCs w:val="20"/>
                <w:color w:val="auto"/>
              </w:rPr>
            </w:pPr>
            <w:r>
              <w:rPr>
                <w:rFonts w:ascii="Arial" w:cs="Arial" w:eastAsia="Arial" w:hAnsi="Arial"/>
                <w:sz w:val="15"/>
                <w:szCs w:val="15"/>
                <w:color w:val="auto"/>
              </w:rPr>
              <w:t>Supplies and repairs</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9,492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8,575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917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10.7 %</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23,683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21,473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2,210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10.3 %</w:t>
            </w:r>
          </w:p>
        </w:tc>
      </w:tr>
      <w:tr>
        <w:trPr>
          <w:trHeight w:val="274"/>
        </w:trPr>
        <w:tc>
          <w:tcPr>
            <w:tcW w:w="23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5,670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15,536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16,103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266"/>
        </w:trPr>
        <w:tc>
          <w:tcPr>
            <w:tcW w:w="23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Real estate taxes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14,607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14,110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497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3.5 %</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44,093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41,772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2,321</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5.6 %</w:t>
            </w:r>
          </w:p>
        </w:tc>
      </w:tr>
      <w:tr>
        <w:trPr>
          <w:trHeight w:val="250"/>
        </w:trPr>
        <w:tc>
          <w:tcPr>
            <w:tcW w:w="23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70,158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67,500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190,795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183,599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3.9 %</w:t>
            </w:r>
          </w:p>
        </w:tc>
      </w:tr>
      <w:tr>
        <w:trPr>
          <w:trHeight w:val="241"/>
        </w:trPr>
        <w:tc>
          <w:tcPr>
            <w:tcW w:w="234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144,294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134,633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9,661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7.2 %</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419,046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390,892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28,154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7.2 %</w:t>
            </w: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9"/>
        </w:trPr>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0"/>
        </w:trPr>
        <w:tc>
          <w:tcPr>
            <w:tcW w:w="7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Change</w:t>
            </w:r>
          </w:p>
        </w:tc>
      </w:tr>
      <w:tr>
        <w:trPr>
          <w:trHeight w:val="266"/>
        </w:trPr>
        <w:tc>
          <w:tcPr>
            <w:tcW w:w="732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14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345</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7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MH occupancy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RV occupancy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(2) (3)</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297"/>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22</w:t>
            </w: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3"/>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83"/>
              <w:spacing w:after="0"/>
              <w:rPr>
                <w:sz w:val="20"/>
                <w:szCs w:val="20"/>
                <w:color w:val="auto"/>
              </w:rPr>
            </w:pPr>
            <w:r>
              <w:rPr>
                <w:rFonts w:ascii="Arial" w:cs="Arial" w:eastAsia="Arial" w:hAnsi="Arial"/>
                <w:sz w:val="15"/>
                <w:szCs w:val="15"/>
                <w:color w:val="auto"/>
              </w:rPr>
              <w:t>27</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w:t>
            </w:r>
          </w:p>
        </w:tc>
      </w:tr>
    </w:tbl>
    <w:p>
      <w:pPr>
        <w:spacing w:after="0" w:line="179" w:lineRule="exact"/>
        <w:rPr>
          <w:sz w:val="20"/>
          <w:szCs w:val="20"/>
          <w:color w:val="auto"/>
        </w:rPr>
      </w:pPr>
    </w:p>
    <w:p>
      <w:pPr>
        <w:jc w:val="both"/>
        <w:ind w:left="340" w:hanging="332"/>
        <w:spacing w:after="0" w:line="224"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 Company adopted ASC 842, the new leasing standard, as of January 1, 2019 which required the reclassification of bad debt expense from Property operating expense to Income from real property. To assist with comparability within Same Community results, bad debt expense has been reclassified to be shown as a reduction of Income from real property for all periods presented.</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The occupancy percentage includes MH and annual RV sites, and excludes recently completed but vacant expansion sites and transient RV sites.</w:t>
      </w:r>
    </w:p>
    <w:p>
      <w:pPr>
        <w:ind w:left="340" w:right="20" w:hanging="332"/>
        <w:spacing w:after="0" w:line="207"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 occupancy percentage for 2018 has been adjusted to reflect incremental growth period-over-period from filled MH expansion sites and the conversion of transient RV sites to annual RV sites.</w:t>
      </w:r>
    </w:p>
    <w:p>
      <w:pPr>
        <w:spacing w:after="0" w:line="1"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Monthly base rent pertains to annual RV sites and excludes transient RV sites.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37"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months ended September 30, 2019 and 2018, the 7.2 percent growth in NOI is primarily due to increased Income from real property of $12.3 million, or 6.1 percent. The 6.1 percent increase is primarily attributable to a 2.1 percent increase in occupancy and a 4.5 percent increase in total monthly base rent per site when compared to the same period in 2018. The increase in Income from real property was partially offset by a $2.7 million, or 3.9 percent, increase in Property operating expenses, primarily attributable to increases in supplies and repairs, payroll and benefits and real estate taxes.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nine months ended September 30, 2019 and 2018, the 7.2 percent growth in NOI is primarily due to increased Income from real property of $35.4 million, or 6.2 percent. The 6.2 percent increase is primarily attributable to a 2.1 percent increase in occupancy and a 4.5 percent increase in total monthly base rent per site when compared to the same period in 2018. The increase in Income from real property was partially offset by a $7.2 million, or 3.9 percent, increase in Property operating expenses, primarily attributable to increases in supplies and repairs, payroll and benefits and real estate taxes.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nine months ended September 30, 2019 and 2018 (in thousands, except for average selling prices and statistical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5"/>
                <w:szCs w:val="15"/>
                <w:b w:val="1"/>
                <w:bCs w:val="1"/>
                <w:color w:val="auto"/>
                <w:w w:val="92"/>
              </w:rPr>
              <w:t>Three Months Ended</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Nine Months Ended</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9"/>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280" w:type="dxa"/>
            <w:vAlign w:val="bottom"/>
            <w:gridSpan w:val="2"/>
          </w:tcPr>
          <w:p>
            <w:pPr>
              <w:ind w:left="80"/>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0"/>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b w:val="1"/>
                <w:bCs w:val="1"/>
                <w:color w:val="auto"/>
                <w:w w:val="87"/>
              </w:rPr>
              <w:t>Change</w:t>
            </w:r>
          </w:p>
        </w:tc>
        <w:tc>
          <w:tcPr>
            <w:tcW w:w="10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114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83"/>
              <w:spacing w:after="0"/>
              <w:rPr>
                <w:sz w:val="20"/>
                <w:szCs w:val="20"/>
                <w:color w:val="auto"/>
              </w:rPr>
            </w:pPr>
            <w:r>
              <w:rPr>
                <w:rFonts w:ascii="Arial" w:cs="Arial" w:eastAsia="Arial" w:hAnsi="Arial"/>
                <w:sz w:val="15"/>
                <w:szCs w:val="15"/>
                <w:b w:val="1"/>
                <w:bCs w:val="1"/>
                <w:color w:val="auto"/>
                <w:w w:val="87"/>
              </w:rPr>
              <w:t>Change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266"/>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4"/>
        </w:trPr>
        <w:tc>
          <w:tcPr>
            <w:tcW w:w="23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New homes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2380" w:type="dxa"/>
            <w:vAlign w:val="bottom"/>
          </w:tcPr>
          <w:p>
            <w:pPr>
              <w:ind w:left="280"/>
              <w:spacing w:after="0"/>
              <w:rPr>
                <w:sz w:val="20"/>
                <w:szCs w:val="20"/>
                <w:color w:val="auto"/>
              </w:rPr>
            </w:pPr>
            <w:r>
              <w:rPr>
                <w:rFonts w:ascii="Arial" w:cs="Arial" w:eastAsia="Arial" w:hAnsi="Arial"/>
                <w:sz w:val="15"/>
                <w:szCs w:val="15"/>
                <w:color w:val="auto"/>
              </w:rPr>
              <w:t>New home sales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19,775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16,433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3,342</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20.3 %</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51,860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42,978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83"/>
              <w:spacing w:after="0"/>
              <w:rPr>
                <w:sz w:val="20"/>
                <w:szCs w:val="20"/>
                <w:color w:val="auto"/>
              </w:rPr>
            </w:pPr>
            <w:r>
              <w:rPr>
                <w:rFonts w:ascii="Arial" w:cs="Arial" w:eastAsia="Arial" w:hAnsi="Arial"/>
                <w:sz w:val="15"/>
                <w:szCs w:val="15"/>
                <w:color w:val="auto"/>
              </w:rPr>
              <w:t>8,882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20.7 %</w:t>
            </w:r>
          </w:p>
        </w:tc>
      </w:tr>
      <w:tr>
        <w:trPr>
          <w:trHeight w:val="270"/>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 cost of sales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16,761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14,278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2,483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17.4 %</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44,740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37,187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7,553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20.3 %</w:t>
            </w:r>
          </w:p>
        </w:tc>
      </w:tr>
      <w:tr>
        <w:trPr>
          <w:trHeight w:val="250"/>
        </w:trPr>
        <w:tc>
          <w:tcPr>
            <w:tcW w:w="2380" w:type="dxa"/>
            <w:vAlign w:val="bottom"/>
          </w:tcPr>
          <w:p>
            <w:pPr>
              <w:ind w:left="280"/>
              <w:spacing w:after="0"/>
              <w:rPr>
                <w:sz w:val="20"/>
                <w:szCs w:val="20"/>
                <w:color w:val="auto"/>
              </w:rPr>
            </w:pPr>
            <w:r>
              <w:rPr>
                <w:rFonts w:ascii="Arial" w:cs="Arial" w:eastAsia="Arial" w:hAnsi="Arial"/>
                <w:sz w:val="15"/>
                <w:szCs w:val="15"/>
                <w:color w:val="auto"/>
                <w:w w:val="98"/>
              </w:rPr>
              <w:t>NOI / Gross Profit – new homes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3,014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2,155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859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39.9 %</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7,120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5,791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83"/>
              <w:spacing w:after="0"/>
              <w:rPr>
                <w:sz w:val="20"/>
                <w:szCs w:val="20"/>
                <w:color w:val="auto"/>
              </w:rPr>
            </w:pPr>
            <w:r>
              <w:rPr>
                <w:rFonts w:ascii="Arial" w:cs="Arial" w:eastAsia="Arial" w:hAnsi="Arial"/>
                <w:sz w:val="15"/>
                <w:szCs w:val="15"/>
                <w:color w:val="auto"/>
              </w:rPr>
              <w:t>1,329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22.9 %</w:t>
            </w:r>
          </w:p>
        </w:tc>
      </w:tr>
      <w:tr>
        <w:trPr>
          <w:trHeight w:val="274"/>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Gross margin % – new homes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176"/>
        </w:trPr>
        <w:tc>
          <w:tcPr>
            <w:tcW w:w="2380" w:type="dxa"/>
            <w:vAlign w:val="bottom"/>
          </w:tcPr>
          <w:p>
            <w:pPr>
              <w:ind w:left="280"/>
              <w:spacing w:after="0"/>
              <w:rPr>
                <w:sz w:val="20"/>
                <w:szCs w:val="20"/>
                <w:color w:val="auto"/>
              </w:rPr>
            </w:pPr>
            <w:r>
              <w:rPr>
                <w:rFonts w:ascii="Arial" w:cs="Arial" w:eastAsia="Arial" w:hAnsi="Arial"/>
                <w:sz w:val="15"/>
                <w:szCs w:val="15"/>
                <w:color w:val="auto"/>
              </w:rPr>
              <w:t>Average selling price – new</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2380" w:type="dxa"/>
            <w:vAlign w:val="bottom"/>
          </w:tcPr>
          <w:p>
            <w:pPr>
              <w:ind w:left="280"/>
              <w:spacing w:after="0"/>
              <w:rPr>
                <w:sz w:val="20"/>
                <w:szCs w:val="20"/>
                <w:color w:val="auto"/>
              </w:rPr>
            </w:pPr>
            <w:r>
              <w:rPr>
                <w:rFonts w:ascii="Arial" w:cs="Arial" w:eastAsia="Arial" w:hAnsi="Arial"/>
                <w:sz w:val="15"/>
                <w:szCs w:val="15"/>
                <w:color w:val="auto"/>
              </w:rPr>
              <w:t>homes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118,413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112,555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5,858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5.2 %</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120,325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111,342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83"/>
              <w:spacing w:after="0"/>
              <w:rPr>
                <w:sz w:val="20"/>
                <w:szCs w:val="20"/>
                <w:color w:val="auto"/>
              </w:rPr>
            </w:pPr>
            <w:r>
              <w:rPr>
                <w:rFonts w:ascii="Arial" w:cs="Arial" w:eastAsia="Arial" w:hAnsi="Arial"/>
                <w:sz w:val="15"/>
                <w:szCs w:val="15"/>
                <w:color w:val="auto"/>
              </w:rPr>
              <w:t>8,983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8.1 %</w:t>
            </w:r>
          </w:p>
        </w:tc>
      </w:tr>
      <w:tr>
        <w:trPr>
          <w:trHeight w:val="274"/>
        </w:trPr>
        <w:tc>
          <w:tcPr>
            <w:tcW w:w="2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Pre-owned homes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Pre-owned home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30,030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29,698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84,805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79,270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7.0 %</w:t>
            </w:r>
          </w:p>
        </w:tc>
      </w:tr>
      <w:tr>
        <w:trPr>
          <w:trHeight w:val="266"/>
        </w:trPr>
        <w:tc>
          <w:tcPr>
            <w:tcW w:w="23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Pre-owned home cost of sales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19,557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19,414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143</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0.7 %</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55,290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54,008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1,282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2.4 %</w:t>
            </w:r>
          </w:p>
        </w:tc>
      </w:tr>
      <w:tr>
        <w:trPr>
          <w:trHeight w:val="160"/>
        </w:trPr>
        <w:tc>
          <w:tcPr>
            <w:tcW w:w="238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rPr>
              <w:t>NOI / Gross Profit – pre-owned</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2"/>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homes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10,473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10,284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29,515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25,262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4,253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16.8 %</w:t>
            </w:r>
          </w:p>
        </w:tc>
      </w:tr>
      <w:tr>
        <w:trPr>
          <w:trHeight w:val="176"/>
        </w:trPr>
        <w:tc>
          <w:tcPr>
            <w:tcW w:w="2380" w:type="dxa"/>
            <w:vAlign w:val="bottom"/>
          </w:tcPr>
          <w:p>
            <w:pPr>
              <w:ind w:left="280"/>
              <w:spacing w:after="0"/>
              <w:rPr>
                <w:sz w:val="20"/>
                <w:szCs w:val="20"/>
                <w:color w:val="auto"/>
              </w:rPr>
            </w:pPr>
            <w:r>
              <w:rPr>
                <w:rFonts w:ascii="Arial" w:cs="Arial" w:eastAsia="Arial" w:hAnsi="Arial"/>
                <w:sz w:val="15"/>
                <w:szCs w:val="15"/>
                <w:color w:val="auto"/>
              </w:rPr>
              <w:t>Gross margin % – pre-owned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2380" w:type="dxa"/>
            <w:vAlign w:val="bottom"/>
          </w:tcPr>
          <w:p>
            <w:pPr>
              <w:ind w:left="280"/>
              <w:spacing w:after="0"/>
              <w:rPr>
                <w:sz w:val="20"/>
                <w:szCs w:val="20"/>
                <w:color w:val="auto"/>
              </w:rPr>
            </w:pPr>
            <w:r>
              <w:rPr>
                <w:rFonts w:ascii="Arial" w:cs="Arial" w:eastAsia="Arial" w:hAnsi="Arial"/>
                <w:sz w:val="15"/>
                <w:szCs w:val="15"/>
                <w:color w:val="auto"/>
              </w:rPr>
              <w:t>homes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0"/>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Average selling price – pre-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2"/>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owned homes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40,636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35,998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4,638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12.9 %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38,548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33,518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5,030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15.0 %</w:t>
            </w:r>
          </w:p>
        </w:tc>
      </w:tr>
      <w:tr>
        <w:trPr>
          <w:trHeight w:val="270"/>
        </w:trPr>
        <w:tc>
          <w:tcPr>
            <w:tcW w:w="2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 home sales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2380" w:type="dxa"/>
            <w:vAlign w:val="bottom"/>
          </w:tcPr>
          <w:p>
            <w:pPr>
              <w:ind w:left="40"/>
              <w:spacing w:after="0"/>
              <w:rPr>
                <w:sz w:val="20"/>
                <w:szCs w:val="20"/>
                <w:color w:val="auto"/>
              </w:rPr>
            </w:pPr>
            <w:r>
              <w:rPr>
                <w:rFonts w:ascii="Arial" w:cs="Arial" w:eastAsia="Arial" w:hAnsi="Arial"/>
                <w:sz w:val="15"/>
                <w:szCs w:val="15"/>
                <w:color w:val="auto"/>
              </w:rPr>
              <w:t>Revenue from home sales</w:t>
            </w:r>
          </w:p>
        </w:tc>
        <w:tc>
          <w:tcPr>
            <w:tcW w:w="140" w:type="dxa"/>
            <w:vAlign w:val="bottom"/>
          </w:tcPr>
          <w:p>
            <w:pPr>
              <w:spacing w:after="0"/>
              <w:rPr>
                <w:sz w:val="23"/>
                <w:szCs w:val="23"/>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49,805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83"/>
              <w:spacing w:after="0"/>
              <w:rPr>
                <w:sz w:val="20"/>
                <w:szCs w:val="20"/>
                <w:color w:val="auto"/>
              </w:rPr>
            </w:pPr>
            <w:r>
              <w:rPr>
                <w:rFonts w:ascii="Arial" w:cs="Arial" w:eastAsia="Arial" w:hAnsi="Arial"/>
                <w:sz w:val="15"/>
                <w:szCs w:val="15"/>
                <w:color w:val="auto"/>
              </w:rPr>
              <w:t>46,131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3,674</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8.0 %</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136,665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122,248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83"/>
              <w:spacing w:after="0"/>
              <w:rPr>
                <w:sz w:val="20"/>
                <w:szCs w:val="20"/>
                <w:color w:val="auto"/>
              </w:rPr>
            </w:pPr>
            <w:r>
              <w:rPr>
                <w:rFonts w:ascii="Arial" w:cs="Arial" w:eastAsia="Arial" w:hAnsi="Arial"/>
                <w:sz w:val="15"/>
                <w:szCs w:val="15"/>
                <w:color w:val="auto"/>
              </w:rPr>
              <w:t>14,417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11.8 %</w:t>
            </w: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Cost of home sales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36,318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33,692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2,626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100,030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91,195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8,835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9.7 %</w:t>
            </w:r>
          </w:p>
        </w:tc>
      </w:tr>
      <w:tr>
        <w:trPr>
          <w:trHeight w:val="281"/>
        </w:trPr>
        <w:tc>
          <w:tcPr>
            <w:tcW w:w="23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w w:val="98"/>
              </w:rPr>
              <w:t>NOI / Gross Profit – home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13,487</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12,439</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1,048</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8.4 %</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36,635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31,053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5,582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18.0 %</w:t>
            </w:r>
          </w:p>
        </w:tc>
      </w:tr>
      <w:tr>
        <w:trPr>
          <w:trHeight w:val="278"/>
        </w:trPr>
        <w:tc>
          <w:tcPr>
            <w:tcW w:w="2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6"/>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Statistical Information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23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 sales volume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11.7 %</w:t>
            </w:r>
          </w:p>
        </w:tc>
      </w:tr>
      <w:tr>
        <w:trPr>
          <w:trHeight w:val="266"/>
        </w:trPr>
        <w:tc>
          <w:tcPr>
            <w:tcW w:w="23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Pre-owned home sales volume</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739</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825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(86)</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(10.4)%</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2,200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2,365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(7.0)%</w:t>
            </w:r>
          </w:p>
        </w:tc>
      </w:tr>
      <w:tr>
        <w:trPr>
          <w:trHeight w:val="241"/>
        </w:trPr>
        <w:tc>
          <w:tcPr>
            <w:tcW w:w="2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home sales volume</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2,631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2,751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0"/>
        </w:trPr>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117"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color w:val="auto"/>
        </w:rPr>
        <w:t>For the three months ended September 30, 2019, the $0.9 million, or 39.9 percent increase in gross profit is primarily the result of a 14.4 percent increase in new home sales volume coupled with a 5.2 percent increase in the average selling price, as compared to the same period in 2018.</w:t>
      </w:r>
    </w:p>
    <w:p>
      <w:pPr>
        <w:spacing w:after="0" w:line="38"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color w:val="auto"/>
        </w:rPr>
        <w:t>For the nine months ended September 30, 2019, the $1.3 million or 22.9 percent increase in gross profit is primarily the result of a 11.7 percent increase in new home sales volume coupled with a 8.1 percent increase in the average selling price, as compared to the same period in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117"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color w:val="auto"/>
        </w:rPr>
        <w:t>For the three months ended September 30, 2019, the $0.2 million, or 1.8 percent increase in gross profit is primarily the result of a 12.9 percent increase in the average selling price, which is partially offset by a 10.4 percent decrease in pre-owned home sales volume, as compared to the same period in 2018.</w:t>
      </w:r>
    </w:p>
    <w:p>
      <w:pPr>
        <w:spacing w:after="0" w:line="16"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color w:val="auto"/>
        </w:rPr>
        <w:t>For the nine months ended September 30, 2019, the $4.3 million or 16.8 percent increase is primarily the result of a 15.0 percent increase in the average selling price, which is partially offset by a 7.0 percent decrease in pre-owned home sales volume, as compared to the same period in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and nine months ended September 30, 2019 and 2018 (in thousands, except for statistical information):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b w:val="1"/>
                <w:bCs w:val="1"/>
                <w:color w:val="auto"/>
                <w:w w:val="97"/>
              </w:rPr>
              <w:t>Nine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9"/>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0"/>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3"/>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266"/>
        </w:trPr>
        <w:tc>
          <w:tcPr>
            <w:tcW w:w="246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4"/>
        </w:trPr>
        <w:tc>
          <w:tcPr>
            <w:tcW w:w="24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2460" w:type="dxa"/>
            <w:vAlign w:val="bottom"/>
          </w:tcPr>
          <w:p>
            <w:pPr>
              <w:ind w:left="280"/>
              <w:spacing w:after="0"/>
              <w:rPr>
                <w:sz w:val="20"/>
                <w:szCs w:val="20"/>
                <w:color w:val="auto"/>
              </w:rPr>
            </w:pPr>
            <w:r>
              <w:rPr>
                <w:rFonts w:ascii="Arial" w:cs="Arial" w:eastAsia="Arial" w:hAnsi="Arial"/>
                <w:sz w:val="15"/>
                <w:szCs w:val="15"/>
                <w:color w:val="auto"/>
              </w:rPr>
              <w:t>Rental home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14,444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13,589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855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6.3 %</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42,827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39,957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2,870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7.2 %</w:t>
            </w:r>
          </w:p>
        </w:tc>
      </w:tr>
      <w:tr>
        <w:trPr>
          <w:trHeight w:val="274"/>
        </w:trPr>
        <w:tc>
          <w:tcPr>
            <w:tcW w:w="246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w w:val="96"/>
              </w:rPr>
              <w:t xml:space="preserve">Site rent from Rental Program </w:t>
            </w:r>
            <w:r>
              <w:rPr>
                <w:rFonts w:ascii="Arial" w:cs="Arial" w:eastAsia="Arial" w:hAnsi="Arial"/>
                <w:sz w:val="25"/>
                <w:szCs w:val="25"/>
                <w:color w:val="auto"/>
                <w:w w:val="96"/>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17,270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16,397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51,326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49,245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4.2 %</w:t>
            </w:r>
          </w:p>
        </w:tc>
      </w:tr>
      <w:tr>
        <w:trPr>
          <w:trHeight w:val="246"/>
        </w:trPr>
        <w:tc>
          <w:tcPr>
            <w:tcW w:w="2460" w:type="dxa"/>
            <w:vAlign w:val="bottom"/>
          </w:tcPr>
          <w:p>
            <w:pPr>
              <w:ind w:left="280"/>
              <w:spacing w:after="0"/>
              <w:rPr>
                <w:sz w:val="20"/>
                <w:szCs w:val="20"/>
                <w:color w:val="auto"/>
              </w:rPr>
            </w:pPr>
            <w:r>
              <w:rPr>
                <w:rFonts w:ascii="Arial" w:cs="Arial" w:eastAsia="Arial" w:hAnsi="Arial"/>
                <w:sz w:val="15"/>
                <w:szCs w:val="15"/>
                <w:color w:val="auto"/>
              </w:rPr>
              <w:t>Rental Program revenue</w:t>
            </w:r>
          </w:p>
        </w:tc>
        <w:tc>
          <w:tcPr>
            <w:tcW w:w="120" w:type="dxa"/>
            <w:vAlign w:val="bottom"/>
          </w:tcPr>
          <w:p>
            <w:pPr>
              <w:spacing w:after="0"/>
              <w:rPr>
                <w:sz w:val="21"/>
                <w:szCs w:val="21"/>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31,714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29,986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1,728</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5.8 %</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94,153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89,202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4,951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5.6 %</w:t>
            </w:r>
          </w:p>
        </w:tc>
      </w:tr>
      <w:tr>
        <w:trPr>
          <w:trHeight w:val="274"/>
        </w:trPr>
        <w:tc>
          <w:tcPr>
            <w:tcW w:w="24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Expenses</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2460" w:type="dxa"/>
            <w:vAlign w:val="bottom"/>
          </w:tcPr>
          <w:p>
            <w:pPr>
              <w:ind w:left="280"/>
              <w:spacing w:after="0"/>
              <w:rPr>
                <w:sz w:val="20"/>
                <w:szCs w:val="20"/>
                <w:color w:val="auto"/>
              </w:rPr>
            </w:pPr>
            <w:r>
              <w:rPr>
                <w:rFonts w:ascii="Arial" w:cs="Arial" w:eastAsia="Arial" w:hAnsi="Arial"/>
                <w:sz w:val="15"/>
                <w:szCs w:val="15"/>
                <w:color w:val="auto"/>
              </w:rPr>
              <w:t>Repairs and refurbishment</w:t>
            </w: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3,644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2,818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826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29.3 %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8,751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7,339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1,412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19.2 %</w:t>
            </w:r>
          </w:p>
        </w:tc>
      </w:tr>
      <w:tr>
        <w:trPr>
          <w:trHeight w:val="274"/>
        </w:trPr>
        <w:tc>
          <w:tcPr>
            <w:tcW w:w="2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Taxes and insurance</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21.8 %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5,631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19.6 %</w:t>
            </w:r>
          </w:p>
        </w:tc>
      </w:tr>
      <w:tr>
        <w:trPr>
          <w:trHeight w:val="266"/>
        </w:trPr>
        <w:tc>
          <w:tcPr>
            <w:tcW w:w="24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1,825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(1,401)</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(76.8)%</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1,505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4,731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(68.2)%</w:t>
            </w:r>
          </w:p>
        </w:tc>
      </w:tr>
      <w:tr>
        <w:trPr>
          <w:trHeight w:val="160"/>
        </w:trPr>
        <w:tc>
          <w:tcPr>
            <w:tcW w:w="246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rPr>
              <w:t>Rental Program operating and</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8"/>
        </w:trPr>
        <w:tc>
          <w:tcPr>
            <w:tcW w:w="24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maintenance</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6,008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6,236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15,887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16,778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281"/>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Rental Program 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25,706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23,750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1,956</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8.2 %</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78,266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72,424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5,842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8.1 %</w:t>
            </w:r>
          </w:p>
        </w:tc>
      </w:tr>
      <w:tr>
        <w:trPr>
          <w:trHeight w:val="278"/>
        </w:trPr>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6"/>
        </w:trPr>
        <w:tc>
          <w:tcPr>
            <w:tcW w:w="246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24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sold rental homes</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266"/>
        </w:trPr>
        <w:tc>
          <w:tcPr>
            <w:tcW w:w="3800" w:type="dxa"/>
            <w:vAlign w:val="bottom"/>
            <w:gridSpan w:val="4"/>
          </w:tcPr>
          <w:p>
            <w:pPr>
              <w:ind w:left="40"/>
              <w:spacing w:after="0"/>
              <w:rPr>
                <w:sz w:val="20"/>
                <w:szCs w:val="20"/>
                <w:color w:val="auto"/>
              </w:rPr>
            </w:pPr>
            <w:r>
              <w:rPr>
                <w:rFonts w:ascii="Arial" w:cs="Arial" w:eastAsia="Arial" w:hAnsi="Arial"/>
                <w:sz w:val="15"/>
                <w:szCs w:val="15"/>
                <w:color w:val="auto"/>
              </w:rPr>
              <w:t>Number of occupied rentals, end of period</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11,170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10,913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257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2.4 %</w:t>
            </w:r>
          </w:p>
        </w:tc>
      </w:tr>
      <w:tr>
        <w:trPr>
          <w:trHeight w:val="274"/>
        </w:trPr>
        <w:tc>
          <w:tcPr>
            <w:tcW w:w="380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Investment in occupied rental homes, end of period</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570,053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517,321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52,732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10.2 %</w:t>
            </w:r>
          </w:p>
        </w:tc>
      </w:tr>
      <w:tr>
        <w:trPr>
          <w:trHeight w:val="262"/>
        </w:trPr>
        <w:tc>
          <w:tcPr>
            <w:tcW w:w="3800" w:type="dxa"/>
            <w:vAlign w:val="bottom"/>
            <w:gridSpan w:val="4"/>
          </w:tcPr>
          <w:p>
            <w:pPr>
              <w:ind w:left="40"/>
              <w:spacing w:after="0"/>
              <w:rPr>
                <w:sz w:val="20"/>
                <w:szCs w:val="20"/>
                <w:color w:val="auto"/>
              </w:rPr>
            </w:pPr>
            <w:r>
              <w:rPr>
                <w:rFonts w:ascii="Arial" w:cs="Arial" w:eastAsia="Arial" w:hAnsi="Arial"/>
                <w:sz w:val="15"/>
                <w:szCs w:val="15"/>
                <w:color w:val="auto"/>
              </w:rPr>
              <w:t>Weighted average monthly rental rate, end of period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940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47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5.0 %</w:t>
            </w:r>
          </w:p>
        </w:tc>
      </w:tr>
    </w:tbl>
    <w:p>
      <w:pPr>
        <w:spacing w:after="0" w:line="214" w:lineRule="exact"/>
        <w:rPr>
          <w:sz w:val="20"/>
          <w:szCs w:val="20"/>
          <w:color w:val="auto"/>
        </w:rPr>
      </w:pPr>
    </w:p>
    <w:p>
      <w:pPr>
        <w:jc w:val="both"/>
        <w:ind w:left="260" w:hanging="252"/>
        <w:spacing w:after="0" w:line="239" w:lineRule="auto"/>
        <w:tabs>
          <w:tab w:leader="none" w:pos="251"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the Company’s operations.</w:t>
      </w:r>
    </w:p>
    <w:p>
      <w:pPr>
        <w:spacing w:after="0" w:line="3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Rental Program NOI increased $2.0 million, or 8.2 percent for the three months ended September 30, 2019 as compared to the same period in 2018. The increase is due to an increase in Rental Program revenue of 5.8 percent, or $1.7 million, which is primarily attributable to a 5.0 percent increase in the weighted average monthly rental rate, coupled with a decrease of $0.2 million in expenses.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Rental Program NOI increased $5.8 million, or 8.1 percent for the nine months ended September 30, 2019 as compared to the same period in 2018. The increase is primarily due to an increase in Rental Program revenue of 5.6 percent, or $5.0 million, and a decrease in expenses of 5.3 percent, or $0.9 million. The increase in revenue is partially attributable to a 5.0 percent increase in the weighted average monthly rental rate and a slight increase in the number of occupied rentals. The decrease in operating and maintenance expenses of $0.9 million is primarily the result of commission expenses being capitalized under ASC 842 in the nine months ended September 30, 2019 as compared to the same period in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other income and expenses for the three and nine months ended September 30, 2019 and 2018 (amounts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Three Months Ended</w:t>
            </w: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rPr>
              <w:t>Nine Months Ended</w:t>
            </w:r>
          </w:p>
        </w:tc>
        <w:tc>
          <w:tcPr>
            <w:tcW w:w="900" w:type="dxa"/>
            <w:vAlign w:val="bottom"/>
            <w:tcBorders>
              <w:bottom w:val="single" w:sz="8" w:color="auto"/>
            </w:tcBorders>
          </w:tcPr>
          <w:p>
            <w:pPr>
              <w:spacing w:after="0"/>
              <w:rPr>
                <w:sz w:val="17"/>
                <w:szCs w:val="17"/>
                <w:color w:val="auto"/>
              </w:rPr>
            </w:pPr>
          </w:p>
        </w:tc>
      </w:tr>
      <w:tr>
        <w:trPr>
          <w:trHeight w:val="169"/>
        </w:trPr>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224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2019</w:t>
            </w: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760" w:type="dxa"/>
            <w:vAlign w:val="bottom"/>
            <w:gridSpan w:val="3"/>
          </w:tcPr>
          <w:p>
            <w:pPr>
              <w:ind w:left="80"/>
              <w:spacing w:after="0"/>
              <w:rPr>
                <w:sz w:val="20"/>
                <w:szCs w:val="20"/>
                <w:color w:val="auto"/>
              </w:rPr>
            </w:pPr>
            <w:r>
              <w:rPr>
                <w:rFonts w:ascii="Arial" w:cs="Arial" w:eastAsia="Arial" w:hAnsi="Arial"/>
                <w:sz w:val="15"/>
                <w:szCs w:val="15"/>
                <w:b w:val="1"/>
                <w:bCs w:val="1"/>
                <w:color w:val="auto"/>
              </w:rPr>
              <w:t>Change</w:t>
            </w: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1120" w:type="dxa"/>
            <w:vAlign w:val="bottom"/>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760" w:type="dxa"/>
            <w:vAlign w:val="bottom"/>
            <w:gridSpan w:val="3"/>
          </w:tcPr>
          <w:p>
            <w:pPr>
              <w:ind w:left="80"/>
              <w:spacing w:after="0"/>
              <w:rPr>
                <w:sz w:val="20"/>
                <w:szCs w:val="20"/>
                <w:color w:val="auto"/>
              </w:rPr>
            </w:pPr>
            <w:r>
              <w:rPr>
                <w:rFonts w:ascii="Arial" w:cs="Arial" w:eastAsia="Arial" w:hAnsi="Arial"/>
                <w:sz w:val="15"/>
                <w:szCs w:val="15"/>
                <w:b w:val="1"/>
                <w:bCs w:val="1"/>
                <w:color w:val="auto"/>
              </w:rPr>
              <w:t>Change</w:t>
            </w:r>
          </w:p>
        </w:tc>
        <w:tc>
          <w:tcPr>
            <w:tcW w:w="900" w:type="dxa"/>
            <w:vAlign w:val="bottom"/>
          </w:tcPr>
          <w:p>
            <w:pPr>
              <w:jc w:val="right"/>
              <w:ind w:right="23"/>
              <w:spacing w:after="0"/>
              <w:rPr>
                <w:sz w:val="20"/>
                <w:szCs w:val="20"/>
                <w:color w:val="auto"/>
              </w:rPr>
            </w:pPr>
            <w:r>
              <w:rPr>
                <w:rFonts w:ascii="Arial" w:cs="Arial" w:eastAsia="Arial" w:hAnsi="Arial"/>
                <w:sz w:val="15"/>
                <w:szCs w:val="15"/>
                <w:b w:val="1"/>
                <w:bCs w:val="1"/>
                <w:color w:val="auto"/>
              </w:rPr>
              <w:t>% Change</w:t>
            </w:r>
          </w:p>
        </w:tc>
      </w:tr>
      <w:tr>
        <w:trPr>
          <w:trHeight w:val="254"/>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Ancillary revenues, net</w:t>
            </w: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13,292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12,247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1,045</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19,458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17,222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2,236</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13.0 %</w:t>
            </w:r>
          </w:p>
        </w:tc>
      </w:tr>
      <w:tr>
        <w:trPr>
          <w:trHeight w:val="266"/>
        </w:trPr>
        <w:tc>
          <w:tcPr>
            <w:tcW w:w="2240" w:type="dxa"/>
            <w:vAlign w:val="bottom"/>
          </w:tcPr>
          <w:p>
            <w:pPr>
              <w:ind w:left="40"/>
              <w:spacing w:after="0"/>
              <w:rPr>
                <w:sz w:val="20"/>
                <w:szCs w:val="20"/>
                <w:color w:val="auto"/>
              </w:rPr>
            </w:pPr>
            <w:r>
              <w:rPr>
                <w:rFonts w:ascii="Arial" w:cs="Arial" w:eastAsia="Arial" w:hAnsi="Arial"/>
                <w:sz w:val="15"/>
                <w:szCs w:val="15"/>
                <w:color w:val="auto"/>
              </w:rPr>
              <w:t>Interest income</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4,770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5,256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(486)</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(9.2)%</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14,489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15,849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6"/>
              </w:rPr>
              <w:t>(1,360)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80"/>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Brokerage commissions and other</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revenues, net</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3,780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309.3 %</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11,190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264.1 %</w:t>
            </w:r>
          </w:p>
        </w:tc>
      </w:tr>
      <w:tr>
        <w:trPr>
          <w:trHeight w:val="266"/>
        </w:trPr>
        <w:tc>
          <w:tcPr>
            <w:tcW w:w="2240" w:type="dxa"/>
            <w:vAlign w:val="bottom"/>
          </w:tcPr>
          <w:p>
            <w:pPr>
              <w:ind w:left="40"/>
              <w:spacing w:after="0"/>
              <w:rPr>
                <w:sz w:val="20"/>
                <w:szCs w:val="20"/>
                <w:color w:val="auto"/>
              </w:rPr>
            </w:pPr>
            <w:r>
              <w:rPr>
                <w:rFonts w:ascii="Arial" w:cs="Arial" w:eastAsia="Arial" w:hAnsi="Arial"/>
                <w:sz w:val="15"/>
                <w:szCs w:val="15"/>
                <w:color w:val="auto"/>
              </w:rPr>
              <w:t>Home selling expenses</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3,988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4,043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10,938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11,319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0"/>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expenses</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3,212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68,559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60,972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7,587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12.4 %</w:t>
            </w:r>
          </w:p>
        </w:tc>
      </w:tr>
      <w:tr>
        <w:trPr>
          <w:trHeight w:val="176"/>
        </w:trPr>
        <w:tc>
          <w:tcPr>
            <w:tcW w:w="2240" w:type="dxa"/>
            <w:vAlign w:val="bottom"/>
          </w:tcPr>
          <w:p>
            <w:pPr>
              <w:ind w:left="40"/>
              <w:spacing w:after="0"/>
              <w:rPr>
                <w:sz w:val="20"/>
                <w:szCs w:val="20"/>
                <w:color w:val="auto"/>
              </w:rPr>
            </w:pPr>
            <w:r>
              <w:rPr>
                <w:rFonts w:ascii="Arial" w:cs="Arial" w:eastAsia="Arial" w:hAnsi="Arial"/>
                <w:sz w:val="15"/>
                <w:szCs w:val="15"/>
                <w:color w:val="auto"/>
              </w:rPr>
              <w:t>Catastrophic weather related</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240" w:type="dxa"/>
            <w:vAlign w:val="bottom"/>
          </w:tcPr>
          <w:p>
            <w:pPr>
              <w:ind w:left="40"/>
              <w:spacing w:after="0"/>
              <w:rPr>
                <w:sz w:val="20"/>
                <w:szCs w:val="20"/>
                <w:color w:val="auto"/>
              </w:rPr>
            </w:pPr>
            <w:r>
              <w:rPr>
                <w:rFonts w:ascii="Arial" w:cs="Arial" w:eastAsia="Arial" w:hAnsi="Arial"/>
                <w:sz w:val="15"/>
                <w:szCs w:val="15"/>
                <w:color w:val="auto"/>
              </w:rPr>
              <w:t>charges, net</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97.1 %</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(1,987)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3,289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(165.5)%</w:t>
            </w:r>
          </w:p>
        </w:tc>
      </w:tr>
      <w:tr>
        <w:trPr>
          <w:trHeight w:val="274"/>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76,532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71,982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229,241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206,192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1"/>
              </w:rPr>
              <w:t>23,049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r>
      <w:tr>
        <w:trPr>
          <w:trHeight w:val="266"/>
        </w:trPr>
        <w:tc>
          <w:tcPr>
            <w:tcW w:w="2240" w:type="dxa"/>
            <w:vAlign w:val="bottom"/>
          </w:tcPr>
          <w:p>
            <w:pPr>
              <w:ind w:left="40"/>
              <w:spacing w:after="0"/>
              <w:rPr>
                <w:sz w:val="20"/>
                <w:szCs w:val="20"/>
                <w:color w:val="auto"/>
              </w:rPr>
            </w:pPr>
            <w:r>
              <w:rPr>
                <w:rFonts w:ascii="Arial" w:cs="Arial" w:eastAsia="Arial" w:hAnsi="Arial"/>
                <w:sz w:val="15"/>
                <w:szCs w:val="15"/>
                <w:color w:val="auto"/>
              </w:rPr>
              <w:t>Loss on extinguishment of debt</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12,755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528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w w:val="91"/>
              </w:rPr>
              <w:t>12,227</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2,315.7 %</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13,478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1,255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w w:val="91"/>
              </w:rPr>
              <w:t>12,223</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973.9 %</w:t>
            </w:r>
          </w:p>
        </w:tc>
      </w:tr>
      <w:tr>
        <w:trPr>
          <w:trHeight w:val="274"/>
        </w:trPr>
        <w:tc>
          <w:tcPr>
            <w:tcW w:w="224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5"/>
                <w:szCs w:val="25"/>
                <w:color w:val="auto"/>
                <w:vertAlign w:val="superscript"/>
              </w:rPr>
              <w:t>(1)</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33,435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35,074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(1,639)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103,385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100,872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2,513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r>
      <w:tr>
        <w:trPr>
          <w:trHeight w:val="176"/>
        </w:trPr>
        <w:tc>
          <w:tcPr>
            <w:tcW w:w="2240" w:type="dxa"/>
            <w:vAlign w:val="bottom"/>
          </w:tcPr>
          <w:p>
            <w:pPr>
              <w:ind w:left="40"/>
              <w:spacing w:after="0"/>
              <w:rPr>
                <w:sz w:val="20"/>
                <w:szCs w:val="20"/>
                <w:color w:val="auto"/>
              </w:rPr>
            </w:pPr>
            <w:r>
              <w:rPr>
                <w:rFonts w:ascii="Arial" w:cs="Arial" w:eastAsia="Arial" w:hAnsi="Arial"/>
                <w:sz w:val="15"/>
                <w:szCs w:val="15"/>
                <w:color w:val="auto"/>
              </w:rPr>
              <w:t>Remeasurement of marketable</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240" w:type="dxa"/>
            <w:vAlign w:val="bottom"/>
          </w:tcPr>
          <w:p>
            <w:pPr>
              <w:ind w:left="40"/>
              <w:spacing w:after="0"/>
              <w:rPr>
                <w:sz w:val="20"/>
                <w:szCs w:val="20"/>
                <w:color w:val="auto"/>
              </w:rPr>
            </w:pPr>
            <w:r>
              <w:rPr>
                <w:rFonts w:ascii="Arial" w:cs="Arial" w:eastAsia="Arial" w:hAnsi="Arial"/>
                <w:sz w:val="15"/>
                <w:szCs w:val="15"/>
                <w:color w:val="auto"/>
              </w:rPr>
              <w:t>securities</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12,661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w w:val="91"/>
              </w:rPr>
              <w:t>12,661</w:t>
            </w:r>
          </w:p>
        </w:tc>
        <w:tc>
          <w:tcPr>
            <w:tcW w:w="100" w:type="dxa"/>
            <w:vAlign w:val="bottom"/>
          </w:tcPr>
          <w:p>
            <w:pPr>
              <w:spacing w:after="0"/>
              <w:rPr>
                <w:sz w:val="17"/>
                <w:szCs w:val="17"/>
                <w:color w:val="auto"/>
              </w:rPr>
            </w:pPr>
          </w:p>
        </w:tc>
        <w:tc>
          <w:tcPr>
            <w:tcW w:w="12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16,548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w w:val="91"/>
              </w:rPr>
              <w:t>16,548</w:t>
            </w:r>
          </w:p>
        </w:tc>
        <w:tc>
          <w:tcPr>
            <w:tcW w:w="100" w:type="dxa"/>
            <w:vAlign w:val="bottom"/>
          </w:tcPr>
          <w:p>
            <w:pPr>
              <w:spacing w:after="0"/>
              <w:rPr>
                <w:sz w:val="17"/>
                <w:szCs w:val="17"/>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N/A</w:t>
            </w:r>
          </w:p>
        </w:tc>
      </w:tr>
      <w:tr>
        <w:trPr>
          <w:trHeight w:val="274"/>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 (expense), net</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(5,639)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1,725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w:t>
            </w:r>
          </w:p>
        </w:tc>
      </w:tr>
      <w:tr>
        <w:trPr>
          <w:trHeight w:val="176"/>
        </w:trPr>
        <w:tc>
          <w:tcPr>
            <w:tcW w:w="2240" w:type="dxa"/>
            <w:vAlign w:val="bottom"/>
          </w:tcPr>
          <w:p>
            <w:pPr>
              <w:ind w:left="40"/>
              <w:spacing w:after="0"/>
              <w:rPr>
                <w:sz w:val="20"/>
                <w:szCs w:val="20"/>
                <w:color w:val="auto"/>
              </w:rPr>
            </w:pPr>
            <w:r>
              <w:rPr>
                <w:rFonts w:ascii="Arial" w:cs="Arial" w:eastAsia="Arial" w:hAnsi="Arial"/>
                <w:sz w:val="15"/>
                <w:szCs w:val="15"/>
                <w:color w:val="auto"/>
              </w:rPr>
              <w:t>Income from nonconsolidated</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240" w:type="dxa"/>
            <w:vAlign w:val="bottom"/>
          </w:tcPr>
          <w:p>
            <w:pPr>
              <w:ind w:left="40"/>
              <w:spacing w:after="0"/>
              <w:rPr>
                <w:sz w:val="20"/>
                <w:szCs w:val="20"/>
                <w:color w:val="auto"/>
              </w:rPr>
            </w:pPr>
            <w:r>
              <w:rPr>
                <w:rFonts w:ascii="Arial" w:cs="Arial" w:eastAsia="Arial" w:hAnsi="Arial"/>
                <w:sz w:val="15"/>
                <w:szCs w:val="15"/>
                <w:color w:val="auto"/>
              </w:rPr>
              <w:t>affiliates</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814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755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1,279.7 %</w:t>
            </w:r>
          </w:p>
        </w:tc>
      </w:tr>
      <w:tr>
        <w:trPr>
          <w:trHeight w:val="274"/>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tax expense</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48.0 %</w:t>
            </w:r>
          </w:p>
        </w:tc>
      </w:tr>
      <w:tr>
        <w:trPr>
          <w:trHeight w:val="266"/>
        </w:trPr>
        <w:tc>
          <w:tcPr>
            <w:tcW w:w="2240" w:type="dxa"/>
            <w:vAlign w:val="bottom"/>
          </w:tcPr>
          <w:p>
            <w:pPr>
              <w:ind w:left="40"/>
              <w:spacing w:after="0"/>
              <w:rPr>
                <w:sz w:val="20"/>
                <w:szCs w:val="20"/>
                <w:color w:val="auto"/>
              </w:rPr>
            </w:pPr>
            <w:r>
              <w:rPr>
                <w:rFonts w:ascii="Arial" w:cs="Arial" w:eastAsia="Arial" w:hAnsi="Arial"/>
                <w:sz w:val="15"/>
                <w:szCs w:val="15"/>
                <w:color w:val="auto"/>
              </w:rPr>
              <w:t>Deferred tax benefit / (expense)</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(275.4)%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(470)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(108.3)%</w:t>
            </w:r>
          </w:p>
        </w:tc>
      </w:tr>
      <w:tr>
        <w:trPr>
          <w:trHeight w:val="180"/>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return to preferred OP</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units / equity</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38.8 %</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1,305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39.1 %</w:t>
            </w:r>
          </w:p>
        </w:tc>
      </w:tr>
      <w:tr>
        <w:trPr>
          <w:trHeight w:val="176"/>
        </w:trPr>
        <w:tc>
          <w:tcPr>
            <w:tcW w:w="2240" w:type="dxa"/>
            <w:vAlign w:val="bottom"/>
          </w:tcPr>
          <w:p>
            <w:pPr>
              <w:ind w:left="40"/>
              <w:spacing w:after="0"/>
              <w:rPr>
                <w:sz w:val="20"/>
                <w:szCs w:val="20"/>
                <w:color w:val="auto"/>
              </w:rPr>
            </w:pPr>
            <w:r>
              <w:rPr>
                <w:rFonts w:ascii="Arial" w:cs="Arial" w:eastAsia="Arial" w:hAnsi="Arial"/>
                <w:sz w:val="15"/>
                <w:szCs w:val="15"/>
                <w:color w:val="auto"/>
              </w:rPr>
              <w:t>Amounts attributable to</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240" w:type="dxa"/>
            <w:vAlign w:val="bottom"/>
          </w:tcPr>
          <w:p>
            <w:pPr>
              <w:ind w:left="40"/>
              <w:spacing w:after="0"/>
              <w:rPr>
                <w:sz w:val="20"/>
                <w:szCs w:val="20"/>
                <w:color w:val="auto"/>
              </w:rPr>
            </w:pPr>
            <w:r>
              <w:rPr>
                <w:rFonts w:ascii="Arial" w:cs="Arial" w:eastAsia="Arial" w:hAnsi="Arial"/>
                <w:sz w:val="15"/>
                <w:szCs w:val="15"/>
                <w:color w:val="auto"/>
              </w:rPr>
              <w:t>noncontrolling interests</w:t>
            </w:r>
          </w:p>
        </w:tc>
        <w:tc>
          <w:tcPr>
            <w:tcW w:w="480" w:type="dxa"/>
            <w:vAlign w:val="bottom"/>
          </w:tcPr>
          <w:p>
            <w:pPr>
              <w:ind w:lef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5,422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4,071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1,351</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33.2 %</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9,048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8,392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656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7.8 %</w:t>
            </w:r>
          </w:p>
        </w:tc>
      </w:tr>
      <w:tr>
        <w:trPr>
          <w:trHeight w:val="274"/>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stock distribution</w:t>
            </w:r>
          </w:p>
        </w:tc>
        <w:tc>
          <w:tcPr>
            <w:tcW w:w="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bl>
    <w:p>
      <w:pPr>
        <w:spacing w:after="0" w:line="179"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7"/>
          <w:szCs w:val="17"/>
          <w:color w:val="auto"/>
          <w:vertAlign w:val="superscript"/>
        </w:rPr>
      </w:pPr>
      <w:r>
        <w:rPr>
          <w:rFonts w:ascii="Arial" w:cs="Arial" w:eastAsia="Arial" w:hAnsi="Arial"/>
          <w:sz w:val="17"/>
          <w:szCs w:val="17"/>
          <w:color w:val="auto"/>
          <w:vertAlign w:val="superscript"/>
        </w:rPr>
        <w:t>-</w:t>
      </w:r>
      <w:r>
        <w:rPr>
          <w:rFonts w:ascii="Arial" w:cs="Arial" w:eastAsia="Arial" w:hAnsi="Arial"/>
          <w:sz w:val="13"/>
          <w:szCs w:val="13"/>
          <w:color w:val="auto"/>
        </w:rPr>
        <w:t xml:space="preserve"> Includes interest expense and interest on mandatorily redeemable preferred OP units / equity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Ancillary revenues, net - </w:t>
      </w:r>
      <w:r>
        <w:rPr>
          <w:rFonts w:ascii="Arial" w:cs="Arial" w:eastAsia="Arial" w:hAnsi="Arial"/>
          <w:sz w:val="18"/>
          <w:szCs w:val="18"/>
          <w:color w:val="auto"/>
        </w:rPr>
        <w:t>for the three and nine months ended September 30, 2019, increased primarily due to increases in golf course, restaurant, and resort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revenues as compared to the same period in 2018.</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Brokerage commissions and other revenues, net - </w:t>
      </w:r>
      <w:r>
        <w:rPr>
          <w:rFonts w:ascii="Arial" w:cs="Arial" w:eastAsia="Arial" w:hAnsi="Arial"/>
          <w:sz w:val="16"/>
          <w:szCs w:val="16"/>
          <w:color w:val="auto"/>
        </w:rPr>
        <w:t>for the three months ended September 30, 2019, increased primarily due to a $0.9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brokerage commissions and a $0.9 million increase in dividend income from our investment in marketable securities as compared to the same period in 2018. For the nine months ended September 30, 2019, increased primarily due to a $2.4 million increase in brokerage commissions, a $1.2 million decrease in loan loss reserve estimates and a $1.8 million increase in dividend income from our investment in marketable securities, as compared to the same period in 2018.</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and nine months ended September 30, 2019, increased primarily due to an increase in wages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incentives driven by growth in acquisitions and the Company’s performance as compared to the same periods in 2018.</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Catastrophic weather related charges, net - </w:t>
      </w:r>
      <w:r>
        <w:rPr>
          <w:rFonts w:ascii="Arial" w:cs="Arial" w:eastAsia="Arial" w:hAnsi="Arial"/>
          <w:sz w:val="16"/>
          <w:szCs w:val="16"/>
          <w:color w:val="auto"/>
        </w:rPr>
        <w:t>for the nine months ended September 30, 2019, was favorable due to a $2.2 million adjustment of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recovery estimates, related to our Florida Keys communities in 2018 compared to estimated damage losses for recent weather events of $1.3 million in 2019.</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 </w:t>
      </w:r>
      <w:r>
        <w:rPr>
          <w:rFonts w:ascii="Arial" w:cs="Arial" w:eastAsia="Arial" w:hAnsi="Arial"/>
          <w:sz w:val="18"/>
          <w:szCs w:val="18"/>
          <w:color w:val="auto"/>
        </w:rPr>
        <w:t>for the nine months ended September 30, 2019, increased as a result of our recent property acquisitions and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and development activities. Refer to Note 3, “Real Estate Acquisitions” of our accompanying Consolidated Financial Statements for additional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three and nine months ended September 30, 2019, increased primarily due to higher prepayment penalties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financing activity as compared to 2018. Refer to Note 9, “Debt and Lines of Credit” of our accompanying Consolidated Financial Statements for additional information.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Remeasurement of marketable securities - </w:t>
      </w:r>
      <w:r>
        <w:rPr>
          <w:rFonts w:ascii="Arial" w:cs="Arial" w:eastAsia="Arial" w:hAnsi="Arial"/>
          <w:sz w:val="18"/>
          <w:szCs w:val="18"/>
          <w:color w:val="auto"/>
        </w:rPr>
        <w:t>for the three and nine months ended September 30, 2019, was $12.7 million and $16.5 million remeasurement gain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investment in marketable securities. Refer to Note 15, “Fair Value of Financial Instruments,” in our accompanying Consolidated Financial Statements for additional information.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 (expense), net - </w:t>
      </w:r>
      <w:r>
        <w:rPr>
          <w:rFonts w:ascii="Arial" w:cs="Arial" w:eastAsia="Arial" w:hAnsi="Arial"/>
          <w:sz w:val="18"/>
          <w:szCs w:val="18"/>
          <w:color w:val="auto"/>
        </w:rPr>
        <w:t>for the three months ended September 30, 2019, was primarily due to a foreign currency translation loss of $3.1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foreign currency translation gain of $1.5 million during the same period in 2018. In the nine months ended September 30, 2019, other income / (expense) was primarily due to a foreign currency translation loss of $0.03 million as compared to a foreign currency translation loss of $2.6 million during the same period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tax expense - </w:t>
      </w:r>
      <w:r>
        <w:rPr>
          <w:rFonts w:ascii="Arial" w:cs="Arial" w:eastAsia="Arial" w:hAnsi="Arial"/>
          <w:sz w:val="18"/>
          <w:szCs w:val="18"/>
          <w:color w:val="auto"/>
        </w:rPr>
        <w:t>Refer to Note 13, “Income Taxes,” of our accompanying Consolidated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Deferred tax benefit / (expense) - </w:t>
      </w:r>
      <w:r>
        <w:rPr>
          <w:rFonts w:ascii="Arial" w:cs="Arial" w:eastAsia="Arial" w:hAnsi="Arial"/>
          <w:sz w:val="17"/>
          <w:szCs w:val="17"/>
          <w:color w:val="auto"/>
        </w:rPr>
        <w:t>Refer to Note 13, “Income Taxes,” of our accompanying Consolidated Financial Statements for additional information.</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Preferred return to preferred OP units / equity - </w:t>
      </w:r>
      <w:r>
        <w:rPr>
          <w:rFonts w:ascii="Arial" w:cs="Arial" w:eastAsia="Arial" w:hAnsi="Arial"/>
          <w:sz w:val="18"/>
          <w:szCs w:val="18"/>
          <w:color w:val="auto"/>
        </w:rPr>
        <w:t>for the three and nine months ended September 30, 2019 increased primarily as a result of issuing 488,958</w:t>
      </w:r>
      <w:r>
        <w:rPr>
          <w:rFonts w:ascii="Arial" w:cs="Arial" w:eastAsia="Arial" w:hAnsi="Arial"/>
          <w:sz w:val="18"/>
          <w:szCs w:val="18"/>
          <w:i w:val="1"/>
          <w:iCs w:val="1"/>
          <w:color w:val="auto"/>
        </w:rPr>
        <w:t xml:space="preserve"> </w:t>
      </w:r>
      <w:r>
        <w:rPr>
          <w:rFonts w:ascii="Arial" w:cs="Arial" w:eastAsia="Arial" w:hAnsi="Arial"/>
          <w:sz w:val="18"/>
          <w:szCs w:val="18"/>
          <w:color w:val="auto"/>
        </w:rPr>
        <w:t>Series D Preferred OP units in conjunction with an acquisition in January 2019. Refer to Note 3, “Acquisitions,” and Note 10, “Equity and Temporary Equity,” of our accompanying Consolidated Financial Statements for additional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Amounts attributable to noncontrolling interests - </w:t>
      </w:r>
      <w:r>
        <w:rPr>
          <w:rFonts w:ascii="Arial" w:cs="Arial" w:eastAsia="Arial" w:hAnsi="Arial"/>
          <w:sz w:val="18"/>
          <w:szCs w:val="18"/>
          <w:color w:val="auto"/>
        </w:rPr>
        <w:t>for the three months ended September 30, 2019 increased primarily as a result of increased performance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Sun NG Resorts portfolio as compared to the same period in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income to FFO data for diluted purposes for the three and nine months ended September 30, 2019 and 2018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9"/>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83"/>
              <w:spacing w:after="0" w:line="169"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2"/>
        </w:trPr>
        <w:tc>
          <w:tcPr>
            <w:tcW w:w="5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54"/>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(loss) attributable to Sun Communities, Inc.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57,002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46,060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131,718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96,454</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76,692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72,269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229,698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206,892</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Remeasurement of marketable securities</w:t>
            </w:r>
          </w:p>
        </w:tc>
        <w:tc>
          <w:tcPr>
            <w:tcW w:w="12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(12,661)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(16,548)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Amounts attributable to noncontrolling interests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4,311</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7,724</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Preferred return to preferred OP units</w:t>
            </w: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549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1,594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1,654</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Preferred distribution to Series A-4 preferred stock</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1,305</w:t>
            </w:r>
          </w:p>
        </w:tc>
        <w:tc>
          <w:tcPr>
            <w:tcW w:w="0" w:type="dxa"/>
            <w:vAlign w:val="bottom"/>
          </w:tcPr>
          <w:p>
            <w:pPr>
              <w:spacing w:after="0"/>
              <w:rPr>
                <w:sz w:val="1"/>
                <w:szCs w:val="1"/>
                <w:color w:val="auto"/>
              </w:rPr>
            </w:pPr>
          </w:p>
        </w:tc>
      </w:tr>
      <w:tr>
        <w:trPr>
          <w:trHeight w:val="266"/>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Gain on disposition of assets, net</w:t>
            </w: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(7,334)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(6,603)</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(21,083)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(16,977)</w:t>
            </w:r>
          </w:p>
        </w:tc>
        <w:tc>
          <w:tcPr>
            <w:tcW w:w="0" w:type="dxa"/>
            <w:vAlign w:val="bottom"/>
          </w:tcPr>
          <w:p>
            <w:pPr>
              <w:spacing w:after="0"/>
              <w:rPr>
                <w:sz w:val="1"/>
                <w:szCs w:val="1"/>
                <w:color w:val="auto"/>
              </w:rPr>
            </w:pPr>
          </w:p>
        </w:tc>
      </w:tr>
      <w:tr>
        <w:trPr>
          <w:trHeight w:val="154"/>
        </w:trPr>
        <w:tc>
          <w:tcPr>
            <w:tcW w:w="5960" w:type="dxa"/>
            <w:vAlign w:val="bottom"/>
            <w:shd w:val="clear" w:color="auto" w:fill="CCEEFF"/>
          </w:tcPr>
          <w:p>
            <w:pPr>
              <w:ind w:left="40"/>
              <w:spacing w:after="0" w:line="154" w:lineRule="exact"/>
              <w:rPr>
                <w:sz w:val="20"/>
                <w:szCs w:val="20"/>
                <w:color w:val="auto"/>
              </w:rPr>
            </w:pPr>
            <w:r>
              <w:rPr>
                <w:rFonts w:ascii="Arial" w:cs="Arial" w:eastAsia="Arial" w:hAnsi="Arial"/>
                <w:sz w:val="15"/>
                <w:szCs w:val="15"/>
                <w:b w:val="1"/>
                <w:bCs w:val="1"/>
                <w:color w:val="auto"/>
                <w:w w:val="92"/>
              </w:rPr>
              <w:t>FFO attributable to Sun Communities, Inc. common stockholders and dilutive convertible</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 xml:space="preserve">securities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119,496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117,018</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334,387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297,052</w:t>
            </w:r>
          </w:p>
        </w:tc>
        <w:tc>
          <w:tcPr>
            <w:tcW w:w="0" w:type="dxa"/>
            <w:vAlign w:val="bottom"/>
          </w:tcPr>
          <w:p>
            <w:pPr>
              <w:spacing w:after="0"/>
              <w:rPr>
                <w:sz w:val="1"/>
                <w:szCs w:val="1"/>
                <w:color w:val="auto"/>
              </w:rPr>
            </w:pPr>
          </w:p>
        </w:tc>
      </w:tr>
      <w:tr>
        <w:trPr>
          <w:trHeight w:val="266"/>
        </w:trPr>
        <w:tc>
          <w:tcPr>
            <w:tcW w:w="596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Other acquisition related costs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781</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12,755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528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13,478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1,255</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line="270" w:lineRule="exact"/>
              <w:rPr>
                <w:sz w:val="20"/>
                <w:szCs w:val="20"/>
                <w:color w:val="auto"/>
              </w:rPr>
            </w:pPr>
            <w:r>
              <w:rPr>
                <w:rFonts w:ascii="Arial" w:cs="Arial" w:eastAsia="Arial" w:hAnsi="Arial"/>
                <w:sz w:val="15"/>
                <w:szCs w:val="15"/>
                <w:color w:val="auto"/>
              </w:rPr>
              <w:t xml:space="preserve">Loss of earnings - catastrophic weather related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(income) / expense, net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4,408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3,214</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Ground lease intangible write-off</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817</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 / expense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150"/>
        </w:trPr>
        <w:tc>
          <w:tcPr>
            <w:tcW w:w="5960" w:type="dxa"/>
            <w:vAlign w:val="bottom"/>
          </w:tcPr>
          <w:p>
            <w:pPr>
              <w:ind w:left="40"/>
              <w:spacing w:after="0" w:line="150" w:lineRule="exact"/>
              <w:rPr>
                <w:sz w:val="20"/>
                <w:szCs w:val="20"/>
                <w:color w:val="auto"/>
              </w:rPr>
            </w:pPr>
            <w:r>
              <w:rPr>
                <w:rFonts w:ascii="Arial" w:cs="Arial" w:eastAsia="Arial" w:hAnsi="Arial"/>
                <w:sz w:val="15"/>
                <w:szCs w:val="15"/>
                <w:b w:val="1"/>
                <w:bCs w:val="1"/>
                <w:color w:val="auto"/>
                <w:w w:val="99"/>
              </w:rPr>
              <w:t>Core FFO attributable to Sun Communities, Inc. common stockholders and dilutive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3"/>
              <w:spacing w:after="0"/>
              <w:rPr>
                <w:sz w:val="20"/>
                <w:szCs w:val="20"/>
                <w:color w:val="auto"/>
              </w:rPr>
            </w:pPr>
            <w:r>
              <w:rPr>
                <w:rFonts w:ascii="Arial" w:cs="Arial" w:eastAsia="Arial" w:hAnsi="Arial"/>
                <w:sz w:val="15"/>
                <w:szCs w:val="15"/>
                <w:color w:val="auto"/>
              </w:rPr>
              <w:t>137,369</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116,959</w:t>
            </w:r>
          </w:p>
        </w:tc>
        <w:tc>
          <w:tcPr>
            <w:tcW w:w="2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351,631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23"/>
              <w:spacing w:after="0"/>
              <w:rPr>
                <w:sz w:val="20"/>
                <w:szCs w:val="20"/>
                <w:color w:val="auto"/>
              </w:rPr>
            </w:pPr>
            <w:r>
              <w:rPr>
                <w:rFonts w:ascii="Arial" w:cs="Arial" w:eastAsia="Arial" w:hAnsi="Arial"/>
                <w:sz w:val="15"/>
                <w:szCs w:val="15"/>
                <w:color w:val="auto"/>
              </w:rPr>
              <w:t>301,673</w:t>
            </w:r>
          </w:p>
        </w:tc>
        <w:tc>
          <w:tcPr>
            <w:tcW w:w="0" w:type="dxa"/>
            <w:vAlign w:val="bottom"/>
          </w:tcPr>
          <w:p>
            <w:pPr>
              <w:spacing w:after="0"/>
              <w:rPr>
                <w:sz w:val="1"/>
                <w:szCs w:val="1"/>
                <w:color w:val="auto"/>
              </w:rPr>
            </w:pPr>
          </w:p>
        </w:tc>
      </w:tr>
      <w:tr>
        <w:trPr>
          <w:trHeight w:val="120"/>
        </w:trPr>
        <w:tc>
          <w:tcPr>
            <w:tcW w:w="5960" w:type="dxa"/>
            <w:vAlign w:val="bottom"/>
            <w:vMerge w:val="restart"/>
          </w:tcPr>
          <w:p>
            <w:pPr>
              <w:ind w:left="40"/>
              <w:spacing w:after="0" w:line="195" w:lineRule="exact"/>
              <w:rPr>
                <w:sz w:val="20"/>
                <w:szCs w:val="20"/>
                <w:color w:val="auto"/>
              </w:rPr>
            </w:pPr>
            <w:r>
              <w:rPr>
                <w:rFonts w:ascii="Arial" w:cs="Arial" w:eastAsia="Arial" w:hAnsi="Arial"/>
                <w:sz w:val="14"/>
                <w:szCs w:val="14"/>
                <w:b w:val="1"/>
                <w:bCs w:val="1"/>
                <w:color w:val="auto"/>
              </w:rPr>
              <w:t>convertible</w:t>
            </w:r>
            <w:r>
              <w:rPr>
                <w:rFonts w:ascii="Arial" w:cs="Arial" w:eastAsia="Arial" w:hAnsi="Arial"/>
                <w:sz w:val="22"/>
                <w:szCs w:val="22"/>
                <w:b w:val="1"/>
                <w:bCs w:val="1"/>
                <w:color w:val="auto"/>
                <w:vertAlign w:val="superscript"/>
              </w:rPr>
              <w:t>(1)</w:t>
            </w:r>
          </w:p>
        </w:tc>
        <w:tc>
          <w:tcPr>
            <w:tcW w:w="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9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 - basic</w:t>
            </w: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89,847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81,599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87,499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80,022</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Add</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stock options</w:t>
            </w: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Restricted stock</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Common OP units</w:t>
            </w: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2,284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2,731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2,498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2,735</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Series A-4 preferred stock</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Series A-3 preferred OP units</w:t>
            </w: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Series A-1 preferred OP units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825</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Aspen preferred OP units</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448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93,938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86,620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91,763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84,764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92"/>
              </w:rPr>
              <w:t>FFO attributable to Sun Communities, Inc. common stockholders and dilutive convertible</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securities per share - fully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72"/>
        </w:trPr>
        <w:tc>
          <w:tcPr>
            <w:tcW w:w="5960" w:type="dxa"/>
            <w:vAlign w:val="bottom"/>
          </w:tcPr>
          <w:p>
            <w:pPr>
              <w:ind w:left="40"/>
              <w:spacing w:after="0"/>
              <w:rPr>
                <w:sz w:val="20"/>
                <w:szCs w:val="20"/>
                <w:color w:val="auto"/>
              </w:rPr>
            </w:pPr>
            <w:r>
              <w:rPr>
                <w:rFonts w:ascii="Arial" w:cs="Arial" w:eastAsia="Arial" w:hAnsi="Arial"/>
                <w:sz w:val="15"/>
                <w:szCs w:val="15"/>
                <w:b w:val="1"/>
                <w:bCs w:val="1"/>
                <w:color w:val="auto"/>
                <w:w w:val="99"/>
              </w:rPr>
              <w:t>Core FFO attributable to Sun Communities, Inc. common stockholders and dilutive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960" w:type="dxa"/>
            <w:vAlign w:val="bottom"/>
          </w:tcPr>
          <w:p>
            <w:pPr>
              <w:ind w:left="40"/>
              <w:spacing w:after="0"/>
              <w:rPr>
                <w:sz w:val="20"/>
                <w:szCs w:val="20"/>
                <w:color w:val="auto"/>
              </w:rPr>
            </w:pPr>
            <w:r>
              <w:rPr>
                <w:rFonts w:ascii="Arial" w:cs="Arial" w:eastAsia="Arial" w:hAnsi="Arial"/>
                <w:sz w:val="15"/>
                <w:szCs w:val="15"/>
                <w:b w:val="1"/>
                <w:bCs w:val="1"/>
                <w:color w:val="auto"/>
              </w:rPr>
              <w:t>convertible securities per share - fully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1.46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1.35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3.83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effect of certain anti-dilutive convertible securities is excluded from these items.</w:t>
      </w:r>
    </w:p>
    <w:p>
      <w:pPr>
        <w:spacing w:after="0" w:line="13" w:lineRule="exact"/>
        <w:rPr>
          <w:rFonts w:ascii="Arial" w:cs="Arial" w:eastAsia="Arial" w:hAnsi="Arial"/>
          <w:sz w:val="9"/>
          <w:szCs w:val="9"/>
          <w:color w:val="auto"/>
        </w:rPr>
      </w:pPr>
    </w:p>
    <w:p>
      <w:pPr>
        <w:ind w:left="340" w:hanging="332"/>
        <w:spacing w:after="0" w:line="241" w:lineRule="auto"/>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ind w:left="340" w:hanging="332"/>
        <w:spacing w:after="0" w:line="255" w:lineRule="auto"/>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in our accompanying Consolidated Financial Statements for information regarding recent community acquisitions.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9, “Debt and Lines of Credit” and Note 10, “Equity and Temporary Equity” in our accompanying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include expansion and development, lot modifications, recurring capital expenditures and rental home purchases.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2019 and 2018, expansion and development activities of $203.9 million and $96.2 million, respectively, related to costs consisting primarily of construction of sites and other costs necessary to complete home site improvements. The increase is primarily driven by the ground-up developments and redevelopment at four communities.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and 2018, lot modification expenditures were $22.2 million and $15.5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2019 and 2018, recurring capital expenditures of $16.9 million and $14.7 million, respectively, related to our continued commitment to the upkeep of our properties.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63"/>
              <w:spacing w:after="0"/>
              <w:rPr>
                <w:sz w:val="20"/>
                <w:szCs w:val="20"/>
                <w:color w:val="auto"/>
              </w:rPr>
            </w:pPr>
            <w:r>
              <w:rPr>
                <w:rFonts w:ascii="Arial" w:cs="Arial" w:eastAsia="Arial" w:hAnsi="Arial"/>
                <w:sz w:val="15"/>
                <w:szCs w:val="15"/>
                <w:b w:val="1"/>
                <w:bCs w:val="1"/>
                <w:color w:val="auto"/>
              </w:rPr>
              <w:t>Nine Months Ended</w:t>
            </w:r>
          </w:p>
        </w:tc>
      </w:tr>
      <w:tr>
        <w:trPr>
          <w:trHeight w:val="264"/>
        </w:trPr>
        <w:tc>
          <w:tcPr>
            <w:tcW w:w="8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2019</w:t>
            </w:r>
          </w:p>
        </w:tc>
        <w:tc>
          <w:tcPr>
            <w:tcW w:w="120" w:type="dxa"/>
            <w:vAlign w:val="bottom"/>
          </w:tcPr>
          <w:p>
            <w:pPr>
              <w:spacing w:after="0"/>
              <w:rPr>
                <w:sz w:val="22"/>
                <w:szCs w:val="22"/>
                <w:color w:val="auto"/>
              </w:rPr>
            </w:pPr>
          </w:p>
        </w:tc>
        <w:tc>
          <w:tcPr>
            <w:tcW w:w="1460" w:type="dxa"/>
            <w:vAlign w:val="bottom"/>
          </w:tcPr>
          <w:p>
            <w:pPr>
              <w:jc w:val="right"/>
              <w:ind w:right="83"/>
              <w:spacing w:after="0"/>
              <w:rPr>
                <w:sz w:val="20"/>
                <w:szCs w:val="20"/>
                <w:color w:val="auto"/>
              </w:rPr>
            </w:pPr>
            <w:r>
              <w:rPr>
                <w:rFonts w:ascii="Arial" w:cs="Arial" w:eastAsia="Arial" w:hAnsi="Arial"/>
                <w:sz w:val="15"/>
                <w:szCs w:val="15"/>
                <w:b w:val="1"/>
                <w:bCs w:val="1"/>
                <w:color w:val="auto"/>
                <w:w w:val="91"/>
              </w:rPr>
              <w:t>September 30, 2018</w:t>
            </w:r>
          </w:p>
        </w:tc>
      </w:tr>
      <w:tr>
        <w:trPr>
          <w:trHeight w:val="254"/>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398,293</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301,204</w:t>
            </w:r>
          </w:p>
        </w:tc>
      </w:tr>
      <w:tr>
        <w:trPr>
          <w:trHeight w:val="266"/>
        </w:trPr>
        <w:tc>
          <w:tcPr>
            <w:tcW w:w="8000" w:type="dxa"/>
            <w:vAlign w:val="bottom"/>
          </w:tcPr>
          <w:p>
            <w:pPr>
              <w:ind w:left="40"/>
              <w:spacing w:after="0"/>
              <w:rPr>
                <w:sz w:val="20"/>
                <w:szCs w:val="20"/>
                <w:color w:val="auto"/>
              </w:rPr>
            </w:pPr>
            <w:r>
              <w:rPr>
                <w:rFonts w:ascii="Arial" w:cs="Arial" w:eastAsia="Arial" w:hAnsi="Arial"/>
                <w:sz w:val="15"/>
                <w:szCs w:val="15"/>
                <w:color w:val="auto"/>
              </w:rPr>
              <w:t>Net Cash Used For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(799,251)</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(545,103)</w:t>
            </w:r>
          </w:p>
        </w:tc>
      </w:tr>
      <w:tr>
        <w:trPr>
          <w:trHeight w:val="274"/>
        </w:trPr>
        <w:tc>
          <w:tcPr>
            <w:tcW w:w="8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380,131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349,578</w:t>
            </w:r>
          </w:p>
        </w:tc>
      </w:tr>
      <w:tr>
        <w:trPr>
          <w:trHeight w:val="262"/>
        </w:trPr>
        <w:tc>
          <w:tcPr>
            <w:tcW w:w="8000" w:type="dxa"/>
            <w:vAlign w:val="bottom"/>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3"/>
              <w:spacing w:after="0"/>
              <w:rPr>
                <w:sz w:val="20"/>
                <w:szCs w:val="20"/>
                <w:color w:val="auto"/>
              </w:rPr>
            </w:pPr>
            <w:r>
              <w:rPr>
                <w:rFonts w:ascii="Arial" w:cs="Arial" w:eastAsia="Arial" w:hAnsi="Arial"/>
                <w:sz w:val="15"/>
                <w:szCs w:val="15"/>
                <w:color w:val="auto"/>
              </w:rPr>
              <w:t>291</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(94)</w:t>
            </w:r>
          </w:p>
        </w:tc>
      </w:tr>
    </w:tbl>
    <w:p>
      <w:pPr>
        <w:spacing w:after="0" w:line="2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cash equivalents and restricted cash decreased by $20.6 million from $62.3 million as of December 31, 2018, to $41.7 million as of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operating activities increased by $97.1 million from $301.2 million for the nine months ended September 30, 2018 to $398.3 million for the nine months ended September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and (e) current volatility in economic conditions and the financial markets. See “Risk Factors” in Part I, Item 1A of our 2018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for investing activities was $799.3 million for the nine months ended September 30, 2019, compared to $545.1 million for the nine months ended September 30, 2018. Refer to Note 3, “Real Estate Acquisitions” in our accompanying Consolidated Financial Statements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$380.1 million for the nine months ended September 30, 2019, compared to net cash provided by financing activities of $349.6 million for the nine months ended September 30, 2018. Refer to Note 9, “Debt and Lines of Credit” and Note 10, “Equity and Temporary Equity” in our accompanying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Flexibility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September 30, 2019, we have sold shares of our common stock for gross proceeds of $163.8 million under the Sales Agreement.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we amended and restated our credit agreement (the “A&amp;R Credit Agreement”) with Citibank, N.A. (“Citibank”) and certain other lenders. Pursuant to the A&amp;R Credit Agreement, we entered into a senior credit facility with Citibank and certain other lenders in the amount of $750.0 million, comprised of a $650.0 million revolving loan, with the ability to use up to $100.0 million for advances in Australian dollars, and a $100.0 million term loan (the “A&amp;R Facility”). The Company has until March 17, 2020 to draw on the term loan. As of September 30, 2019, the Company has not drawn any funds on the term loan. The A&amp;R Credit Agreement has a four-year term ending May 21, 2023, which can be extended for two additional six-month periods, subject to the satisfaction of certain conditions as defined in the credit agreement. The A&amp;R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$1.1 billion.</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A&amp;R Facility bears interest at a floating rate based on the Eurodollar rate or BBSY Bid rate plus a margin that is determined based on our leverage ratio calculated in accordance with the A&amp;R Credit Agreement, which margin can range from 1.20 percent to 2.10 percent for the revolving loan and 1.20 percent to 2.05 percent for the term loan. As of September 30, 2019, the margin based on our leverage ratio was 1.20 percent on the revolving loan and 1.20 percent on the term loan. We had $137.0 million and zero of borrowings on the revolving loan and the term loans, respectively, as of September 30, 2019.</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September 30, 2019 and December 31, 2018, approximately $3.4 million and $3.9 million of availability was used to back standby letters of credit.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We are currently in compliance with these covenants. The most restrictive financial covenants for the A&amp;R Facility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Borders>
              <w:bottom w:val="single" w:sz="8" w:color="auto"/>
            </w:tcBorders>
          </w:tcPr>
          <w:p>
            <w:pPr>
              <w:ind w:left="33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As of September 30, 2019</w:t>
            </w:r>
          </w:p>
        </w:tc>
      </w:tr>
      <w:tr>
        <w:trPr>
          <w:trHeight w:val="25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Maximum Leverage Ratio</w:t>
            </w:r>
          </w:p>
        </w:tc>
        <w:tc>
          <w:tcPr>
            <w:tcW w:w="1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20" w:type="dxa"/>
            <w:vAlign w:val="bottom"/>
            <w:shd w:val="clear" w:color="auto" w:fill="CCEEFF"/>
          </w:tcPr>
          <w:p>
            <w:pPr>
              <w:spacing w:after="0"/>
              <w:rPr>
                <w:sz w:val="22"/>
                <w:szCs w:val="22"/>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26.8%</w:t>
            </w:r>
          </w:p>
        </w:tc>
      </w:tr>
      <w:tr>
        <w:trPr>
          <w:trHeight w:val="266"/>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Minimum Fixed Charge Coverage Ratio</w:t>
            </w:r>
          </w:p>
        </w:tc>
        <w:tc>
          <w:tcPr>
            <w:tcW w:w="1600" w:type="dxa"/>
            <w:vAlign w:val="bottom"/>
          </w:tcPr>
          <w:p>
            <w:pPr>
              <w:jc w:val="center"/>
              <w:spacing w:after="0"/>
              <w:rPr>
                <w:sz w:val="20"/>
                <w:szCs w:val="20"/>
                <w:color w:val="auto"/>
              </w:rPr>
            </w:pPr>
            <w:r>
              <w:rPr>
                <w:rFonts w:ascii="Arial" w:cs="Arial" w:eastAsia="Arial" w:hAnsi="Arial"/>
                <w:sz w:val="15"/>
                <w:szCs w:val="15"/>
                <w:color w:val="auto"/>
                <w:w w:val="94"/>
              </w:rPr>
              <w:t>&gt;1.40</w:t>
            </w:r>
          </w:p>
        </w:tc>
        <w:tc>
          <w:tcPr>
            <w:tcW w:w="22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5"/>
              </w:rPr>
              <w:t>3.25</w:t>
            </w:r>
          </w:p>
        </w:tc>
      </w:tr>
      <w:tr>
        <w:trPr>
          <w:trHeight w:val="27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Minimum Tangible Net Worth</w:t>
            </w:r>
          </w:p>
        </w:tc>
        <w:tc>
          <w:tcPr>
            <w:tcW w:w="1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&gt;$3,257,121</w:t>
            </w:r>
          </w:p>
        </w:tc>
        <w:tc>
          <w:tcPr>
            <w:tcW w:w="220" w:type="dxa"/>
            <w:vAlign w:val="bottom"/>
            <w:shd w:val="clear" w:color="auto" w:fill="CCEEFF"/>
          </w:tcPr>
          <w:p>
            <w:pPr>
              <w:spacing w:after="0"/>
              <w:rPr>
                <w:sz w:val="23"/>
                <w:szCs w:val="2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$5,278,977</w:t>
            </w:r>
          </w:p>
        </w:tc>
      </w:tr>
      <w:tr>
        <w:trPr>
          <w:trHeight w:val="262"/>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Maximum Dividend Payout Ratio</w:t>
            </w:r>
          </w:p>
        </w:tc>
        <w:tc>
          <w:tcPr>
            <w:tcW w:w="1600" w:type="dxa"/>
            <w:vAlign w:val="bottom"/>
          </w:tcPr>
          <w:p>
            <w:pPr>
              <w:jc w:val="center"/>
              <w:spacing w:after="0"/>
              <w:rPr>
                <w:sz w:val="20"/>
                <w:szCs w:val="20"/>
                <w:color w:val="auto"/>
              </w:rPr>
            </w:pPr>
            <w:r>
              <w:rPr>
                <w:rFonts w:ascii="Arial" w:cs="Arial" w:eastAsia="Arial" w:hAnsi="Arial"/>
                <w:sz w:val="15"/>
                <w:szCs w:val="15"/>
                <w:color w:val="auto"/>
                <w:w w:val="93"/>
              </w:rPr>
              <w:t>&lt;95.0%</w:t>
            </w:r>
          </w:p>
        </w:tc>
        <w:tc>
          <w:tcPr>
            <w:tcW w:w="2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3"/>
              </w:rPr>
              <w:t>56.4%</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and/or the collateralization of our properties. At September 30, 2019, we had 183 unencumbered properties, of which 65 support the borrowing base for our $650.0 million revolving loan in our A&amp;R Facility.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2018 Annual Report and in Part II, Item 1A of this report. If we are unable to obtain additional debt or equity financing on acceptable terms, our business, results of operations and financial condition would be adversely impacted.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2019, our net debt to enterprise value was approximately 18.7 percent (assuming conversion of all common OP units, Series A-1 preferred OP units, Series A-3 preferred OP units, Series A-4 preferred OP units, Series C preferred OP units and Series D preferred OP units to shares of common stock). Our debt has a weighted average maturity of approximately 9.8 years and a weighted average interest rate of 4.3 percent.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off-balance sheet investments, including nonconsolidated affiliates, preferred OP units, debt and preferred equity investments.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joint venture arrangements. Our off-balance sheet arrangements are discussed in Note 7,"Investments in Affiliates" and Note 9, "Debt and Lines of Credit"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8" w:name="page49"/>
    <w:bookmarkEnd w:id="48"/>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Part I, Item IA, contained in our 2018 Annual Report and Item 8.01 in our Current Report on Form 8-K filed February 22, 2019, and our other filings with the SEC, such risks and uncertainties include, but are not limited to:</w:t>
      </w:r>
    </w:p>
    <w:p>
      <w:pPr>
        <w:spacing w:after="0" w:line="22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and the Australian dollar;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manufactured home buyers to obtain financing;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$140.6 million and $153.7 million as of September 30, 2019 and 2018, respectively, and bears interest at Prime or various LIBOR rates. If Prime or LIBOR increased or decreased by 1.0 percent, our interest expense would have increased or decreased by approximately $2.0 million and $2.2 million for the nine months ended September 30, 2019 and 2018, respectively, based on the $270.2 million and $300.8 million average balances outstanding under our variable rate debt facilities,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2019 and December 31, 2018, our stockholder’s equity included $169.6 million and $141.4 million from our Canadian subsidiaries and Australian equity investments, respectively, which represented 4.8 percent and 4.6 percent of total stockholder’s equity, respectively. Based on our sensitivity analysis, a 10.0 percent strengthening of the U.S. dollar against the Canadian and Australian dollar would have caused a reduction of $17.0 million and $14.1 million to our total stockholder’s equity at September 30, 2019 and December 31,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September 30, 2019. Based upon this evaluation, our CEO and CFO concluded that our disclosure controls and procedures were effective as of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September 30, 2019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 to “Legal Proceedings” in Part 1 - Item 1 - Note 17, “Commitments and Contingencies” in our accompanying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described in Part 1, Item 1A, “Risk Factors,” in our 2018 Annual Report, Item 8.01 in our Current Report on Form 8-K filed February 22, 2019, and Item 1A “Risk Factors” in our Quarterly Report on Form 10-Q filed April 25, 2019 which could materially affect our business, financial condition or future results. There have been no material changes to the disclosure on these matters as set forth in such reports.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acquire the Jensen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acquire the Jensen Portfolio no later than October 31, 2019. However, the closing is subject to the satisfaction of customary closing conditions, including obtaining certain third party consents. If these conditions are not satisfied or waived, or if the merger agreement is otherwise terminated in accordance with its terms, then the acquisition will not be consummated. We have incurred significant costs associated with the potential acquisition of the Jensen Portfolio and expect to continue to incur such costs until the acquisition closes or is terminated. If the acquisition is not consummated we will not receive any benefits associated with these costs. The price of our common stock may decline to the extent that the current market price of our common stock reflects a market assumption that the Jensen Portfolio will be acquired and that we will realize certain anticipated benefits of acquiring the Jensen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benefits of the Jensen Portfolio may not be realized.</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Jensen Portfolio acquisition poses risks for our ongoing operations, including, among others:</w:t>
      </w:r>
    </w:p>
    <w:p>
      <w:pPr>
        <w:spacing w:after="0" w:line="225"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senior management’s attention may be diverted from the management of daily operations to the integration of the properties acquired in the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properties acquired in the acquisition may not perform as well as anticipated;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unforeseen difficulties may arise in integrating the properties acquired in the acquisition into our portfolio.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foregoing, we cannot assure that the Jensen Portfolio acquisition will be accretive to us in the near term or at all. Furthermore, if we fail to realize the intended benefits of the properties acquired in the acquisition, the market price of our common stock could decline to the extent that the market price reflects those benefits.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and Preferred stock have converted the following units during the three months ended September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2"/>
          </w:tcPr>
          <w:p>
            <w:pPr>
              <w:jc w:val="right"/>
              <w:ind w:right="426"/>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September 30, 2019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Series</w:t>
            </w:r>
          </w:p>
        </w:tc>
        <w:tc>
          <w:tcPr>
            <w:tcW w:w="240" w:type="dxa"/>
            <w:vAlign w:val="bottom"/>
            <w:vMerge w:val="restart"/>
          </w:tcPr>
          <w:p>
            <w:pPr>
              <w:spacing w:after="0"/>
              <w:rPr>
                <w:sz w:val="14"/>
                <w:szCs w:val="14"/>
                <w:color w:val="auto"/>
              </w:rPr>
            </w:pPr>
          </w:p>
        </w:tc>
        <w:tc>
          <w:tcPr>
            <w:tcW w:w="12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w w:val="97"/>
              </w:rPr>
              <w:t>Conversion Rate</w:t>
            </w:r>
          </w:p>
        </w:tc>
        <w:tc>
          <w:tcPr>
            <w:tcW w:w="240" w:type="dxa"/>
            <w:vAlign w:val="bottom"/>
            <w:vMerge w:val="restart"/>
          </w:tcPr>
          <w:p>
            <w:pPr>
              <w:spacing w:after="0"/>
              <w:rPr>
                <w:sz w:val="14"/>
                <w:szCs w:val="14"/>
                <w:color w:val="auto"/>
              </w:rPr>
            </w:pPr>
          </w:p>
        </w:tc>
        <w:tc>
          <w:tcPr>
            <w:tcW w:w="1240" w:type="dxa"/>
            <w:vAlign w:val="bottom"/>
          </w:tcPr>
          <w:p>
            <w:pPr>
              <w:jc w:val="right"/>
              <w:ind w:right="122"/>
              <w:spacing w:after="0" w:line="169" w:lineRule="exact"/>
              <w:rPr>
                <w:sz w:val="20"/>
                <w:szCs w:val="20"/>
                <w:color w:val="auto"/>
              </w:rPr>
            </w:pPr>
            <w:r>
              <w:rPr>
                <w:rFonts w:ascii="Arial" w:cs="Arial" w:eastAsia="Arial" w:hAnsi="Arial"/>
                <w:sz w:val="15"/>
                <w:szCs w:val="15"/>
                <w:b w:val="1"/>
                <w:bCs w:val="1"/>
                <w:color w:val="auto"/>
              </w:rPr>
              <w:t>Units/Shares</w:t>
            </w:r>
          </w:p>
        </w:tc>
        <w:tc>
          <w:tcPr>
            <w:tcW w:w="1240" w:type="dxa"/>
            <w:vAlign w:val="bottom"/>
          </w:tcPr>
          <w:p>
            <w:pPr>
              <w:jc w:val="right"/>
              <w:ind w:right="46"/>
              <w:spacing w:after="0" w:line="169" w:lineRule="exact"/>
              <w:rPr>
                <w:sz w:val="20"/>
                <w:szCs w:val="20"/>
                <w:color w:val="auto"/>
              </w:rPr>
            </w:pPr>
            <w:r>
              <w:rPr>
                <w:rFonts w:ascii="Arial" w:cs="Arial" w:eastAsia="Arial" w:hAnsi="Arial"/>
                <w:sz w:val="15"/>
                <w:szCs w:val="15"/>
                <w:b w:val="1"/>
                <w:bCs w:val="1"/>
                <w:color w:val="auto"/>
                <w:w w:val="99"/>
              </w:rPr>
              <w:t>Common Stock</w:t>
            </w:r>
          </w:p>
        </w:tc>
        <w:tc>
          <w:tcPr>
            <w:tcW w:w="0" w:type="dxa"/>
            <w:vAlign w:val="bottom"/>
          </w:tcPr>
          <w:p>
            <w:pPr>
              <w:spacing w:after="0"/>
              <w:rPr>
                <w:sz w:val="1"/>
                <w:szCs w:val="1"/>
                <w:color w:val="auto"/>
              </w:rPr>
            </w:pPr>
          </w:p>
        </w:tc>
      </w:tr>
      <w:tr>
        <w:trPr>
          <w:trHeight w:val="200"/>
        </w:trPr>
        <w:tc>
          <w:tcPr>
            <w:tcW w:w="7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Converted</w:t>
            </w:r>
          </w:p>
        </w:tc>
        <w:tc>
          <w:tcPr>
            <w:tcW w:w="12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52"/>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1.0000</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6,981</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6,981</w:t>
            </w:r>
          </w:p>
        </w:tc>
        <w:tc>
          <w:tcPr>
            <w:tcW w:w="0" w:type="dxa"/>
            <w:vAlign w:val="bottom"/>
          </w:tcPr>
          <w:p>
            <w:pPr>
              <w:spacing w:after="0"/>
              <w:rPr>
                <w:sz w:val="1"/>
                <w:szCs w:val="1"/>
                <w:color w:val="auto"/>
              </w:rPr>
            </w:pPr>
          </w:p>
        </w:tc>
      </w:tr>
      <w:tr>
        <w:trPr>
          <w:trHeight w:val="266"/>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2.4390</w:t>
            </w:r>
          </w:p>
        </w:tc>
        <w:tc>
          <w:tcPr>
            <w:tcW w:w="24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5"/>
                <w:szCs w:val="15"/>
                <w:color w:val="auto"/>
              </w:rPr>
              <w:t>7,782</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18,976</w:t>
            </w:r>
          </w:p>
        </w:tc>
        <w:tc>
          <w:tcPr>
            <w:tcW w:w="0" w:type="dxa"/>
            <w:vAlign w:val="bottom"/>
          </w:tcPr>
          <w:p>
            <w:pPr>
              <w:spacing w:after="0"/>
              <w:rPr>
                <w:sz w:val="1"/>
                <w:szCs w:val="1"/>
                <w:color w:val="auto"/>
              </w:rPr>
            </w:pPr>
          </w:p>
        </w:tc>
      </w:tr>
      <w:tr>
        <w:trPr>
          <w:trHeight w:val="27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C preferred OP unit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1.1100</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4,014</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4,455</w:t>
            </w:r>
          </w:p>
        </w:tc>
        <w:tc>
          <w:tcPr>
            <w:tcW w:w="0" w:type="dxa"/>
            <w:vAlign w:val="bottom"/>
          </w:tcPr>
          <w:p>
            <w:pPr>
              <w:spacing w:after="0"/>
              <w:rPr>
                <w:sz w:val="1"/>
                <w:szCs w:val="1"/>
                <w:color w:val="auto"/>
              </w:rPr>
            </w:pPr>
          </w:p>
        </w:tc>
      </w:tr>
    </w:tbl>
    <w:p>
      <w:pPr>
        <w:ind w:left="160" w:hanging="152"/>
        <w:spacing w:after="0" w:line="236" w:lineRule="auto"/>
        <w:tabs>
          <w:tab w:leader="none" w:pos="16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w:t>
      </w:r>
      <w:r>
        <w:rPr>
          <w:rFonts w:ascii="Arial" w:cs="Arial" w:eastAsia="Arial" w:hAnsi="Arial"/>
          <w:sz w:val="14"/>
          <w:szCs w:val="14"/>
          <w:color w:val="auto"/>
        </w:rPr>
        <w:t>alculation may yield minor differences due to rounding incorporated in the above numbers.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of 1933, as amended, including Regulation D promulgated thereunder. No underwriters were used in connection with any of such issuances.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359" w:lineRule="exact"/>
        <w:rPr>
          <w:sz w:val="20"/>
          <w:szCs w:val="20"/>
          <w:color w:val="auto"/>
        </w:rPr>
      </w:pPr>
    </w:p>
    <w:tbl>
      <w:tblPr>
        <w:tblLayout w:type="fixed"/>
        <w:tblInd w:w="310" w:type="dxa"/>
        <w:tblCellMar>
          <w:top w:w="0" w:type="dxa"/>
          <w:left w:w="0" w:type="dxa"/>
          <w:bottom w:w="0" w:type="dxa"/>
          <w:right w:w="0" w:type="dxa"/>
        </w:tblCellMar>
      </w:tblPr>
      <w:tr>
        <w:trPr>
          <w:trHeight w:val="257"/>
        </w:trPr>
        <w:tc>
          <w:tcPr>
            <w:tcW w:w="12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4600" w:type="dxa"/>
            <w:vAlign w:val="bottom"/>
            <w:tcBorders>
              <w:top w:val="single" w:sz="8" w:color="auto"/>
              <w:right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Description</w:t>
            </w:r>
          </w:p>
        </w:tc>
        <w:tc>
          <w:tcPr>
            <w:tcW w:w="292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2.1</w:t>
            </w:r>
          </w:p>
        </w:tc>
        <w:tc>
          <w:tcPr>
            <w:tcW w:w="20" w:type="dxa"/>
            <w:vAlign w:val="bottom"/>
            <w:shd w:val="clear" w:color="auto" w:fill="CCEEFF"/>
          </w:tcPr>
          <w:p>
            <w:pPr>
              <w:spacing w:after="0"/>
              <w:rPr>
                <w:sz w:val="17"/>
                <w:szCs w:val="17"/>
                <w:color w:val="auto"/>
              </w:rPr>
            </w:pPr>
          </w:p>
        </w:tc>
        <w:tc>
          <w:tcPr>
            <w:tcW w:w="6700" w:type="dxa"/>
            <w:vAlign w:val="bottom"/>
            <w:tcBorders>
              <w:right w:val="single" w:sz="8" w:color="auto"/>
            </w:tcBorders>
            <w:gridSpan w:val="6"/>
            <w:shd w:val="clear" w:color="auto" w:fill="CCEEFF"/>
          </w:tcPr>
          <w:p>
            <w:pPr>
              <w:spacing w:after="0" w:line="196" w:lineRule="exact"/>
              <w:rPr>
                <w:rFonts w:ascii="Arial" w:cs="Arial" w:eastAsia="Arial" w:hAnsi="Arial"/>
                <w:sz w:val="18"/>
                <w:szCs w:val="18"/>
                <w:color w:val="0000FF"/>
                <w:w w:val="96"/>
              </w:rPr>
            </w:pPr>
            <w:hyperlink r:id="rId15">
              <w:r>
                <w:rPr>
                  <w:rFonts w:ascii="Arial" w:cs="Arial" w:eastAsia="Arial" w:hAnsi="Arial"/>
                  <w:sz w:val="18"/>
                  <w:szCs w:val="18"/>
                  <w:color w:val="0000FF"/>
                  <w:w w:val="96"/>
                </w:rPr>
                <w:t>Agreement and Plan of Merger Among Jensen’s, Inc, JSREP, Inc, in its capacity as the</w:t>
              </w:r>
            </w:hyperlink>
          </w:p>
        </w:tc>
        <w:tc>
          <w:tcPr>
            <w:tcW w:w="292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2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Shareholder Representative, Sun Communities, Inc, and Sun Jensen LLC</w:t>
              </w:r>
            </w:hyperlink>
          </w:p>
        </w:tc>
        <w:tc>
          <w:tcPr>
            <w:tcW w:w="480" w:type="dxa"/>
            <w:vAlign w:val="bottom"/>
            <w:tcBorders>
              <w:top w:val="single" w:sz="8" w:color="CCEEFF"/>
              <w:right w:val="single" w:sz="8" w:color="auto"/>
            </w:tcBorders>
            <w:gridSpan w:val="3"/>
            <w:shd w:val="clear" w:color="auto" w:fill="CCEEFF"/>
          </w:tcPr>
          <w:p>
            <w:pPr>
              <w:spacing w:after="0"/>
              <w:rPr>
                <w:sz w:val="17"/>
                <w:szCs w:val="17"/>
                <w:color w:val="auto"/>
              </w:rPr>
            </w:pPr>
          </w:p>
        </w:tc>
        <w:tc>
          <w:tcPr>
            <w:tcW w:w="2920" w:type="dxa"/>
            <w:vAlign w:val="bottom"/>
            <w:tcBorders>
              <w:top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Communities, Inc.’s Current Report on</w:t>
            </w:r>
          </w:p>
        </w:tc>
        <w:tc>
          <w:tcPr>
            <w:tcW w:w="0" w:type="dxa"/>
            <w:vAlign w:val="bottom"/>
          </w:tcPr>
          <w:p>
            <w:pPr>
              <w:spacing w:after="0"/>
              <w:rPr>
                <w:sz w:val="1"/>
                <w:szCs w:val="1"/>
                <w:color w:val="auto"/>
              </w:rPr>
            </w:pPr>
          </w:p>
        </w:tc>
      </w:tr>
      <w:tr>
        <w:trPr>
          <w:trHeight w:val="269"/>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100" w:type="dxa"/>
            <w:vAlign w:val="bottom"/>
            <w:tcBorders>
              <w:top w:val="single" w:sz="8" w:color="0000FF"/>
              <w:bottom w:val="single" w:sz="8" w:color="CCEEFF"/>
            </w:tcBorders>
            <w:shd w:val="clear" w:color="auto" w:fill="CCEEFF"/>
          </w:tcPr>
          <w:p>
            <w:pPr>
              <w:spacing w:after="0"/>
              <w:rPr>
                <w:sz w:val="22"/>
                <w:szCs w:val="22"/>
                <w:color w:val="auto"/>
              </w:rPr>
            </w:pPr>
          </w:p>
        </w:tc>
        <w:tc>
          <w:tcPr>
            <w:tcW w:w="3180" w:type="dxa"/>
            <w:vAlign w:val="bottom"/>
            <w:tcBorders>
              <w:top w:val="single" w:sz="8" w:color="0000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920" w:type="dxa"/>
            <w:vAlign w:val="bottom"/>
            <w:tcBorders>
              <w:top w:val="single" w:sz="8" w:color="CCEEFF"/>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Form 8-K filed on August 22, 2019</w:t>
            </w:r>
          </w:p>
        </w:tc>
        <w:tc>
          <w:tcPr>
            <w:tcW w:w="0" w:type="dxa"/>
            <w:vAlign w:val="bottom"/>
          </w:tcPr>
          <w:p>
            <w:pPr>
              <w:spacing w:after="0"/>
              <w:rPr>
                <w:sz w:val="1"/>
                <w:szCs w:val="1"/>
                <w:color w:val="auto"/>
              </w:rPr>
            </w:pPr>
          </w:p>
        </w:tc>
      </w:tr>
      <w:tr>
        <w:trPr>
          <w:trHeight w:val="196"/>
        </w:trPr>
        <w:tc>
          <w:tcPr>
            <w:tcW w:w="122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20" w:type="dxa"/>
            <w:vAlign w:val="bottom"/>
            <w:tcBorders>
              <w:top w:val="single" w:sz="8" w:color="auto"/>
            </w:tcBorders>
          </w:tcPr>
          <w:p>
            <w:pPr>
              <w:spacing w:after="0"/>
              <w:rPr>
                <w:sz w:val="17"/>
                <w:szCs w:val="17"/>
                <w:color w:val="auto"/>
              </w:rPr>
            </w:pPr>
          </w:p>
        </w:tc>
        <w:tc>
          <w:tcPr>
            <w:tcW w:w="6700" w:type="dxa"/>
            <w:vAlign w:val="bottom"/>
            <w:tcBorders>
              <w:top w:val="single" w:sz="8" w:color="auto"/>
              <w:right w:val="single" w:sz="8" w:color="auto"/>
            </w:tcBorders>
            <w:gridSpan w:val="6"/>
          </w:tcPr>
          <w:p>
            <w:pPr>
              <w:spacing w:after="0" w:line="196" w:lineRule="exact"/>
              <w:rPr>
                <w:rFonts w:ascii="Arial" w:cs="Arial" w:eastAsia="Arial" w:hAnsi="Arial"/>
                <w:sz w:val="18"/>
                <w:szCs w:val="18"/>
                <w:color w:val="0000FF"/>
                <w:w w:val="96"/>
              </w:rPr>
            </w:pPr>
            <w:hyperlink w:anchor="page55">
              <w:r>
                <w:rPr>
                  <w:rFonts w:ascii="Arial" w:cs="Arial" w:eastAsia="Arial" w:hAnsi="Arial"/>
                  <w:sz w:val="18"/>
                  <w:szCs w:val="18"/>
                  <w:color w:val="0000FF"/>
                  <w:w w:val="96"/>
                </w:rPr>
                <w:t>Certification of Chief Executive Officer pursuant to Securities Exchange Act Rules 13a-</w:t>
              </w:r>
            </w:hyperlink>
          </w:p>
        </w:tc>
        <w:tc>
          <w:tcPr>
            <w:tcW w:w="2920" w:type="dxa"/>
            <w:vAlign w:val="bottom"/>
            <w:tcBorders>
              <w:top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22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right w:val="single" w:sz="8" w:color="auto"/>
            </w:tcBorders>
            <w:gridSpan w:val="6"/>
          </w:tcPr>
          <w:p>
            <w:pPr>
              <w:spacing w:after="0" w:line="196" w:lineRule="exact"/>
              <w:rPr>
                <w:rFonts w:ascii="Arial" w:cs="Arial" w:eastAsia="Arial" w:hAnsi="Arial"/>
                <w:sz w:val="18"/>
                <w:szCs w:val="18"/>
                <w:color w:val="0000FF"/>
                <w:w w:val="92"/>
              </w:rPr>
            </w:pPr>
            <w:hyperlink w:anchor="page55">
              <w:r>
                <w:rPr>
                  <w:rFonts w:ascii="Arial" w:cs="Arial" w:eastAsia="Arial" w:hAnsi="Arial"/>
                  <w:sz w:val="18"/>
                  <w:szCs w:val="18"/>
                  <w:color w:val="0000FF"/>
                  <w:w w:val="92"/>
                </w:rPr>
                <w:t>14(a)/15(d)-14(a), as adopted pursuant to Section 302 of the Sarbanes-Oxley Act of 2002.</w:t>
              </w:r>
            </w:hyperlink>
          </w:p>
        </w:tc>
        <w:tc>
          <w:tcPr>
            <w:tcW w:w="2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2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3180" w:type="dxa"/>
            <w:vAlign w:val="bottom"/>
            <w:tcBorders>
              <w:top w:val="single" w:sz="8" w:color="0000FF"/>
              <w:bottom w:val="single" w:sz="8" w:color="auto"/>
            </w:tcBorders>
          </w:tcPr>
          <w:p>
            <w:pPr>
              <w:spacing w:after="0"/>
              <w:rPr>
                <w:sz w:val="4"/>
                <w:szCs w:val="4"/>
                <w:color w:val="auto"/>
              </w:rPr>
            </w:pPr>
          </w:p>
        </w:tc>
        <w:tc>
          <w:tcPr>
            <w:tcW w:w="9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bottom w:val="single" w:sz="8" w:color="CCEEFF"/>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20" w:type="dxa"/>
            <w:vAlign w:val="bottom"/>
            <w:tcBorders>
              <w:bottom w:val="single" w:sz="8" w:color="CCEEFF"/>
            </w:tcBorders>
            <w:shd w:val="clear" w:color="auto" w:fill="CCEEFF"/>
          </w:tcPr>
          <w:p>
            <w:pPr>
              <w:spacing w:after="0"/>
              <w:rPr>
                <w:sz w:val="17"/>
                <w:szCs w:val="17"/>
                <w:color w:val="auto"/>
              </w:rPr>
            </w:pPr>
          </w:p>
        </w:tc>
        <w:tc>
          <w:tcPr>
            <w:tcW w:w="636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of Chief Financial Officer pursuant to Securities Exchange Act Rules 13a-</w:t>
              </w:r>
            </w:hyperlink>
          </w:p>
        </w:tc>
        <w:tc>
          <w:tcPr>
            <w:tcW w:w="340" w:type="dxa"/>
            <w:vAlign w:val="bottom"/>
            <w:tcBorders>
              <w:bottom w:val="single" w:sz="8" w:color="CCEEFF"/>
              <w:right w:val="single" w:sz="8" w:color="auto"/>
            </w:tcBorders>
            <w:gridSpan w:val="2"/>
            <w:shd w:val="clear" w:color="auto" w:fill="CCEEFF"/>
          </w:tcPr>
          <w:p>
            <w:pPr>
              <w:spacing w:after="0"/>
              <w:rPr>
                <w:sz w:val="17"/>
                <w:szCs w:val="17"/>
                <w:color w:val="auto"/>
              </w:rPr>
            </w:pPr>
          </w:p>
        </w:tc>
        <w:tc>
          <w:tcPr>
            <w:tcW w:w="2920" w:type="dxa"/>
            <w:vAlign w:val="bottom"/>
            <w:tcBorders>
              <w:bottom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4"/>
        </w:trPr>
        <w:tc>
          <w:tcPr>
            <w:tcW w:w="122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700" w:type="dxa"/>
            <w:vAlign w:val="bottom"/>
            <w:tcBorders>
              <w:bottom w:val="single" w:sz="8" w:color="auto"/>
              <w:right w:val="single" w:sz="8" w:color="auto"/>
            </w:tcBorders>
            <w:gridSpan w:val="6"/>
            <w:shd w:val="clear" w:color="auto" w:fill="CCEEFF"/>
          </w:tcPr>
          <w:p>
            <w:pPr>
              <w:spacing w:after="0" w:line="196"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14(a)/15(d)-14(a), as adopted pursuant to Section 302 of the Sarbanes-Oxley Act of 2002.</w:t>
              </w:r>
            </w:hyperlink>
          </w:p>
        </w:tc>
        <w:tc>
          <w:tcPr>
            <w:tcW w:w="29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20" w:type="dxa"/>
            <w:vAlign w:val="bottom"/>
          </w:tcPr>
          <w:p>
            <w:pPr>
              <w:spacing w:after="0"/>
              <w:rPr>
                <w:sz w:val="17"/>
                <w:szCs w:val="17"/>
                <w:color w:val="auto"/>
              </w:rPr>
            </w:pPr>
          </w:p>
        </w:tc>
        <w:tc>
          <w:tcPr>
            <w:tcW w:w="6700" w:type="dxa"/>
            <w:vAlign w:val="bottom"/>
            <w:tcBorders>
              <w:bottom w:val="single" w:sz="8" w:color="0000FF"/>
              <w:right w:val="single" w:sz="8" w:color="auto"/>
            </w:tcBorders>
            <w:gridSpan w:val="6"/>
          </w:tcPr>
          <w:p>
            <w:pPr>
              <w:spacing w:after="0" w:line="196" w:lineRule="exact"/>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pursuant to 18 U.S.C. Section 1350, as adopted pursuant to Section 906 of the</w:t>
              </w:r>
            </w:hyperlink>
          </w:p>
        </w:tc>
        <w:tc>
          <w:tcPr>
            <w:tcW w:w="292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122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right w:val="single" w:sz="8" w:color="auto"/>
            </w:tcBorders>
            <w:gridSpan w:val="6"/>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Sarbanes-Oxley Act of 2002.</w:t>
              </w:r>
            </w:hyperlink>
          </w:p>
        </w:tc>
        <w:tc>
          <w:tcPr>
            <w:tcW w:w="2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2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20" w:type="dxa"/>
            <w:vAlign w:val="bottom"/>
            <w:shd w:val="clear" w:color="auto" w:fill="CCEEFF"/>
          </w:tcPr>
          <w:p>
            <w:pPr>
              <w:spacing w:after="0"/>
              <w:rPr>
                <w:sz w:val="20"/>
                <w:szCs w:val="20"/>
                <w:color w:val="auto"/>
              </w:rPr>
            </w:pPr>
          </w:p>
        </w:tc>
        <w:tc>
          <w:tcPr>
            <w:tcW w:w="6700" w:type="dxa"/>
            <w:vAlign w:val="bottom"/>
            <w:tcBorders>
              <w:right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9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88"/>
              </w:rPr>
              <w:t>The instance document does not appear</w:t>
            </w:r>
          </w:p>
        </w:tc>
        <w:tc>
          <w:tcPr>
            <w:tcW w:w="0" w:type="dxa"/>
            <w:vAlign w:val="bottom"/>
          </w:tcPr>
          <w:p>
            <w:pPr>
              <w:spacing w:after="0"/>
              <w:rPr>
                <w:sz w:val="1"/>
                <w:szCs w:val="1"/>
                <w:color w:val="auto"/>
              </w:rPr>
            </w:pPr>
          </w:p>
        </w:tc>
      </w:tr>
      <w:tr>
        <w:trPr>
          <w:trHeight w:val="67"/>
        </w:trPr>
        <w:tc>
          <w:tcPr>
            <w:tcW w:w="1220" w:type="dxa"/>
            <w:vAlign w:val="bottom"/>
            <w:tcBorders>
              <w:left w:val="single" w:sz="8" w:color="auto"/>
              <w:right w:val="single" w:sz="8" w:color="auto"/>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right w:val="single" w:sz="8" w:color="auto"/>
            </w:tcBorders>
            <w:shd w:val="clear" w:color="auto" w:fill="CCEEFF"/>
          </w:tcPr>
          <w:p>
            <w:pPr>
              <w:spacing w:after="0"/>
              <w:rPr>
                <w:sz w:val="5"/>
                <w:szCs w:val="5"/>
                <w:color w:val="auto"/>
              </w:rPr>
            </w:pPr>
          </w:p>
        </w:tc>
        <w:tc>
          <w:tcPr>
            <w:tcW w:w="292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in the Interactive Data File because its</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XBRL tags are embedded within the</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540"/>
        </w:trPr>
        <w:tc>
          <w:tcPr>
            <w:tcW w:w="122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3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right w:val="single" w:sz="8" w:color="auto"/>
            </w:tcBorders>
            <w:shd w:val="clear" w:color="auto" w:fill="CCEEFF"/>
          </w:tcPr>
          <w:p>
            <w:pPr>
              <w:spacing w:after="0"/>
              <w:rPr>
                <w:sz w:val="24"/>
                <w:szCs w:val="24"/>
                <w:color w:val="auto"/>
              </w:rPr>
            </w:pPr>
          </w:p>
        </w:tc>
        <w:tc>
          <w:tcPr>
            <w:tcW w:w="29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0"/>
                <w:szCs w:val="20"/>
                <w:color w:val="auto"/>
              </w:rPr>
            </w:pPr>
          </w:p>
        </w:tc>
        <w:tc>
          <w:tcPr>
            <w:tcW w:w="67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2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right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101.LAB</w:t>
            </w:r>
          </w:p>
        </w:tc>
        <w:tc>
          <w:tcPr>
            <w:tcW w:w="20" w:type="dxa"/>
            <w:vAlign w:val="bottom"/>
            <w:tcBorders>
              <w:top w:val="single" w:sz="8" w:color="auto"/>
            </w:tcBorders>
          </w:tcPr>
          <w:p>
            <w:pPr>
              <w:spacing w:after="0"/>
              <w:rPr>
                <w:sz w:val="20"/>
                <w:szCs w:val="20"/>
                <w:color w:val="auto"/>
              </w:rPr>
            </w:pPr>
          </w:p>
        </w:tc>
        <w:tc>
          <w:tcPr>
            <w:tcW w:w="670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2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right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101.DEF</w:t>
            </w:r>
          </w:p>
        </w:tc>
        <w:tc>
          <w:tcPr>
            <w:tcW w:w="20" w:type="dxa"/>
            <w:vAlign w:val="bottom"/>
            <w:tcBorders>
              <w:top w:val="single" w:sz="8" w:color="auto"/>
            </w:tcBorders>
          </w:tcPr>
          <w:p>
            <w:pPr>
              <w:spacing w:after="0"/>
              <w:rPr>
                <w:sz w:val="20"/>
                <w:szCs w:val="20"/>
                <w:color w:val="auto"/>
              </w:rPr>
            </w:pPr>
          </w:p>
        </w:tc>
        <w:tc>
          <w:tcPr>
            <w:tcW w:w="670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1220" w:type="dxa"/>
            <w:vAlign w:val="bottom"/>
          </w:tcPr>
          <w:p>
            <w:pPr>
              <w:spacing w:after="0"/>
              <w:rPr>
                <w:sz w:val="24"/>
                <w:szCs w:val="24"/>
                <w:color w:val="auto"/>
              </w:rPr>
            </w:pPr>
          </w:p>
        </w:tc>
        <w:tc>
          <w:tcPr>
            <w:tcW w:w="5300" w:type="dxa"/>
            <w:vAlign w:val="bottom"/>
            <w:gridSpan w:val="3"/>
          </w:tcPr>
          <w:p>
            <w:pPr>
              <w:jc w:val="right"/>
              <w:ind w:right="93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013" w:right="5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4340" w:val="left"/>
          <w:tab w:leader="none" w:pos="4760" w:val="left"/>
        </w:tabs>
        <w:rPr>
          <w:sz w:val="20"/>
          <w:szCs w:val="20"/>
          <w:color w:val="auto"/>
        </w:rPr>
      </w:pPr>
      <w:r>
        <w:rPr>
          <w:rFonts w:ascii="Arial" w:cs="Arial" w:eastAsia="Arial" w:hAnsi="Arial"/>
          <w:sz w:val="18"/>
          <w:szCs w:val="18"/>
          <w:color w:val="auto"/>
        </w:rPr>
        <w:t>Dated: October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31750</wp:posOffset>
            </wp:positionV>
            <wp:extent cx="3670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Karen J. Dearing, Chief Financial Officer and Secretary</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right="20" w:hanging="316"/>
        <w:spacing w:after="0" w:line="308" w:lineRule="auto"/>
        <w:tabs>
          <w:tab w:leader="none" w:pos="10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16"/>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20" w:hanging="316"/>
        <w:spacing w:after="0" w:line="277" w:lineRule="auto"/>
        <w:tabs>
          <w:tab w:leader="none" w:pos="10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Dated: October 24, 2019</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420"/>
          </w:cols>
          <w:pgMar w:left="240" w:top="58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6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6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060" w:hanging="323"/>
        <w:spacing w:after="0" w:line="308" w:lineRule="auto"/>
        <w:tabs>
          <w:tab w:leader="none" w:pos="10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7"/>
          <w:szCs w:val="17"/>
          <w:color w:val="auto"/>
        </w:rPr>
      </w:pPr>
    </w:p>
    <w:p>
      <w:pPr>
        <w:jc w:val="both"/>
        <w:ind w:left="1060" w:hanging="323"/>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080" w:hanging="316"/>
        <w:spacing w:after="0" w:line="277" w:lineRule="auto"/>
        <w:tabs>
          <w:tab w:leader="none" w:pos="10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tabs>
          <w:tab w:leader="none" w:pos="5360" w:val="left"/>
        </w:tabs>
        <w:rPr>
          <w:sz w:val="20"/>
          <w:szCs w:val="20"/>
          <w:color w:val="auto"/>
        </w:rPr>
      </w:pPr>
      <w:r>
        <w:rPr>
          <w:rFonts w:ascii="Arial" w:cs="Arial" w:eastAsia="Arial" w:hAnsi="Arial"/>
          <w:sz w:val="18"/>
          <w:szCs w:val="18"/>
          <w:color w:val="auto"/>
        </w:rPr>
        <w:t>Dated: October 24, 2019</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662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9/30/2019,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920" w:type="dxa"/>
            <w:vAlign w:val="bottom"/>
          </w:tcPr>
          <w:p>
            <w:pPr>
              <w:spacing w:after="0"/>
              <w:rPr>
                <w:sz w:val="17"/>
                <w:szCs w:val="17"/>
                <w:color w:val="auto"/>
              </w:rPr>
            </w:pPr>
          </w:p>
        </w:tc>
        <w:tc>
          <w:tcPr>
            <w:tcW w:w="10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98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Dated: October 24,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98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Dated: October 24,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2"/>
    </w:lvl>
  </w:abstractNum>
  <w:abstractNum w:abstractNumId="18">
    <w:nsid w:val="189A769B"/>
    <w:multiLevelType w:val="hybridMultilevel"/>
    <w:lvl w:ilvl="0">
      <w:lvlJc w:val="left"/>
      <w:lvlText w:val="%1."/>
      <w:numFmt w:val="decimal"/>
      <w:start w:val="13"/>
    </w:lvl>
  </w:abstractNum>
  <w:abstractNum w:abstractNumId="19">
    <w:nsid w:val="54E49EB4"/>
    <w:multiLevelType w:val="hybridMultilevel"/>
    <w:lvl w:ilvl="0">
      <w:lvlJc w:val="left"/>
      <w:lvlText w:val="%1."/>
      <w:numFmt w:val="decimal"/>
      <w:start w:val="14"/>
    </w:lvl>
  </w:abstractNum>
  <w:abstractNum w:abstractNumId="20">
    <w:nsid w:val="71F32454"/>
    <w:multiLevelType w:val="hybridMultilevel"/>
    <w:lvl w:ilvl="0">
      <w:lvlJc w:val="left"/>
      <w:lvlText w:val="%1."/>
      <w:numFmt w:val="decimal"/>
      <w:start w:val="15"/>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6"/>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www.sec.gov/Archives/edgar/data/912593/000091259319000111/0000912593-19-00011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2019-12-28T05:07:18Z</dcterms:created>
  <dcterms:modified xsi:type="dcterms:W3CDTF">2019-12-28T05:07:18Z</dcterms:modified>
</cp:coreProperties>
</file>